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2020版《新疆维吾尔自治区建筑安装市政工程费用定额》勘误</w:t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925"/>
        <w:gridCol w:w="2232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95" w:hRule="atLeast"/>
        </w:trPr>
        <w:tc>
          <w:tcPr>
            <w:tcW w:w="955" w:type="dxa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Cs w:val="21"/>
                <w:vertAlign w:val="baseline"/>
                <w:lang w:eastAsia="zh-CN"/>
              </w:rPr>
              <w:t>页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  <w:t>码</w:t>
            </w:r>
          </w:p>
        </w:tc>
        <w:tc>
          <w:tcPr>
            <w:tcW w:w="4157" w:type="dxa"/>
            <w:gridSpan w:val="2"/>
            <w:vAlign w:val="center"/>
          </w:tcPr>
          <w:p>
            <w:pPr>
              <w:widowControl/>
              <w:spacing w:line="149" w:lineRule="atLeast"/>
              <w:jc w:val="center"/>
              <w:rPr>
                <w:b/>
                <w:bCs/>
                <w:szCs w:val="21"/>
                <w:vertAlign w:val="baseline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名称</w:t>
            </w:r>
          </w:p>
        </w:tc>
        <w:tc>
          <w:tcPr>
            <w:tcW w:w="1705" w:type="dxa"/>
            <w:vAlign w:val="center"/>
          </w:tcPr>
          <w:p>
            <w:pPr>
              <w:widowControl/>
              <w:spacing w:line="149" w:lineRule="atLeast"/>
              <w:jc w:val="center"/>
              <w:rPr>
                <w:b/>
                <w:bCs/>
                <w:szCs w:val="21"/>
                <w:vertAlign w:val="baseline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误</w:t>
            </w:r>
          </w:p>
        </w:tc>
        <w:tc>
          <w:tcPr>
            <w:tcW w:w="1705" w:type="dxa"/>
            <w:vAlign w:val="center"/>
          </w:tcPr>
          <w:p>
            <w:pPr>
              <w:widowControl/>
              <w:spacing w:line="149" w:lineRule="atLeast"/>
              <w:jc w:val="center"/>
              <w:rPr>
                <w:b/>
                <w:bCs/>
                <w:szCs w:val="21"/>
                <w:vertAlign w:val="baseline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29" w:hRule="atLeast"/>
        </w:trPr>
        <w:tc>
          <w:tcPr>
            <w:tcW w:w="955" w:type="dxa"/>
            <w:vMerge w:val="restart"/>
            <w:vAlign w:val="center"/>
          </w:tcPr>
          <w:p>
            <w:pPr>
              <w:jc w:val="center"/>
              <w:rPr>
                <w:rFonts w:hint="default" w:eastAsia="宋体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1925" w:type="dxa"/>
            <w:vMerge w:val="restart"/>
            <w:vAlign w:val="center"/>
          </w:tcPr>
          <w:p>
            <w:pPr>
              <w:jc w:val="center"/>
              <w:rPr>
                <w:rFonts w:hint="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Cs w:val="21"/>
                <w:vertAlign w:val="baseline"/>
                <w:lang w:eastAsia="zh-CN"/>
              </w:rPr>
              <w:t>利润费率（</w:t>
            </w:r>
            <w:r>
              <w:rPr>
                <w:rFonts w:hint="eastAsia"/>
                <w:szCs w:val="21"/>
                <w:vertAlign w:val="baseline"/>
                <w:lang w:val="en-US" w:eastAsia="zh-CN"/>
              </w:rPr>
              <w:t>%）</w:t>
            </w:r>
          </w:p>
          <w:p>
            <w:pPr>
              <w:jc w:val="center"/>
              <w:rPr>
                <w:rFonts w:hint="eastAsia" w:eastAsia="宋体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Cs w:val="21"/>
                <w:vertAlign w:val="baseline"/>
                <w:lang w:eastAsia="zh-CN"/>
              </w:rPr>
              <w:t>简易计税</w:t>
            </w:r>
          </w:p>
        </w:tc>
        <w:tc>
          <w:tcPr>
            <w:tcW w:w="2232" w:type="dxa"/>
            <w:vAlign w:val="center"/>
          </w:tcPr>
          <w:p>
            <w:pPr>
              <w:widowControl/>
              <w:spacing w:line="70" w:lineRule="atLeast"/>
              <w:jc w:val="center"/>
              <w:rPr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安装工程</w:t>
            </w:r>
          </w:p>
        </w:tc>
        <w:tc>
          <w:tcPr>
            <w:tcW w:w="1705" w:type="dxa"/>
            <w:vAlign w:val="center"/>
          </w:tcPr>
          <w:p>
            <w:pPr>
              <w:widowControl/>
              <w:spacing w:line="70" w:lineRule="atLeast"/>
              <w:jc w:val="center"/>
              <w:rPr>
                <w:rFonts w:hint="default"/>
                <w:szCs w:val="21"/>
                <w:vertAlign w:val="baseline"/>
                <w:lang w:val="en-US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10.5</w:t>
            </w:r>
            <w:r>
              <w:rPr>
                <w:rFonts w:hint="eastAsia" w:ascii="微软雅黑" w:hAnsi="微软雅黑" w:eastAsia="微软雅黑" w:cs="微软雅黑"/>
                <w:kern w:val="0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15.9</w:t>
            </w:r>
          </w:p>
        </w:tc>
        <w:tc>
          <w:tcPr>
            <w:tcW w:w="1705" w:type="dxa"/>
            <w:vAlign w:val="center"/>
          </w:tcPr>
          <w:p>
            <w:pPr>
              <w:widowControl/>
              <w:spacing w:line="70" w:lineRule="atLeast"/>
              <w:jc w:val="center"/>
              <w:rPr>
                <w:rFonts w:hint="default"/>
                <w:szCs w:val="21"/>
                <w:vertAlign w:val="baseline"/>
                <w:lang w:val="en-US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11</w:t>
            </w:r>
            <w:r>
              <w:rPr>
                <w:rFonts w:hint="eastAsia" w:ascii="微软雅黑" w:hAnsi="微软雅黑" w:eastAsia="微软雅黑" w:cs="微软雅黑"/>
                <w:kern w:val="0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955" w:type="dxa"/>
            <w:vMerge w:val="continue"/>
            <w:vAlign w:val="center"/>
          </w:tcPr>
          <w:p>
            <w:pPr>
              <w:jc w:val="center"/>
              <w:rPr>
                <w:szCs w:val="21"/>
                <w:vertAlign w:val="baseline"/>
              </w:rPr>
            </w:pPr>
          </w:p>
        </w:tc>
        <w:tc>
          <w:tcPr>
            <w:tcW w:w="1925" w:type="dxa"/>
            <w:vMerge w:val="continue"/>
            <w:vAlign w:val="center"/>
          </w:tcPr>
          <w:p>
            <w:pPr>
              <w:jc w:val="center"/>
              <w:rPr>
                <w:szCs w:val="21"/>
                <w:vertAlign w:val="baseline"/>
              </w:rPr>
            </w:pPr>
          </w:p>
        </w:tc>
        <w:tc>
          <w:tcPr>
            <w:tcW w:w="2232" w:type="dxa"/>
            <w:vAlign w:val="center"/>
          </w:tcPr>
          <w:p>
            <w:pPr>
              <w:widowControl/>
              <w:spacing w:line="70" w:lineRule="atLeast"/>
              <w:jc w:val="center"/>
              <w:rPr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各类管道、场站安装、路灯与配电工程</w:t>
            </w:r>
          </w:p>
        </w:tc>
        <w:tc>
          <w:tcPr>
            <w:tcW w:w="1705" w:type="dxa"/>
            <w:vAlign w:val="center"/>
          </w:tcPr>
          <w:p>
            <w:pPr>
              <w:widowControl/>
              <w:spacing w:line="70" w:lineRule="atLeast"/>
              <w:jc w:val="center"/>
              <w:rPr>
                <w:rFonts w:hint="default"/>
                <w:szCs w:val="21"/>
                <w:vertAlign w:val="baseline"/>
                <w:lang w:val="en-US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20</w:t>
            </w:r>
            <w:r>
              <w:rPr>
                <w:rFonts w:hint="eastAsia" w:ascii="微软雅黑" w:hAnsi="微软雅黑" w:eastAsia="微软雅黑" w:cs="微软雅黑"/>
                <w:kern w:val="0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25</w:t>
            </w:r>
          </w:p>
        </w:tc>
        <w:tc>
          <w:tcPr>
            <w:tcW w:w="1705" w:type="dxa"/>
            <w:vAlign w:val="center"/>
          </w:tcPr>
          <w:p>
            <w:pPr>
              <w:widowControl/>
              <w:spacing w:line="70" w:lineRule="atLeast"/>
              <w:jc w:val="center"/>
              <w:rPr>
                <w:rFonts w:hint="default"/>
                <w:szCs w:val="21"/>
                <w:vertAlign w:val="baseline"/>
                <w:lang w:val="en-US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21</w:t>
            </w:r>
            <w:r>
              <w:rPr>
                <w:rFonts w:hint="eastAsia" w:ascii="微软雅黑" w:hAnsi="微软雅黑" w:eastAsia="微软雅黑" w:cs="微软雅黑"/>
                <w:kern w:val="0"/>
                <w:szCs w:val="21"/>
                <w:lang w:val="en-US" w:eastAsia="zh-CN"/>
              </w:rPr>
              <w:t>~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26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4"/>
        <w:tblpPr w:leftFromText="180" w:rightFromText="180" w:vertAnchor="text" w:horzAnchor="page" w:tblpX="1808" w:tblpY="342"/>
        <w:tblOverlap w:val="never"/>
        <w:tblW w:w="85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3846"/>
        <w:gridCol w:w="37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9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页码</w:t>
            </w:r>
          </w:p>
        </w:tc>
        <w:tc>
          <w:tcPr>
            <w:tcW w:w="38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误</w:t>
            </w:r>
          </w:p>
        </w:tc>
        <w:tc>
          <w:tcPr>
            <w:tcW w:w="37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5" w:hRule="atLeast"/>
        </w:trPr>
        <w:tc>
          <w:tcPr>
            <w:tcW w:w="9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18</w:t>
            </w:r>
          </w:p>
        </w:tc>
        <w:tc>
          <w:tcPr>
            <w:tcW w:w="38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bookmarkStart w:id="0" w:name="OLE_LINK2"/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总承包单位依法将专业工程进行分包的，总承包单位向分包单位提供服务应收取总承包服务费，费用视服务内容的多少，由双方在合同中约定，也可参照下列标准计算。</w:t>
            </w:r>
          </w:p>
          <w:bookmarkEnd w:id="0"/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1.略</w:t>
            </w:r>
          </w:p>
        </w:tc>
        <w:tc>
          <w:tcPr>
            <w:tcW w:w="37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招标人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依法将专业工程进行分包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，总承包单位应收取总承包服务费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费用视服务内容的多少，由双方在合同中约定，也可参照下列标准计算。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B1C9A"/>
    <w:rsid w:val="73EB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2024-09-03T03:07:00Z</dcterms:created>
  <dc:creator>Dinnnnnnna</dc:creator>
  <cp:lastModifiedBy>Dinnnnnnna</cp:lastModifiedBy>
  <dcterms:modified xsi:type="dcterms:W3CDTF">2024-09-03T03:08:56Z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