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CE07AF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0" w:right="0" w:firstLine="0"/>
        <w:jc w:val="center"/>
        <w:rPr>
          <w:rFonts w:hint="eastAsia" w:ascii="Verdana" w:hAnsi="Verdana" w:cs="Verdana"/>
          <w:b/>
          <w:bCs/>
          <w:i w:val="0"/>
          <w:iCs w:val="0"/>
          <w:caps w:val="0"/>
          <w:color w:val="000000"/>
          <w:spacing w:val="0"/>
          <w:sz w:val="33"/>
          <w:szCs w:val="33"/>
        </w:rPr>
      </w:pPr>
      <w:r>
        <w:rPr>
          <w:rFonts w:hint="default" w:ascii="Verdana" w:hAnsi="Verdana" w:eastAsia="宋体" w:cs="Verdana"/>
          <w:b/>
          <w:bCs/>
          <w:i w:val="0"/>
          <w:iCs w:val="0"/>
          <w:caps w:val="0"/>
          <w:color w:val="000000"/>
          <w:spacing w:val="0"/>
          <w:kern w:val="0"/>
          <w:sz w:val="33"/>
          <w:szCs w:val="33"/>
          <w:bdr w:val="none" w:color="auto" w:sz="0" w:space="0"/>
          <w:lang w:val="en-US" w:eastAsia="zh-CN" w:bidi="ar"/>
        </w:rPr>
        <w:t>关于印发石河子地区2010年一季度建安、市政、仿古建筑及园林、房屋修缮工程结算办法的通知</w:t>
      </w:r>
    </w:p>
    <w:p w14:paraId="212985E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0"/>
        <w:jc w:val="center"/>
        <w:rPr>
          <w:rFonts w:ascii="宋体" w:hAnsi="宋体" w:eastAsia="宋体" w:cs="宋体"/>
          <w:i w:val="0"/>
          <w:iCs w:val="0"/>
          <w:color w:val="505050"/>
          <w:sz w:val="18"/>
          <w:szCs w:val="18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505050"/>
          <w:spacing w:val="0"/>
          <w:sz w:val="18"/>
          <w:szCs w:val="18"/>
          <w:bdr w:val="none" w:color="auto" w:sz="0" w:space="0"/>
        </w:rPr>
        <w:t>石建发【2010】86号</w:t>
      </w:r>
    </w:p>
    <w:p w14:paraId="21E9997A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0"/>
        <w:jc w:val="left"/>
        <w:rPr>
          <w:rFonts w:hint="default" w:ascii="Verdana" w:hAnsi="Verdana" w:cs="Verdana"/>
          <w:i w:val="0"/>
          <w:iCs w:val="0"/>
          <w:caps w:val="0"/>
          <w:color w:val="505050"/>
          <w:spacing w:val="0"/>
          <w:sz w:val="21"/>
          <w:szCs w:val="21"/>
        </w:rPr>
      </w:pPr>
      <w:r>
        <w:rPr>
          <w:rFonts w:hint="default" w:ascii="Verdana" w:hAnsi="Verdana" w:eastAsia="宋体" w:cs="Verdana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br w:type="textWrapping"/>
      </w:r>
      <w:r>
        <w:rPr>
          <w:rFonts w:hint="default" w:ascii="Verdana" w:hAnsi="Verdana" w:eastAsia="宋体" w:cs="Verdana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各有关单位：</w:t>
      </w:r>
    </w:p>
    <w:p w14:paraId="27FBD5C3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default" w:ascii="Verdana" w:hAnsi="Verdana" w:cs="Verdana" w:eastAsiaTheme="minorEastAsia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为了做好石河子地区2010年一季度建安工程、市政工程、仿古建筑及园林工程、房屋修缮工程的结算工作，根据自治区工程造价管理总站有关文件精神及石河子地区人工、机械及建材市场价格的变化情况，我局造价站制定了石河子地区2010年一季度建安、市政、仿古建筑及园林工程、房屋修缮工程结算办法，并就有关事项通知如下：</w:t>
      </w:r>
    </w:p>
    <w:p w14:paraId="477C49A3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default" w:ascii="Verdana" w:hAnsi="Verdana" w:cs="Verdana" w:eastAsiaTheme="minorEastAsia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一、关于定额内人工工资单价调整：</w:t>
      </w:r>
    </w:p>
    <w:p w14:paraId="6E7F232E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default" w:ascii="Verdana" w:hAnsi="Verdana" w:cs="Verdana" w:eastAsiaTheme="minorEastAsia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1、定额内政策性人工费单价调整:建筑工程、市政工程、仿古建筑及园林工程、房屋修缮工程定额内人工费单价的调整，按照《关于调整石河子地区建设工程定额人工费单价的通知》（石建发[2008]436号）文规定执行。</w:t>
      </w:r>
    </w:p>
    <w:p w14:paraId="57BA2C26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default" w:ascii="Verdana" w:hAnsi="Verdana" w:cs="Verdana" w:eastAsiaTheme="minorEastAsia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2、定额内市场人工费单价调整：石河子地区与乌鲁木齐地区同属一个工资区域，根据新建总造字[2008]22号文件精神，石河子地区建筑工程、市政工程、仿古建筑及园林工程、房屋修缮工程定额内市场人工费单价的调整可参照（乌建发[2009]342号）文进行调整，即在《关于调整石河子地区建设工程定额人工费单价的通知》（石建发[2008]436号）文规定调整的基础上，建筑工程、市政工程、仿古建筑及园林工程、房屋修缮工程：调增10.26元/定额工日；安装工程、市政安装工程：调增10.59元/定额工日;调增部分单独列项,只计税金不计取其它费用。</w:t>
      </w:r>
    </w:p>
    <w:p w14:paraId="03C76187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default" w:ascii="Verdana" w:hAnsi="Verdana" w:cs="Verdana" w:eastAsiaTheme="minorEastAsia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二、关于定额内材料单价的调整：</w:t>
      </w:r>
    </w:p>
    <w:p w14:paraId="3B5F64EB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default" w:ascii="Verdana" w:hAnsi="Verdana" w:cs="Verdana" w:eastAsiaTheme="minorEastAsia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1、建筑安装、装饰工程：</w:t>
      </w:r>
    </w:p>
    <w:p w14:paraId="55230DA9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default" w:ascii="Verdana" w:hAnsi="Verdana" w:cs="Verdana" w:eastAsiaTheme="minorEastAsia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定额内主材按“附件一”中所列价差执行，未列入“附件一”的建筑安装及装饰工程主材，其价格可根据甲乙双方认定的发票供应价与定额供应价找差，价差部分只计税金。</w:t>
      </w:r>
    </w:p>
    <w:p w14:paraId="32B243C9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default" w:ascii="Verdana" w:hAnsi="Verdana" w:cs="Verdana" w:eastAsiaTheme="minorEastAsia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2、市政工程</w:t>
      </w:r>
    </w:p>
    <w:p w14:paraId="4148616A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default" w:ascii="Verdana" w:hAnsi="Verdana" w:cs="Verdana" w:eastAsiaTheme="minorEastAsia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⑴、定额内主材按“附件二”中所列价差执行，未列入“附件二”的其它主材可按甲、乙双方认定的发票供应价与定额内供应价找差，价差部分只计税金。</w:t>
      </w:r>
    </w:p>
    <w:p w14:paraId="36C9F098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default" w:ascii="Verdana" w:hAnsi="Verdana" w:cs="Verdana" w:eastAsiaTheme="minorEastAsia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⑵、若使用商品砼时，应执行市政工程《商品砼消耗量定额》，其价可按照“附件二”中所列价格找差，价差部分只计税金。</w:t>
      </w:r>
    </w:p>
    <w:p w14:paraId="2E494330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default" w:ascii="Verdana" w:hAnsi="Verdana" w:cs="Verdana" w:eastAsiaTheme="minorEastAsia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3、仿古建筑及园林工程：</w:t>
      </w:r>
    </w:p>
    <w:p w14:paraId="627B4D81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default" w:ascii="Verdana" w:hAnsi="Verdana" w:cs="Verdana" w:eastAsiaTheme="minorEastAsia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⑴、定额内主材按“附件三”所列价差执行，价差部分只计税金。</w:t>
      </w:r>
    </w:p>
    <w:p w14:paraId="31538B74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default" w:ascii="Verdana" w:hAnsi="Verdana" w:cs="Verdana" w:eastAsiaTheme="minorEastAsia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⑵、属于仿古建筑和园林工程中的专用材料，如琉璃制品、构件、石材、特种砖瓦等材料价格，其结算方式可按甲、乙双方认定的发票价格组成的预算价与定额内预算价找差，价差部分只计税金。树种、苗木析价格可按甲、乙双方认定的发票价格计算，并计取税金。</w:t>
      </w:r>
    </w:p>
    <w:p w14:paraId="09418F9C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default" w:ascii="Verdana" w:hAnsi="Verdana" w:cs="Verdana" w:eastAsiaTheme="minorEastAsia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4、房屋修缮工程：</w:t>
      </w:r>
    </w:p>
    <w:p w14:paraId="2D58F328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default" w:ascii="Verdana" w:hAnsi="Verdana" w:cs="Verdana" w:eastAsiaTheme="minorEastAsia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⑴、定额内主材按“附件四”中所列价差执行。价差部分只计税金。</w:t>
      </w:r>
    </w:p>
    <w:p w14:paraId="74ACBCB5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default" w:ascii="Verdana" w:hAnsi="Verdana" w:cs="Verdana" w:eastAsiaTheme="minorEastAsia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⑵、未列入“附件四”中的安装工程定额内的主材和装饰部分主材可按甲、乙双方认定的发票供应价与定额内供应价找差。价差部分只计税金。</w:t>
      </w:r>
    </w:p>
    <w:p w14:paraId="3FA48E2B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default" w:ascii="Verdana" w:hAnsi="Verdana" w:cs="Verdana" w:eastAsiaTheme="minorEastAsia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5、鉴于近期建筑市场主要材料价格变动幅度较大：若发包方和承包方共同认可，其价格可按甲、乙双方认定的发票价格找差，价差部分只计税金。</w:t>
      </w:r>
    </w:p>
    <w:p w14:paraId="6C65A1B4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default" w:ascii="Verdana" w:hAnsi="Verdana" w:cs="Verdana" w:eastAsiaTheme="minorEastAsia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6、如工程设计采用三级钢冷轧带肋钢筋、塑钢门窗、铝合金门窗，可参考附件一中的信息价与定额内相应的材料价格找差，价差部分只计税金。</w:t>
      </w:r>
    </w:p>
    <w:p w14:paraId="0D510804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default" w:ascii="Verdana" w:hAnsi="Verdana" w:cs="Verdana" w:eastAsiaTheme="minorEastAsia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三、关于定额内机械费调整：</w:t>
      </w:r>
    </w:p>
    <w:p w14:paraId="46596456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default" w:ascii="Verdana" w:hAnsi="Verdana" w:cs="Verdana" w:eastAsiaTheme="minorEastAsia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1、仿古建筑及园林工程：在97定额基础上，以定额内机械费为基数上调15.13%，调整部分只计税金。</w:t>
      </w:r>
    </w:p>
    <w:p w14:paraId="730F488A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default" w:ascii="Verdana" w:hAnsi="Verdana" w:cs="Verdana" w:eastAsiaTheme="minorEastAsia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2、房屋修缮工程：在99定额基础上，以定额内机械费加中小型机械费为基数上调4.94%，调整部分只计税金。</w:t>
      </w:r>
    </w:p>
    <w:p w14:paraId="6C6E13A7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default" w:ascii="Verdana" w:hAnsi="Verdana" w:cs="Verdana" w:eastAsiaTheme="minorEastAsia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四、关于费用定额的调整：</w:t>
      </w:r>
    </w:p>
    <w:p w14:paraId="451044D4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default" w:ascii="Verdana" w:hAnsi="Verdana" w:cs="Verdana" w:eastAsiaTheme="minorEastAsia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市政工程、仿古建筑及园林工程、房屋修缮工程费用定额的调整，执行新建造[2003]1号、[2003]3号、[2003]4号文件规定。</w:t>
      </w:r>
    </w:p>
    <w:p w14:paraId="739C229D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default" w:ascii="Verdana" w:hAnsi="Verdana" w:cs="Verdana" w:eastAsiaTheme="minorEastAsia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关于费用定额中“工程定额测定费”的调整，按照石建发[2009]21号文“转发《关于调整自治区建筑安装、市政、园林、修缮等工程费用定额及工程量清单计价规费标准的通知》”的通知执行。</w:t>
      </w:r>
    </w:p>
    <w:p w14:paraId="1FC64D6F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default" w:ascii="Verdana" w:hAnsi="Verdana" w:cs="Verdana" w:eastAsiaTheme="minorEastAsia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五、建设工程工程量清单计价价格信息</w:t>
      </w:r>
    </w:p>
    <w:p w14:paraId="4BAC32DB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default" w:ascii="Verdana" w:hAnsi="Verdana" w:cs="Verdana" w:eastAsiaTheme="minorEastAsia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（一）、材料价格、机械台班价格信息</w:t>
      </w:r>
    </w:p>
    <w:p w14:paraId="68D41E37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default" w:ascii="Verdana" w:hAnsi="Verdana" w:cs="Verdana" w:eastAsiaTheme="minorEastAsia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1、材料价格信息</w:t>
      </w:r>
    </w:p>
    <w:p w14:paraId="69B55497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default" w:ascii="Verdana" w:hAnsi="Verdana" w:cs="Verdana" w:eastAsiaTheme="minorEastAsia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材料价格可参照石河子地区2010年一季度建安、市政、仿古建筑及园林、房屋修缮工程结算办法的通知发布的（附件一、二、三、四）中所列价格信息。</w:t>
      </w:r>
    </w:p>
    <w:p w14:paraId="50C74173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default" w:ascii="Verdana" w:hAnsi="Verdana" w:cs="Verdana" w:eastAsiaTheme="minorEastAsia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2、机械台班价格信息</w:t>
      </w:r>
    </w:p>
    <w:p w14:paraId="4E5AC906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default" w:ascii="Verdana" w:hAnsi="Verdana" w:cs="Verdana" w:eastAsiaTheme="minorEastAsia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机械台班价格可参照自治区工程造价管理总站发布的《2003年新疆施工机械台班费用参考单价》（新建总造字〖2003〗52号）机上人工成本单价参照石河子地区2010年第一季度建筑工种人工成本信息价执行，燃料动力单价可参照石河子地区2010年一季度发布的材料价格信息中的相应单价自行调整。</w:t>
      </w:r>
    </w:p>
    <w:p w14:paraId="7018A345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default" w:ascii="Verdana" w:hAnsi="Verdana" w:cs="Verdana" w:eastAsiaTheme="minorEastAsia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（二）、网上市场价格信息</w:t>
      </w:r>
    </w:p>
    <w:p w14:paraId="3C921D37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default" w:ascii="Verdana" w:hAnsi="Verdana" w:cs="Verdana" w:eastAsiaTheme="minorEastAsia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实行工程量清单计价的工程项目，其人工材料及设备价格信息可直接登录《新疆工程造价信息网站》查询。网址：www.XJZJ.COM。</w:t>
      </w:r>
    </w:p>
    <w:p w14:paraId="4BBDA987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default" w:ascii="Verdana" w:hAnsi="Verdana" w:cs="Verdana" w:eastAsiaTheme="minorEastAsia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六、建设工程中的砼、砂浆配合比按照建设厅《关于发布〈二00九年自治区建设工程定额，混凝土砂浆配合比〉的通知》（新建造[2009]2号）执行，新旧砼砂浆配合比之间的量差计入工程直接费，参与取费；价差不参与取费，只计税金。（配合比资料可到我局造价站购买）</w:t>
      </w:r>
    </w:p>
    <w:p w14:paraId="25770E4D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default" w:ascii="Verdana" w:hAnsi="Verdana" w:cs="Verdana" w:eastAsiaTheme="minorEastAsia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七、本结算办法由石河子建设局造价站负责解释。</w:t>
      </w:r>
    </w:p>
    <w:p w14:paraId="44B5D74D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right"/>
        <w:rPr>
          <w:sz w:val="21"/>
          <w:szCs w:val="21"/>
        </w:rPr>
      </w:pPr>
    </w:p>
    <w:p w14:paraId="0913C619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right"/>
        <w:rPr>
          <w:sz w:val="21"/>
          <w:szCs w:val="21"/>
        </w:rPr>
      </w:pPr>
      <w:r>
        <w:rPr>
          <w:rFonts w:hint="default" w:ascii="Verdana" w:hAnsi="Verdana" w:cs="Verdana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二0一0年四月九日</w:t>
      </w:r>
    </w:p>
    <w:p w14:paraId="38529045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Verdana">
    <w:panose1 w:val="020B0604030504040204"/>
    <w:charset w:val="00"/>
    <w:family w:val="auto"/>
    <w:pitch w:val="default"/>
    <w:sig w:usb0="A00006FF" w:usb1="4000205B" w:usb2="0000001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A673D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2026-07-16T08:41:50Z</dcterms:created>
  <dc:creator>yangl</dc:creator>
  <cp:lastModifiedBy>yangl</cp:lastModifiedBy>
  <dcterms:modified xsi:type="dcterms:W3CDTF">2026-07-16T08:41:56Z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2052-12.1.0.26391</vt:lpwstr>
  </property>
  <property fmtid="{D5CDD505-2E9C-101B-9397-08002B2CF9AE}" pid="3" name="KSOTemplateDocerSaveRecord">
    <vt:lpwstr>eyJoZGlkIjoiOGVhOTFkNTM5YjRlNGNkZmM0MDIwZjU5NmFkOTlhYjcifQ==</vt:lpwstr>
  </property>
  <property fmtid="{D5CDD505-2E9C-101B-9397-08002B2CF9AE}" pid="4" name="ICV">
    <vt:lpwstr>ACA852E4ED414F6F957AC34737784DD5_12</vt:lpwstr>
  </property>
</Properties>
</file>