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C9F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关于发布阿勒泰地区各县（市）及北屯镇2014年第一季度建设工程价格信息的通知</w:t>
      </w:r>
    </w:p>
    <w:p w14:paraId="58CBCE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阿地住建造字[2014]4号</w:t>
      </w:r>
    </w:p>
    <w:p w14:paraId="01B981A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各县（市、景区）建设局、设计、施工单位、有关建设单位：</w:t>
      </w:r>
    </w:p>
    <w:p w14:paraId="222C710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包括：建筑、装饰装修、安装、市政、仿古建筑及园林、房屋修缮及抗震加固工程）人工、材料、机械台班价格信息发布工作，根据阿勒泰各县（市）及北屯镇建筑市场价格变化情况，地区工程造价管理站编制了《阿勒泰地区各县（市）及北屯镇2014年第一季度建设工程价格信息》，现予以发布，作为建设工程计价的参考依据，并就有关事项通知如下：</w:t>
      </w:r>
    </w:p>
    <w:p w14:paraId="42446F7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执行现行建筑、装饰、安装、抗震加固计价定额编制招标控制价时，建筑、装饰装修、安装工程人工单价分别按72.0元/工日、79.2元/工日、73.8元/工日执行，其价差部分只计取税金。 </w:t>
      </w:r>
    </w:p>
    <w:p w14:paraId="55D53CE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0F6A184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“附件”中“综合信息价”为预算价（到工地价）与定额内预算（到工地价）找差，未发布的材料价格信息，可按发承包双方认定价格（到工地价）与定额内预算价（到工地价）找差，以上价差部分只计税金。</w:t>
      </w:r>
    </w:p>
    <w:p w14:paraId="61352AC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15381DA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三、定额内机械费调整 </w:t>
      </w:r>
    </w:p>
    <w:p w14:paraId="16D1BE8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1、仿古建筑及园林工程定额内机械费的调整，在1997年仿古建筑及园林工程预算定额中以百分比计算的机械费为基数上调17.64%，调整部分不参与取费，只计税金。</w:t>
      </w:r>
    </w:p>
    <w:p w14:paraId="41929CA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2、房屋修缮工程定额内机械费的调整，在1999年房屋修缮工程预算定额基础上，以定额内机械费加中小型机械费为计算基数上调5.76%，调整部分不参与取费，只计税金。</w:t>
      </w:r>
    </w:p>
    <w:p w14:paraId="55FF536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四、本文管理与解释由我局建设工程造价管理站负责 </w:t>
      </w:r>
    </w:p>
    <w:p w14:paraId="446E7ED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344750F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480AE59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6B40B51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附件：2014年第一度地区各县（市）及北屯镇建设工程价格信息</w:t>
      </w:r>
    </w:p>
    <w:p w14:paraId="154D410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0F7B916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1A1AE26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72D6994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67219AE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pPr>
      <w:r>
        <w:rPr>
          <w:rFonts w:hint="eastAsia" w:ascii="宋体" w:hAnsi="宋体" w:eastAsia="宋体" w:cs="宋体"/>
          <w:i w:val="0"/>
          <w:iCs w:val="0"/>
          <w:caps w:val="0"/>
          <w:color w:val="505050"/>
          <w:spacing w:val="0"/>
          <w:sz w:val="21"/>
          <w:szCs w:val="21"/>
          <w:bdr w:val="none" w:color="auto" w:sz="0" w:space="0"/>
        </w:rPr>
        <w:t>2014年5月16日</w:t>
      </w:r>
    </w:p>
    <w:p w14:paraId="1C848DF5">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385C590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774</Words>
  <Characters>879</Characters>
  <Lines>0</Lines>
  <Paragraphs>0</Paragraphs>
  <TotalTime>0</TotalTime>
  <ScaleCrop>false</ScaleCrop>
  <LinksUpToDate>false</LinksUpToDate>
  <CharactersWithSpaces>889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2026-07-21T02:20:25Z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92321EA144634249AE363952EF8930A9_12</vt:lpwstr>
  </property>
</Properties>
</file>