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145" w:rsidRPr="00DE3145" w:rsidRDefault="00DE3145" w:rsidP="00DE3145">
      <w:pPr>
        <w:widowControl/>
        <w:jc w:val="center"/>
        <w:rPr>
          <w:rFonts w:ascii="Verdana" w:eastAsia="宋体" w:hAnsi="Verdana" w:cs="宋体"/>
          <w:b/>
          <w:bCs/>
          <w:color w:val="000000"/>
          <w:kern w:val="0"/>
          <w:sz w:val="33"/>
          <w:szCs w:val="33"/>
        </w:rPr>
      </w:pPr>
      <w:r w:rsidRPr="00DE3145">
        <w:rPr>
          <w:rFonts w:ascii="Verdana" w:eastAsia="宋体" w:hAnsi="Verdana" w:cs="宋体"/>
          <w:b/>
          <w:bCs/>
          <w:color w:val="000000"/>
          <w:kern w:val="0"/>
          <w:sz w:val="33"/>
          <w:szCs w:val="33"/>
        </w:rPr>
        <w:t>关于发布阿克苏地区</w:t>
      </w:r>
      <w:r w:rsidRPr="00DE3145">
        <w:rPr>
          <w:rFonts w:ascii="Verdana" w:eastAsia="宋体" w:hAnsi="Verdana" w:cs="宋体"/>
          <w:b/>
          <w:bCs/>
          <w:color w:val="000000"/>
          <w:kern w:val="0"/>
          <w:sz w:val="33"/>
          <w:szCs w:val="33"/>
        </w:rPr>
        <w:t>2014</w:t>
      </w:r>
      <w:r w:rsidRPr="00DE3145">
        <w:rPr>
          <w:rFonts w:ascii="Verdana" w:eastAsia="宋体" w:hAnsi="Verdana" w:cs="宋体"/>
          <w:b/>
          <w:bCs/>
          <w:color w:val="000000"/>
          <w:kern w:val="0"/>
          <w:sz w:val="33"/>
          <w:szCs w:val="33"/>
        </w:rPr>
        <w:t>年第四季度建设工程价格信息的通知</w:t>
      </w:r>
    </w:p>
    <w:p w:rsidR="00DE3145" w:rsidRPr="00DE3145" w:rsidRDefault="00DE3145" w:rsidP="00DE3145">
      <w:pPr>
        <w:widowControl/>
        <w:jc w:val="center"/>
        <w:outlineLvl w:val="1"/>
        <w:rPr>
          <w:rFonts w:ascii="微软雅黑" w:eastAsia="微软雅黑" w:hAnsi="微软雅黑" w:cs="宋体"/>
          <w:b/>
          <w:bCs/>
          <w:color w:val="505050"/>
          <w:kern w:val="0"/>
          <w:sz w:val="18"/>
          <w:szCs w:val="18"/>
        </w:rPr>
      </w:pPr>
      <w:r w:rsidRPr="00DE3145">
        <w:rPr>
          <w:rFonts w:ascii="微软雅黑" w:eastAsia="微软雅黑" w:hAnsi="微软雅黑" w:cs="宋体" w:hint="eastAsia"/>
          <w:b/>
          <w:bCs/>
          <w:color w:val="505050"/>
          <w:kern w:val="0"/>
          <w:sz w:val="18"/>
          <w:szCs w:val="18"/>
        </w:rPr>
        <w:t>阿地建字[2015] 7号</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br/>
        <w:t>阿克苏纺织工业城开发区（管委会）规划建设局，库车经济技术开发区（管委会）规划建设环保局,各县（市）住房和城乡建设局，施工企业、造价咨询单位及各相关单位：</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现将《阿克苏地区2014年第四季度建设工程价格信息》，予以发布，请参照执行。并就有关事项通知如下：</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一、根据目前建筑市场价格变化情况，执行现行建筑、装饰、市政、安装计价定额编制招标控制价时，人工费单价上限由62元/工日调整至75元/工日。 </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二、根据目前建筑市场变化情况，在编制招标控制价时，材料价格可参照本文 “附件”中“综合信息价”为预算价（到工地价）与定额内预算（到工地价）找差，未发布的材料价格信息，可按发承包双方认定价格（到工地价）与定额内预算价（到工地价）找差，以上价差部分只计税金。</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三、建设工程定额计价价格信息</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（一）关于定额内材料单价的调整</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1、建筑、安装、装饰、抗震加固工程材料价格可参照 “附件”中所列价格信息进行调整，未发布市场价的材料价格信息，应参照市场供应价与定额内供应价找差，价差部分只计税金，不取费。 </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2、 沙雅县、新和县使用库木土拉电站附近（距新和18Km）砂石料和库车县条砖时，其超出定额运距部分所发生的运差，可扣除原定额短途运费，增加长途运费。运差只计取税金，不参与取费。</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lastRenderedPageBreak/>
        <w:t>3、 其余各县、农一师各团场除注明者外，均执行“附件”中所列价格信息进行调整，主要材料超出运距时，亦扣除短途运费增加长途运费，运差部分只计取税金。</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4、市政工程</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（1） 执行《2001年乌鲁木齐地区市政工程单位估价表》，定额内主材按“附件”中所列价格信息与定额内材料供应价找差，未列入“附件”的其它主材可按发承包双方认定的发票供应价与定额内供应价找差，价差部分不参与取费，只计取税金。</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（2） 若使用商品砼,应执行《新疆市政工程商品混凝土消耗量定额2003年乌鲁木齐地区参考价》（新建总造字【2003】65号）,其价格按“附件”中所列价格找差,价差不参与取费,只计取税金。</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（3）《关于发布〈二00九年自治区建设工程定额混凝土砂浆配合比〉的通知》（新建造[2009]2号）文开始执行。新旧混凝土砂浆配合比之间的量差计入工程直接费，参与取费，价差不参与取费，只计税金。</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5、房屋修缮工程</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（1）定额内主材按“附件”中所列价格信息组成预算价与相应定额内材料预算价找差，未列入“附件”的其它主材可按发承包双方认定的发票供应价与定额内供应价找差，价差部分不参与取费，只计取税金。</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（2） 未列入“附件”中的安装工程定额内主材和装饰部分主材可根据发承包双方认定的发票供应价与定额内供应价找差，价差不参与取费，只计税金。</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3）仿古建筑及园林、房屋修缮工程中的砼、砂浆配合比按照自治区建设厅《关于发布〈二00九年自治区建设工程定额混凝土砂浆配合比〉的通知》（新建造[2009]2号）执行。新旧混凝土砂浆配合比之间的量差计入工程直接费，参与取费，价差不参与取费，只计税金。</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lastRenderedPageBreak/>
        <w:t>6、鉴于目前建筑市场材料价格变动幅度较大，若发包人与承包方共同认可，其价格可依据发承包双方认可的发票供应价与定额内供应价找差，价差部分不参与取费，只计取税金，并在合同内约定。</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(二)关于费用定额的调整</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1、 建筑安装工程执行《2010年新疆维吾尔自治区建筑安装工程费用定额》。</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2、市政工程执行《2001年新疆维吾尔自治区市政工程费用定额》，按照阿地建字[2003] 9号、阿地建字[2003]50号、阿地建字[2003]57号、阿地建字[2003]122号文件规定进行调整。</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（三）建筑、安装、装饰装修、抗震加固、市政工程的人工调整按照阿地建字[2012]334号文件规定调整。</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（四）房屋修缮的人工、机械按如下规定调整</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1、 人工按阿地建字[2012]334号文件规定执行,建筑人工单价62.68元/工日,安装、机械人工单价65.34元/工日,与原定额人工单价进行补差，价差部分只计取税金，不计取其他费用。</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2、机械费在99定额基础上以定额内机械费加中小型机械费为基数上调6.06%，调整部分不参与取费，只计取税金。</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四、凡进行招投标的工程结算应以中标价为计算基础，其价差调整应在合同中约定。</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五、根据自治区有关文件规定及《阿克苏地区建设工程合同备案管理实施细则》的文件要求，请各施工单位、造价咨询单位将本季度完成的工程竣工结算文件报地区造价管理站备案。希望各相关单位积极配合。本项内容将作为工程造价执法检查的内容之一。</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六、有下列情况不执行本通知的规定</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1、未使用《阿克苏地区2011年估价表》。</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lastRenderedPageBreak/>
        <w:t>2、通知下发之日已办理完结算的工程。</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七、本通知解释权属地区建设工程造价管理站。</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附件： 1、阿克苏地区2014年第四季度建筑工程材料价格信息</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        2、阿克苏地区2014年第四季度市政工程材料价格信息</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        3、阿克苏地区2014年第四季度库车、沙雅、新和、拜城、阿瓦提、柯坪县建筑工程材料价格信息</w:t>
      </w:r>
    </w:p>
    <w:p w:rsidR="00DE3145" w:rsidRPr="00DE3145" w:rsidRDefault="00DE3145" w:rsidP="00DE3145">
      <w:pPr>
        <w:widowControl/>
        <w:ind w:firstLine="480"/>
        <w:jc w:val="left"/>
        <w:rPr>
          <w:rFonts w:ascii="微软雅黑" w:eastAsia="微软雅黑" w:hAnsi="微软雅黑" w:cs="宋体" w:hint="eastAsia"/>
          <w:color w:val="505050"/>
          <w:kern w:val="0"/>
          <w:szCs w:val="21"/>
        </w:rPr>
      </w:pPr>
    </w:p>
    <w:p w:rsidR="00DE3145" w:rsidRPr="00DE3145" w:rsidRDefault="00DE3145" w:rsidP="00DE3145">
      <w:pPr>
        <w:widowControl/>
        <w:ind w:firstLine="480"/>
        <w:jc w:val="left"/>
        <w:rPr>
          <w:rFonts w:ascii="微软雅黑" w:eastAsia="微软雅黑" w:hAnsi="微软雅黑" w:cs="宋体" w:hint="eastAsia"/>
          <w:color w:val="505050"/>
          <w:kern w:val="0"/>
          <w:szCs w:val="21"/>
        </w:rPr>
      </w:pPr>
    </w:p>
    <w:p w:rsidR="00DE3145" w:rsidRPr="00DE3145" w:rsidRDefault="00DE3145" w:rsidP="00DE3145">
      <w:pPr>
        <w:widowControl/>
        <w:ind w:firstLine="480"/>
        <w:jc w:val="left"/>
        <w:rPr>
          <w:rFonts w:ascii="微软雅黑" w:eastAsia="微软雅黑" w:hAnsi="微软雅黑" w:cs="宋体" w:hint="eastAsia"/>
          <w:color w:val="505050"/>
          <w:kern w:val="0"/>
          <w:szCs w:val="21"/>
        </w:rPr>
      </w:pPr>
    </w:p>
    <w:p w:rsidR="00DE3145" w:rsidRPr="00DE3145" w:rsidRDefault="00DE3145" w:rsidP="00DE3145">
      <w:pPr>
        <w:widowControl/>
        <w:ind w:firstLine="480"/>
        <w:jc w:val="left"/>
        <w:rPr>
          <w:rFonts w:ascii="微软雅黑" w:eastAsia="微软雅黑" w:hAnsi="微软雅黑" w:cs="宋体" w:hint="eastAsia"/>
          <w:color w:val="505050"/>
          <w:kern w:val="0"/>
          <w:szCs w:val="21"/>
        </w:rPr>
      </w:pPr>
    </w:p>
    <w:p w:rsidR="00DE3145" w:rsidRPr="00DE3145" w:rsidRDefault="00DE3145" w:rsidP="00DE3145">
      <w:pPr>
        <w:widowControl/>
        <w:ind w:firstLine="480"/>
        <w:jc w:val="righ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阿克苏地区住房和城乡建设局</w:t>
      </w:r>
    </w:p>
    <w:p w:rsidR="00DE3145" w:rsidRPr="00DE3145" w:rsidRDefault="00DE3145" w:rsidP="00DE3145">
      <w:pPr>
        <w:widowControl/>
        <w:ind w:firstLine="480"/>
        <w:jc w:val="right"/>
        <w:rPr>
          <w:rFonts w:ascii="微软雅黑" w:eastAsia="微软雅黑" w:hAnsi="微软雅黑" w:cs="宋体" w:hint="eastAsia"/>
          <w:color w:val="505050"/>
          <w:kern w:val="0"/>
          <w:szCs w:val="21"/>
        </w:rPr>
      </w:pPr>
      <w:r w:rsidRPr="00DE3145">
        <w:rPr>
          <w:rFonts w:ascii="微软雅黑" w:eastAsia="微软雅黑" w:hAnsi="微软雅黑" w:cs="宋体" w:hint="eastAsia"/>
          <w:color w:val="505050"/>
          <w:kern w:val="0"/>
          <w:szCs w:val="21"/>
        </w:rPr>
        <w:t>2015年1月19日</w:t>
      </w:r>
    </w:p>
    <w:p w:rsidR="000D52E5" w:rsidRDefault="000D52E5">
      <w:bookmarkStart w:id="0" w:name="_GoBack"/>
      <w:bookmarkEnd w:id="0"/>
    </w:p>
    <w:sectPr w:rsidR="000D52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C99"/>
    <w:rsid w:val="000D52E5"/>
    <w:rsid w:val="00DE3145"/>
    <w:rsid w:val="00EF5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2CB422-94FD-4A27-A69F-3EBB7C1CA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966096">
      <w:bodyDiv w:val="1"/>
      <w:marLeft w:val="0"/>
      <w:marRight w:val="0"/>
      <w:marTop w:val="0"/>
      <w:marBottom w:val="0"/>
      <w:divBdr>
        <w:top w:val="none" w:sz="0" w:space="0" w:color="auto"/>
        <w:left w:val="none" w:sz="0" w:space="0" w:color="auto"/>
        <w:bottom w:val="none" w:sz="0" w:space="0" w:color="auto"/>
        <w:right w:val="none" w:sz="0" w:space="0" w:color="auto"/>
      </w:divBdr>
      <w:divsChild>
        <w:div w:id="1048452017">
          <w:marLeft w:val="0"/>
          <w:marRight w:val="0"/>
          <w:marTop w:val="0"/>
          <w:marBottom w:val="150"/>
          <w:divBdr>
            <w:top w:val="none" w:sz="0" w:space="0" w:color="auto"/>
            <w:left w:val="none" w:sz="0" w:space="0" w:color="auto"/>
            <w:bottom w:val="none" w:sz="0" w:space="0" w:color="auto"/>
            <w:right w:val="none" w:sz="0" w:space="0" w:color="auto"/>
          </w:divBdr>
        </w:div>
        <w:div w:id="741104710">
          <w:marLeft w:val="218"/>
          <w:marRight w:val="218"/>
          <w:marTop w:val="0"/>
          <w:marBottom w:val="0"/>
          <w:divBdr>
            <w:top w:val="none" w:sz="0" w:space="0" w:color="auto"/>
            <w:left w:val="none" w:sz="0" w:space="0" w:color="auto"/>
            <w:bottom w:val="none" w:sz="0" w:space="0" w:color="auto"/>
            <w:right w:val="none" w:sz="0" w:space="0" w:color="auto"/>
          </w:divBdr>
          <w:divsChild>
            <w:div w:id="1498034717">
              <w:marLeft w:val="0"/>
              <w:marRight w:val="0"/>
              <w:marTop w:val="0"/>
              <w:marBottom w:val="150"/>
              <w:divBdr>
                <w:top w:val="none" w:sz="0" w:space="0" w:color="auto"/>
                <w:left w:val="none" w:sz="0" w:space="0" w:color="auto"/>
                <w:bottom w:val="none" w:sz="0" w:space="0" w:color="auto"/>
                <w:right w:val="none" w:sz="0" w:space="0" w:color="auto"/>
              </w:divBdr>
              <w:divsChild>
                <w:div w:id="1694839310">
                  <w:marLeft w:val="0"/>
                  <w:marRight w:val="0"/>
                  <w:marTop w:val="0"/>
                  <w:marBottom w:val="0"/>
                  <w:divBdr>
                    <w:top w:val="none" w:sz="0" w:space="0" w:color="auto"/>
                    <w:left w:val="none" w:sz="0" w:space="0" w:color="auto"/>
                    <w:bottom w:val="none" w:sz="0" w:space="0" w:color="auto"/>
                    <w:right w:val="none" w:sz="0" w:space="0" w:color="auto"/>
                  </w:divBdr>
                  <w:divsChild>
                    <w:div w:id="183398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1790</Characters>
  <Application>Microsoft Office Word</Application>
  <DocSecurity>0</DocSecurity>
  <Lines>14</Lines>
  <Paragraphs>4</Paragraphs>
  <ScaleCrop>false</ScaleCrop>
  <Company>HP Inc.</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2026-07-23T03:25:00Z</dcterms:created>
  <dcterms:modified xsi:type="dcterms:W3CDTF">2026-07-23T03:25:00Z</dcterms:modified>
</cp:coreProperties>
</file>