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94" w:rsidRPr="00334294" w:rsidRDefault="00334294" w:rsidP="00334294">
      <w:pPr>
        <w:widowControl/>
        <w:jc w:val="center"/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</w:pPr>
      <w:r w:rsidRPr="003342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关于发布库尔勒市</w:t>
      </w:r>
      <w:r w:rsidRPr="003342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2014</w:t>
      </w:r>
      <w:r w:rsidRPr="003342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年</w:t>
      </w:r>
      <w:r w:rsidRPr="003342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1</w:t>
      </w:r>
      <w:r w:rsidRPr="00334294">
        <w:rPr>
          <w:rFonts w:ascii="Verdana" w:eastAsia="宋体" w:hAnsi="Verdana" w:cs="宋体"/>
          <w:b/>
          <w:bCs/>
          <w:color w:val="000000"/>
          <w:kern w:val="0"/>
          <w:sz w:val="33"/>
          <w:szCs w:val="33"/>
        </w:rPr>
        <w:t>月份建设工程价格信息的通知</w:t>
      </w:r>
    </w:p>
    <w:p w:rsidR="00334294" w:rsidRPr="00334294" w:rsidRDefault="00334294" w:rsidP="00334294">
      <w:pPr>
        <w:widowControl/>
        <w:jc w:val="center"/>
        <w:outlineLvl w:val="1"/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</w:pPr>
      <w:r w:rsidRPr="00334294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巴建发【</w:t>
      </w:r>
      <w:r w:rsidRPr="00334294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2014</w:t>
      </w:r>
      <w:r w:rsidRPr="00334294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】</w:t>
      </w:r>
      <w:r w:rsidRPr="00334294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8</w:t>
      </w:r>
      <w:r w:rsidRPr="00334294">
        <w:rPr>
          <w:rFonts w:ascii="Verdana" w:eastAsia="宋体" w:hAnsi="Verdana" w:cs="宋体"/>
          <w:b/>
          <w:bCs/>
          <w:color w:val="000000"/>
          <w:kern w:val="0"/>
          <w:sz w:val="18"/>
          <w:szCs w:val="18"/>
        </w:rPr>
        <w:t>号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br/>
        <w:t>库尔勒经济技术开发区、各县市住建局（建设局），二师建设局，各招标代理、造价咨询、施工、建设等单位：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根据一月库尔勒市建筑市场价格变化情况，经过调查、测算我站编制了《库尔勒市2014年1月份建设工程价格信息》（本建设工程是指：建筑、装饰装修、安装、市政、仿古建筑及园林、房屋修缮及抗震加固工程），现予以发布，作为建设工程计价的参考。并就有关事项通知如下：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一、建设工程工程量清单计价价格信息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根据目前建筑市场变化情况，在编制招标控制价时，人工费单价调整按巴建发【2013】55号文、巴建发【2013】34号文中的相关规定执行；材料价格可参考本文“附件”中所列价格信息，未发布的材料信息，应参照市场材料价格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二、建设工程定额计价价格信息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（一）定额内人工费单价的调整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建筑、装饰装修、安装、仿古建筑及园林、房屋修缮及抗震加固工程人工费单价，按巴建发【2013】55号文件，市政工程按巴建发【2013】34号文件相关规定执行。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（二）定额内材料价格的调整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1、建筑、装饰装修、安装、抗震加固、市政工程材料价格可参照本文“附件”中所列价格信息进行调整，未发布的主材，可依据甲、乙双方认定的发票供应价与定额内供应价找差。价差不参与取费，只计税金。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2、仿古建筑及园林、房屋修缮工程主材按照本文“附件”所列价格信息组成预算价与相应定额内材料预算价找差，未列入“附件”的材料，可依据甲、乙双方认定的发票供应价组成预算价与定额内的预算价找差。价差不参与取费，只计税金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鉴于目前建筑市场材料价格变动幅度较大，若发包方与承包方共同认可，其价格可依据甲、乙双方认可的材料价格进行计算，并在合同中约定。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（三）定额内机械费调整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1、建筑、装饰装修、安装工程定额机械费的调整按巴建发【2013】55号文的相关规定执行。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2、仿古建筑及园林工程定额内机械费的调整，在1997年仿古建筑及园林工程预算定额基础上，以定额内机械费为计算基数上调17.075%，调整部分不参与取费，只计税金。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3、房屋修缮工程定额内机械费的调整，在1999年房屋修缮工程预算定额基础上，以定额内机械费加中小型机械费为计算基数上调5.57%，调整部分不参与取费，只计税金。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三、费用定额的管理与调整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1、建筑、装饰装修、安装工程费用定额仍按新建造【2010】5号文的相关规定执行。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2、市政工程按巴建发【2013】34号文件执行，仿古建筑及园林、房屋修缮工程费用定额的调整，应按照巴建造字【2003】08号文件、巴建发【2009】16号文件执行。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3、建筑、装饰装修、安装、抗震加固、仿古建筑及园林、房屋修缮工程税金的计取，应按新建造【2011】3号文件执行，市区3.48﹪，县城（镇）3.41﹪，非市区、县城（镇）3.28﹪。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lastRenderedPageBreak/>
        <w:t>四、自治区工程造价管理总站针对建筑、装饰装修工程定额及2010年乌鲁木齐地区估价表，在新疆工程造价信息网上发布了勘误。请查阅新建总造字【2011】08、【2011】09、【2011】11、【2011】13、【2011】16号、【2011】21号、【2011】25号、【2011】29号、【2012】2号文或下载2010年乌鲁木齐地区单位估价表勘误及2010年自治区建筑消耗量定额（实体项目）上册勘误表等。新疆工程造价信息网（网址：www.xjzj.com）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五、且末、若羌县离库尔勒较远，两县没有大规模的建材市场，大部分建筑主材从库尔勒拉运，建安工程主材运距较远，定额内主材在本信息价格的基础上，可参照执行国家相关运率标准。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六、请库尔勒经济技术开发区、各县市住建局（建设局），二师建设局按本通知精神，做好2014年1月份结算工作。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七、本通知由巴州建设工程造价管理站负责解释。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附件一：库尔勒市2014年1月份建设工程价格信息。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4294" w:rsidRPr="00334294" w:rsidRDefault="00334294" w:rsidP="00334294">
      <w:pPr>
        <w:widowControl/>
        <w:shd w:val="clear" w:color="auto" w:fill="FFFFFF"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巴州住房和城乡建设局</w:t>
      </w:r>
    </w:p>
    <w:p w:rsidR="00334294" w:rsidRPr="00334294" w:rsidRDefault="00334294" w:rsidP="00334294">
      <w:pPr>
        <w:widowControl/>
        <w:shd w:val="clear" w:color="auto" w:fill="FFFFFF"/>
        <w:ind w:firstLine="480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4294" w:rsidRPr="00334294" w:rsidRDefault="00334294" w:rsidP="00334294">
      <w:pPr>
        <w:widowControl/>
        <w:shd w:val="clear" w:color="auto" w:fill="FFFFFF"/>
        <w:ind w:firstLine="480"/>
        <w:jc w:val="lef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</w:p>
    <w:p w:rsidR="00334294" w:rsidRPr="00334294" w:rsidRDefault="00334294" w:rsidP="00334294">
      <w:pPr>
        <w:widowControl/>
        <w:shd w:val="clear" w:color="auto" w:fill="FFFFFF"/>
        <w:jc w:val="right"/>
        <w:rPr>
          <w:rFonts w:ascii="微软雅黑" w:eastAsia="微软雅黑" w:hAnsi="微软雅黑" w:cs="宋体" w:hint="eastAsia"/>
          <w:color w:val="505050"/>
          <w:kern w:val="0"/>
          <w:szCs w:val="21"/>
        </w:rPr>
      </w:pPr>
      <w:r w:rsidRPr="00334294">
        <w:rPr>
          <w:rFonts w:ascii="微软雅黑" w:eastAsia="微软雅黑" w:hAnsi="微软雅黑" w:cs="宋体" w:hint="eastAsia"/>
          <w:color w:val="505050"/>
          <w:kern w:val="0"/>
          <w:szCs w:val="21"/>
        </w:rPr>
        <w:t>二〇一四年二月十二日</w:t>
      </w:r>
    </w:p>
    <w:p w:rsidR="008B3AE9" w:rsidRDefault="008B3AE9">
      <w:bookmarkStart w:id="0" w:name="_GoBack"/>
      <w:bookmarkEnd w:id="0"/>
    </w:p>
    <w:sectPr w:rsidR="008B3A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393"/>
    <w:rsid w:val="001B0393"/>
    <w:rsid w:val="00334294"/>
    <w:rsid w:val="008B3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24A508-8FE6-46D4-B2EB-984F1FF10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33429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334294"/>
    <w:rPr>
      <w:rFonts w:ascii="宋体" w:eastAsia="宋体" w:hAnsi="宋体" w:cs="宋体"/>
      <w:b/>
      <w:bCs/>
      <w:kern w:val="0"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33429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33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6639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4535">
          <w:marLeft w:val="218"/>
          <w:marRight w:val="218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428920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585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242</Words>
  <Characters>1384</Characters>
  <Application>Microsoft Office Word</Application>
  <DocSecurity>0</DocSecurity>
  <Lines>11</Lines>
  <Paragraphs>3</Paragraphs>
  <ScaleCrop>false</ScaleCrop>
  <Company>HP Inc.</Company>
  <LinksUpToDate>false</LinksUpToDate>
  <CharactersWithSpaces>1623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glodon</dc:creator>
  <cp:keywords/>
  <dc:description/>
  <cp:lastModifiedBy>glodon</cp:lastModifiedBy>
  <cp:revision>3</cp:revision>
  <dcterms:created xsi:type="dcterms:W3CDTF">2026-07-23T03:54:00Z</dcterms:created>
  <dcterms:modified xsi:type="dcterms:W3CDTF">2026-07-23T03:54:00Z</dcterms:modified>
</cp:coreProperties>
</file>