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eastAsia"/>
          <w:lang w:val="en-US" w:eastAsia="zh-CN"/>
        </w:rPr>
        <w:tab/>
      </w:r>
      <w:r>
        <w:rPr>
          <w:rFonts w:hint="default" w:ascii="Verdana" w:hAnsi="Verdana" w:eastAsia="宋体" w:cs="Verdana"/>
          <w:b/>
          <w:bCs/>
          <w:i w:val="0"/>
          <w:iCs w:val="0"/>
          <w:caps w:val="0"/>
          <w:color w:val="000000"/>
          <w:spacing w:val="0"/>
          <w:kern w:val="0"/>
          <w:sz w:val="33"/>
          <w:szCs w:val="33"/>
          <w:lang w:val="en-US" w:eastAsia="zh-CN" w:bidi="ar"/>
        </w:rPr>
        <w:t>关于发布哈密区域2014年10月</w:t>
      </w:r>
      <w:r>
        <w:rPr>
          <w:rFonts w:hint="eastAsia" w:ascii="Verdana" w:hAnsi="Verdana" w:eastAsia="宋体" w:cs="Verdana"/>
          <w:b/>
          <w:bCs/>
          <w:i w:val="0"/>
          <w:iCs w:val="0"/>
          <w:caps w:val="0"/>
          <w:color w:val="000000"/>
          <w:spacing w:val="0"/>
          <w:kern w:val="0"/>
          <w:sz w:val="33"/>
          <w:szCs w:val="33"/>
          <w:lang w:val="en-US" w:eastAsia="zh-CN" w:bidi="ar"/>
        </w:rPr>
        <w:t>、</w:t>
      </w:r>
      <w:r>
        <w:rPr>
          <w:rFonts w:hint="default" w:ascii="Verdana" w:hAnsi="Verdana" w:eastAsia="宋体" w:cs="Verdana"/>
          <w:b/>
          <w:bCs/>
          <w:i w:val="0"/>
          <w:iCs w:val="0"/>
          <w:caps w:val="0"/>
          <w:color w:val="000000"/>
          <w:spacing w:val="0"/>
          <w:kern w:val="0"/>
          <w:sz w:val="33"/>
          <w:szCs w:val="33"/>
          <w:lang w:val="en-US" w:eastAsia="zh-CN" w:bidi="ar"/>
        </w:rPr>
        <w:t>11月</w:t>
      </w:r>
      <w:r>
        <w:rPr>
          <w:rFonts w:hint="eastAsia" w:ascii="Verdana" w:hAnsi="Verdana" w:eastAsia="宋体" w:cs="Verdana"/>
          <w:b/>
          <w:bCs/>
          <w:i w:val="0"/>
          <w:iCs w:val="0"/>
          <w:caps w:val="0"/>
          <w:color w:val="000000"/>
          <w:spacing w:val="0"/>
          <w:kern w:val="0"/>
          <w:sz w:val="33"/>
          <w:szCs w:val="33"/>
          <w:lang w:val="en-US" w:eastAsia="zh-CN" w:bidi="ar"/>
        </w:rPr>
        <w:t>、</w:t>
      </w:r>
      <w:bookmarkStart w:id="0" w:name="_GoBack"/>
      <w:bookmarkEnd w:id="0"/>
      <w:r>
        <w:rPr>
          <w:rFonts w:hint="default" w:ascii="Verdana" w:hAnsi="Verdana" w:eastAsia="宋体" w:cs="Verdana"/>
          <w:b/>
          <w:bCs/>
          <w:i w:val="0"/>
          <w:iCs w:val="0"/>
          <w:caps w:val="0"/>
          <w:color w:val="000000"/>
          <w:spacing w:val="0"/>
          <w:kern w:val="0"/>
          <w:sz w:val="33"/>
          <w:szCs w:val="33"/>
          <w:lang w:val="en-US" w:eastAsia="zh-CN" w:bidi="ar"/>
        </w:rPr>
        <w:t>12月份建设工程价格信息的通知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rPr>
        <w:t>哈地建字〔2015〕6号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各县(市)住建局、发改委、财政局、审计局，地区各有关部门（单位），中央、自治区驻哈单位，兵团十三师，各建设、设计、施工单位及工程造价咨询机构：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根据哈密区域2014年10、11、12月份建材市场价格及市场人工单价变化情况，地区建设工程造价管理站组织有关单位对哈密地区2014年10、11、12月份的主要建材市场价格进行了调查、测算，编制出了哈密区域2014年10、11、12月份主要建材价格信息，作为建设工程定额计价的预、结算及工程量清单计价的参考依据，现予以发布，并就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一、 关于执行《新疆维吾尔自治区建筑工程、全国统一安装及装修工程（消耗量）预算定额2011年哈密地区单位估价表》的有关事项：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1、相配套原则：执行旧定额，执行旧定额相配套的计算规则、估价表及相关政策文件。执行新定额，执行新定额相配套的计算规则、估价表及相关政策文件。不可交叉混用。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关于执行巴里坤县、伊吾县、三道岭矿区、大南湖煤田矿区等定额人工费区域差调整系数：巴里坤县、伊吾县、雅满苏镇、定额人工费上调13%（包括措施项人工费），三塘湖乡、淖毛湖镇、星星峡镇、七角井镇定额人工费上调21%（包括措施项人工费），三道岭矿区、大南湖煤田矿区、骆驼圈子工业区、沁城乡、五堡镇、白石头乡定额人工费上调9%（包括措施项人工费），定额人工费区域差调整部分不参与取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3、招标控制价、预、结算建安人工费单价按72.5元/工日、装饰87.72元/工日计入找差，只计税金。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4、材料价差：哈密区域材料调差方式改成市场价（工地价）与定额预算价找差，详见附件一。伊吾县城区、淖毛湖镇地产材料调差详见附件二、附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三，伊吾县城区、淖毛湖镇地产材料调差方式为市场价（工地价）与定额预算价找差。巴里坤县地产材料调差可按建设单位签认的发票价（到工地价）或供货合同价（到工地价）与定额内预算价找差。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5、未列入附件中的建筑、装修、安装主材，其价格可根据甲、乙双方认定的发票供应价（到工地价）与定额内预算价找差。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定额内装饰材料（如乳胶漆、地板砖、磁砖、外墙面砖、花岗岩等）以及品种、规格、型号与定额不符的高级装饰材料及防水卷材SBS（复合胎）、安装工程的管道保护层铝箔因规格不同，可按建设单位签认的发票价（到工地价）或供货合同价（到工地价）与定额内预算价找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6、定额外签证用工：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定额外签证用工单价参照哈地建字[2012]102号中建筑工种人工成本信息表，只计税金。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二、执行《新疆维吾尔自治区市政工程消耗量定额、2012年乌鲁木齐地区市政单位估价汇总表、新疆维吾尔自治区市政工程费用定　额（2012年）》的市政工程：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执行巴里坤县、伊吾县、三道岭矿区、大南湖煤田矿区等定额人工费区域差调整系数：巴里坤县、伊吾县、雅满苏镇、定额人工费上调10.14%（包括措施项人工费），三塘湖乡、淖毛湖镇、星星峡镇、七角井镇定额人工费上调16.38%（包括措施项人工费），三道岭矿区、大南湖煤田矿区、骆驼圈子工业区、沁城乡、五堡镇、白石头乡定额人工费上调7.02%（包括措施项人工费），定额人工费区域差调整部分不参与取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二、 执行旧估价表的工程：执行哈地建字（2012）20号文中第2条款。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(1)定额内机械费调整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1、仿古建筑及园林工程定额内机械费的调整，在1997年仿古建筑及园林工程预算定额中以百分比计算的机械费为基数上调16.83%，调整部分不参与取费，只计税金。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2、房屋修缮工程定额内机械费的调整，在1999年房屋修缮工程预算定额基础上，以定额内机械费加中小型机械费为计算基数上调5.49%，调整部分不参与取费，只计税金。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(2)材料价差调整方式：本附件价格（工地价）-旧估价表的定额预算价。未列入附件一的材料可按建设单位签认的发票价（到工地价）或供货合同价（到工地价）与旧估价表的定额内预算价找差。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伊吾县城区、淖毛湖镇地产材料调差方式：附件二、附件三的材料价（工地价）-旧估价表的定额预算价。巴里坤县地产材料调差可按建设单位签认的发票价（到工地价）或供货合同价（到工地价）与定额内预算价找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人工价差：建筑工日单价调至65元/工日，安装工日单价调至65元/工日,调整公式详见哈地建字（2007）82号文。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四、大南湖煤田矿区工程：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大南湖煤田矿区执行《新疆维吾尔自治区建筑工程、全国统一安装及装修工程（消耗量）预算定额2011年哈密地区单位估价表》的工程，定额人工费上调9%（包括措施项人工费）不参与取费，材料价差执行附件一价格计算，材料超运距公式：70公里（超运距）*建设单位确认的运率计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2、大南湖煤田矿区工程指导性运费：钢材类运率：1元/吨.公里，砂石类运率：0.75元/立方. 公里,标准砖运率：6元/千块. 公里,加气砼块运率：0.8元/立方. 公里,水泥运率：1.5元/吨.公里,木材类运率：12元/立方. 公里。指导性运费只作为参考，结算按建设单位确认的运率计入。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3、执行电力定额、煤炭定额的工程:材料预结算单价公式：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材料预结算价格=（原价+运杂费）×（1+场外运输损耗率）×（1+采购及保管费率），材料原价、运距、运率由建设单位确认计入。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五、执行期限及范围：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1．本通知执行日期为2014年10月1日至12月31日。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　2014年10月1日至12月31日完成的工程量执行本文。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六、价差调整方式：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2014年1月1日起价差均改为：市场价（工地价）-定额预算价，只计税金。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七、本通知由哈密地区建设工程造价管理站负责解释。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附件一：2014年10、11、12月份哈密区域建设工程材料价格信息表。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附件二：2014年10、11、12月份伊吾县城区建设工程地产材料价格信息表。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附件三：2014年10、11、12月份伊吾县淖毛湖镇建设工程地产材料价格信息表。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rPr>
        <w:t>二〇一五年一月十五日</w:t>
      </w:r>
    </w:p>
    <w:p>
      <w:pPr>
        <w:tabs>
          <w:tab w:val="left" w:pos="6043"/>
        </w:tabs>
        <w:bidi w:val="0"/>
        <w:jc w:val="left"/>
        <w:rPr>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3AC3A16"/>
    <w:rsid w:val="75DE2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2026-07-17T10:24:00Z</dcterms:created>
  <dc:creator>Administrator</dc:creator>
  <cp:lastModifiedBy>Administrator</cp:lastModifiedBy>
  <dcterms:modified xsi:type="dcterms:W3CDTF">2026-08-11T09:34:17Z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6C5ECD47210C44F4A5430EE221A62AE2_12</vt:lpwstr>
  </property>
</Properties>
</file>