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关于发布哈密区域2014年7月</w:t>
      </w:r>
      <w:r>
        <w:rPr>
          <w:rFonts w:hint="eastAsia" w:ascii="Verdana" w:hAnsi="Verdana" w:eastAsia="宋体" w:cs="Verdana"/>
          <w:b/>
          <w:bCs/>
          <w:i w:val="0"/>
          <w:iCs w:val="0"/>
          <w:caps w:val="0"/>
          <w:color w:val="000000"/>
          <w:spacing w:val="0"/>
          <w:kern w:val="0"/>
          <w:sz w:val="33"/>
          <w:szCs w:val="33"/>
          <w:lang w:val="en-US" w:eastAsia="zh-CN" w:bidi="ar"/>
        </w:rPr>
        <w:t>、</w:t>
      </w:r>
      <w:r>
        <w:rPr>
          <w:rFonts w:hint="default" w:ascii="Verdana" w:hAnsi="Verdana" w:eastAsia="宋体" w:cs="Verdana"/>
          <w:b/>
          <w:bCs/>
          <w:i w:val="0"/>
          <w:iCs w:val="0"/>
          <w:caps w:val="0"/>
          <w:color w:val="000000"/>
          <w:spacing w:val="0"/>
          <w:kern w:val="0"/>
          <w:sz w:val="33"/>
          <w:szCs w:val="33"/>
          <w:lang w:val="en-US" w:eastAsia="zh-CN" w:bidi="ar"/>
        </w:rPr>
        <w:t>8月</w:t>
      </w:r>
      <w:r>
        <w:rPr>
          <w:rFonts w:hint="eastAsia" w:ascii="Verdana" w:hAnsi="Verdana" w:eastAsia="宋体" w:cs="Verdana"/>
          <w:b/>
          <w:bCs/>
          <w:i w:val="0"/>
          <w:iCs w:val="0"/>
          <w:caps w:val="0"/>
          <w:color w:val="000000"/>
          <w:spacing w:val="0"/>
          <w:kern w:val="0"/>
          <w:sz w:val="33"/>
          <w:szCs w:val="33"/>
          <w:lang w:val="en-US" w:eastAsia="zh-CN" w:bidi="ar"/>
        </w:rPr>
        <w:t>、</w:t>
      </w:r>
      <w:r>
        <w:rPr>
          <w:rFonts w:hint="default" w:ascii="Verdana" w:hAnsi="Verdana" w:eastAsia="宋体" w:cs="Verdana"/>
          <w:b/>
          <w:bCs/>
          <w:i w:val="0"/>
          <w:iCs w:val="0"/>
          <w:caps w:val="0"/>
          <w:color w:val="000000"/>
          <w:spacing w:val="0"/>
          <w:kern w:val="0"/>
          <w:sz w:val="33"/>
          <w:szCs w:val="33"/>
          <w:lang w:val="en-US" w:eastAsia="zh-CN" w:bidi="ar"/>
        </w:rPr>
        <w:t>9月份建设工程价格信息的通知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哈地建字〔2014〕68号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bookmarkStart w:id="0" w:name="_GoBack"/>
      <w:bookmarkEnd w:id="0"/>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各县(市)住建局、发改委、财政局、审计局，地区各有关部门（单位），中央、自治区驻哈单位，兵团十三师，各建设、设计、施工单位及工程造价咨询机构：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根据哈密区域2014年7、8、9月份建材市场价格及市场人工单价变化情况，地区建设工程造价管理站组织有关单位对哈密地区2014年7、8、9月份的主要建材市场价格进行了调查、测算，编制出了哈密区域2014年7、8、9月份主要建材价格信息，作为建设工程定额计价的预、结算及工程量清单计价的参考依据，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 关于执行《新疆维吾尔自治区建筑工程、全国统一安装及装修工程（消耗量）预算定额2011年哈密地区单位估价表》的有关事项：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1、相配套原则：执行旧定额，执行旧定额相配套的计算规则、估价表及相关政策文件。执行新定额，执行新定额相配套的计算规则、估价表及相关政策文件。不可交叉混用。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关于执行巴里坤县、伊吾县、三道岭矿区、大南湖煤田矿区等定额人工费区域差调整系数：巴里坤县、伊吾县、雅满苏镇、定额人工费上调13%（包括措施项人工费），三塘湖乡、淖毛湖镇、星星峡镇、七角井镇定额人工费上调21%（包括措施项人工费），三道岭矿区、大南湖煤田矿区、骆驼圈子工业区、沁城乡、五堡镇、白石头乡定额人工费上调9%（包括措施项人工费），定额人工费区域差调整部分不参与取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3、招标控制价、预、结算建安人工费单价按72.5元/工日、装饰87.72元/工日计入找差，只计税金。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材料价差：哈密区域材料调差方式改成市场价（工地价）与定额预算价找差，详见附件一。伊吾县城区、淖毛湖镇地产材料调差详见附件二、附三，伊吾县城区、淖毛湖镇地产材料调差方式为市场价（工地价）与定额预算价找差。巴里坤县地产材料调差可按建设单位签认的发票价（到工地价）或供货合同价（到工地价）与定额内预算价找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5、未列入附件中的建筑、装修、安装主材，其价格可根据甲、乙双方认定的发票供应价（到工地价）与定额内预算价找差。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定额内装饰材料（如乳胶漆、地板砖、磁砖、外墙面砖、花岗岩等）以及品种、规格、型号与定额不符的高级装饰材料及防水卷材SBS（复合胎）、安装工程的管道保护层铝箔因规格不同，可按建设单位签认的发票价（到工地价）或供货合同价（到工地价）与定额内预算价找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6、定额外签证用工：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定额外签证用工单价参照哈地建字[2012]102号中建筑工种人工成本信息表，只计税金。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二、执行《新疆维吾尔自治区市政工程消耗量定额、2012年乌鲁木齐地区市政单位估价汇总表、新疆维吾尔自治区市政工程费用定　额（2012年）》的市政工程：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执行巴里坤县、伊吾县、三道岭矿区、大南湖煤田矿区等定额人工费区域差调整系数：巴里坤县、伊吾县、雅满苏镇、定额人工费上调10.14%（包括措施项人工费），三塘湖乡、淖毛湖镇、星星峡镇、七角井镇定额人工费上调16.38%（包括措施项人工费），三道岭矿区、大南湖煤田矿区、骆驼圈子工业区、沁城乡、五堡镇、白石头乡定额人工费上调7.02%（包括措施项人工费），定额人工费区域差调整部分不参与取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 执行旧估价表的工程：执行哈地建字（2012）20号文中第2条款。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(1)定额内机械费调整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1、仿古建筑及园林工程定额内机械费的调整，在1997年仿古建筑及园林工程预算定额中以百分比计算的机械费为基数上调16.83%，调整部分不参与取费，只计税金。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2、房屋修缮工程定额内机械费的调整，在1999年房屋修缮工程预算定额基础上，以定额内机械费加中小型机械费为计算基数上调5.49%，调整部分不参与取费，只计税金。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(2)材料价差调整方式：本附件价格（工地价）-旧估价表的定额预算价。未列入附件一的材料可按建设单位签认的发票价（到工地价）或供货合同价（到工地价）与旧估价表的定额内预算价找差。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伊吾县城区、淖毛湖镇地产材料调差方式：附件二、附件三的材料价（工地价）-旧估价表的定额预算价。巴里坤县地产材料调差可按建设单位签认的发票价（到工地价）或供货合同价（到工地价）与定额内预算价找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人工价差：建筑工日单价调至65元/工日，安装工日单价调至65元/工日,调整公式详见哈地建字（2007）82号文。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四、大南湖煤田矿区工程：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大南湖煤田矿区执行《新疆维吾尔自治区建筑工程、全国统一安装及装修工程（消耗量）预算定额2011年哈密地区单位估价表》的工程，定额人工费上调9%（包括措施项人工费）不参与取费，材料价差执行附件一价格计算，材料超运距公式：70公里（超运距）*建设单位确认的运率计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2、大南湖煤田矿区工程指导性运费：钢材类运率：1元/吨.公里，砂石类运率：0.75元/立方. 公里,标准砖运率：6元/千块. 公里,加气砼块运率：0.8元/立方. 公里,水泥运率：1.5元/吨.公里,木材类运率：12元/立方. 公里。指导性运费只作为参考，结算按建设单位确认的运率计入。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3、执行电力定额、煤炭定额的工程:材料预结算单价公式：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材料预结算价格=（原价+运杂费）×（1+场外运输损耗率）×（1+采购及保管费率），材料原价、运距、运率由建设单位确认计入。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五、执行期限及范围：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1．本通知执行日期为2014年7月1日至9月30日。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　2014年7月1日至9月30日完成的工程量执行本文。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六、价差调整方式：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2014年1月1日起价差均改为：市场价（工地价）-定额预算价，只计税金。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七、本通知由哈密地区建设工程造价管理站负责解释。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附件一：2014年7、8、9月份哈密区域建设工程材料价格信息表。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附件二：2014年7、8、9月份伊吾县城区建设工程地产材料价格信息表。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附件三：2014年7、8、9月份伊吾县淖毛湖镇建设工程地产材料价格信息表。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二〇一四年十月十五日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F25FF8"/>
    <w:rsid w:val="7B0C5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2026-07-17T10:23:00Z</dcterms:created>
  <dc:creator>Administrator</dc:creator>
  <cp:lastModifiedBy>Administrator</cp:lastModifiedBy>
  <dcterms:modified xsi:type="dcterms:W3CDTF">2026-08-11T09:34:49Z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49816CF0F0264CCB8A15E3C37AB48C82_12</vt:lpwstr>
  </property>
</Properties>
</file>