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关于发布《克州二〇一四年一月份建设工程主要材料价格信息》的通知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sz w:val="18"/>
          <w:szCs w:val="18"/>
        </w:rPr>
      </w:pPr>
      <w:r>
        <w:rPr>
          <w:i w:val="0"/>
          <w:iCs w:val="0"/>
          <w:caps w:val="0"/>
          <w:color w:val="000000"/>
          <w:spacing w:val="0"/>
          <w:sz w:val="18"/>
          <w:szCs w:val="18"/>
        </w:rPr>
        <w:t>克建函〔2014〕7 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一月份的主要建筑材料价格进行调查、测算，编制了《克州二〇一四年一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一、定额内主要材料单价调整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1、建筑、装饰装修、安装、抗震加固市政、仿古建筑及园林工程材料价格可参照本文“附件”中所列价格信息进行调整。未发布的材料价格信息，应参照市场供应价格与定额内供应价进行找差，或依据甲乙双方认定的发票供应价与定额内的供应价找差，价差部分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建筑安装、装修、抗震加固工程人工费按照克州地区2010建筑安装、装修、抗震加固等单位估价表编制说明中的人工单价执行。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附件：《克州2014年1月份建设工程主要材料价格信息》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shd w:val="clear" w:fill="FFFFFF"/>
        </w:rPr>
        <w:t>二〇一四年二月二十六日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603B10"/>
    <w:rsid w:val="6619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2026-07-22T10:43:00Z</dcterms:created>
  <dc:creator>Administrator</dc:creator>
  <cp:lastModifiedBy>Administrator</cp:lastModifiedBy>
  <dcterms:modified xsi:type="dcterms:W3CDTF">2026-08-11T09:40:35Z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7A96526ECF11445B9A50AE07C43F24F8_12</vt:lpwstr>
  </property>
</Properties>
</file>