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F5DC2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关于发布乌鲁木齐地区2014年8月份建设工程价格信息的通知</w:t>
      </w:r>
    </w:p>
    <w:p w14:paraId="6D63AC2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新建总造字[2014] 17 号</w:t>
      </w:r>
    </w:p>
    <w:p w14:paraId="747B38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伊犁哈萨克自治州住房和城乡建设局，各地、州、市住房和城乡建设局（建委）、工程造价管理站，自治区各委、办、厅、局，各有关单位：</w:t>
      </w:r>
    </w:p>
    <w:p w14:paraId="37288B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包括：建筑、装饰装修、安装、市政、城市轨道交通、仿古建筑及园林、房屋修缮及抗震加固工程）人工、材料、机械台班价格信息发布工作，根据乌鲁木齐地区建筑市场价格变化情况，总站编制了《乌鲁木齐地区2014年8月份建设工程价格信息》，现予以发布，并就有关事项通知如下：</w:t>
      </w:r>
    </w:p>
    <w:p w14:paraId="54026D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执行现行建筑、装饰、安装计价定额编制招标控制价时，建筑、装饰、安装工程定额人工单价分别按83.6元/工日、91.96元/工日、85.51元/工日执行，其价差部分只计税金。机械费的调整按新建总造字【2011】08号文件有关规定执行。</w:t>
      </w:r>
    </w:p>
    <w:p w14:paraId="7E9646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二、建设工程价格信息</w:t>
      </w:r>
    </w:p>
    <w:p w14:paraId="20D41F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5BDA3F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定额内市场人工费单价的调整按现行乌鲁木齐市建设委员会发布的相关文件执行。</w:t>
      </w:r>
    </w:p>
    <w:p w14:paraId="47F2EE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046899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中“综合信息价”为预算价（到工地价），使用时应与定额内预算价（到工地价）找差。未发布的材料价格信息，可按发承包双方认定价格（到工地价）与定额内预算价（到工地价）找差。以上价差部分只计税金。</w:t>
      </w:r>
    </w:p>
    <w:p w14:paraId="677B41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鉴于目前建筑市场材料价格变动幅度较大，若发包方与承包方共同认可，其价格可依据承发包双方认可的材料价格进行计算，并在合同中约定。</w:t>
      </w:r>
    </w:p>
    <w:p w14:paraId="54DFA2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50FB55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1、仿古建筑及园林工程定额内机械费的调整，在1997年仿古建筑及园林工程预算定额中以百分比计算的机械费为基数上调17.42%，调整部分不参与取费，只计税金。</w:t>
      </w:r>
    </w:p>
    <w:p w14:paraId="260D6A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2、房屋修缮工程定额内机械费的调整，在1999年房屋修缮工程预算定额基础上，以定额内机械费加中小型机械费为计算基数上调5.68%，调整部分不参与取费，只计税金。</w:t>
      </w:r>
    </w:p>
    <w:p w14:paraId="525E60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三、各地、州、市工程造价管理站应按照本通知要求，切实做好本地区建设工程价格信息发布工作。</w:t>
      </w:r>
    </w:p>
    <w:p w14:paraId="715FDF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本通知由自治区工程造价管理总站负责解释。有关信息可直接登录新疆工程造价信息网（</w:t>
      </w:r>
      <w:r>
        <w:rPr>
          <w:rFonts w:hint="eastAsia" w:ascii="微软雅黑" w:hAnsi="微软雅黑" w:eastAsia="微软雅黑" w:cs="微软雅黑"/>
          <w:i w:val="0"/>
          <w:iCs w:val="0"/>
          <w:caps w:val="0"/>
          <w:spacing w:val="0"/>
          <w:sz w:val="21"/>
          <w:szCs w:val="21"/>
          <w:u w:val="none"/>
          <w:bdr w:val="none" w:color="auto" w:sz="0" w:space="0"/>
        </w:rPr>
        <w:fldChar w:fldCharType="begin"/>
      </w:r>
      <w:r>
        <w:rPr>
          <w:rFonts w:hint="eastAsia" w:ascii="微软雅黑" w:hAnsi="微软雅黑" w:eastAsia="微软雅黑" w:cs="微软雅黑"/>
          <w:i w:val="0"/>
          <w:iCs w:val="0"/>
          <w:caps w:val="0"/>
          <w:spacing w:val="0"/>
          <w:sz w:val="21"/>
          <w:szCs w:val="21"/>
          <w:u w:val="none"/>
          <w:bdr w:val="none" w:color="auto" w:sz="0" w:space="0"/>
        </w:rPr>
        <w:instrText xml:space="preserve"> HYPERLINK "http://www.xjzj.com/" \t "https://www.xjzj.com/Home/PoliciesDetail/_blank" </w:instrText>
      </w:r>
      <w:r>
        <w:rPr>
          <w:rFonts w:hint="eastAsia" w:ascii="微软雅黑" w:hAnsi="微软雅黑" w:eastAsia="微软雅黑" w:cs="微软雅黑"/>
          <w:i w:val="0"/>
          <w:iCs w:val="0"/>
          <w:caps w:val="0"/>
          <w:spacing w:val="0"/>
          <w:sz w:val="21"/>
          <w:szCs w:val="21"/>
          <w:u w:val="none"/>
          <w:bdr w:val="none" w:color="auto" w:sz="0" w:space="0"/>
        </w:rPr>
        <w:fldChar w:fldCharType="separate"/>
      </w:r>
      <w:r>
        <w:rPr>
          <w:rStyle w:val="6"/>
          <w:rFonts w:hint="eastAsia" w:ascii="微软雅黑" w:hAnsi="微软雅黑" w:eastAsia="微软雅黑" w:cs="微软雅黑"/>
          <w:i w:val="0"/>
          <w:iCs w:val="0"/>
          <w:caps w:val="0"/>
          <w:spacing w:val="0"/>
          <w:sz w:val="21"/>
          <w:szCs w:val="21"/>
          <w:u w:val="none"/>
          <w:bdr w:val="none" w:color="auto" w:sz="0" w:space="0"/>
        </w:rPr>
        <w:t>www.xjzj.com</w:t>
      </w:r>
      <w:r>
        <w:rPr>
          <w:rFonts w:hint="eastAsia" w:ascii="微软雅黑" w:hAnsi="微软雅黑" w:eastAsia="微软雅黑" w:cs="微软雅黑"/>
          <w:i w:val="0"/>
          <w:iCs w:val="0"/>
          <w:caps w:val="0"/>
          <w:spacing w:val="0"/>
          <w:sz w:val="21"/>
          <w:szCs w:val="21"/>
          <w:u w:val="none"/>
          <w:bdr w:val="none" w:color="auto" w:sz="0" w:space="0"/>
        </w:rPr>
        <w:fldChar w:fldCharType="end"/>
      </w:r>
      <w:r>
        <w:rPr>
          <w:rFonts w:hint="eastAsia" w:ascii="微软雅黑" w:hAnsi="微软雅黑" w:eastAsia="微软雅黑" w:cs="微软雅黑"/>
          <w:i w:val="0"/>
          <w:iCs w:val="0"/>
          <w:caps w:val="0"/>
          <w:color w:val="505050"/>
          <w:spacing w:val="0"/>
          <w:sz w:val="21"/>
          <w:szCs w:val="21"/>
          <w:bdr w:val="none" w:color="auto" w:sz="0" w:space="0"/>
        </w:rPr>
        <w:t>）查询。</w:t>
      </w:r>
    </w:p>
    <w:p w14:paraId="5ED3A2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联系电话：</w:t>
      </w:r>
    </w:p>
    <w:p w14:paraId="4E0BEE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价格信息科 0991—8862959</w:t>
      </w:r>
    </w:p>
    <w:p w14:paraId="557E86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清单科 0991—8843870</w:t>
      </w:r>
    </w:p>
    <w:p w14:paraId="54F922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定额科 0991—8863718</w:t>
      </w:r>
    </w:p>
    <w:p w14:paraId="0B0BB4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762DB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附件：乌鲁木齐地区2014年8月份建设工程价格信息</w:t>
      </w:r>
    </w:p>
    <w:p w14:paraId="34434B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820ED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98C75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58CB7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p>
    <w:p w14:paraId="330D09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2014年10月13日</w:t>
      </w:r>
    </w:p>
    <w:p w14:paraId="1C72710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9E0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2026-07-14T08:33:53Z</dcterms:created>
  <dc:creator>yangl</dc:creator>
  <cp:lastModifiedBy>yangl</cp:lastModifiedBy>
  <dcterms:modified xsi:type="dcterms:W3CDTF">2026-07-14T08:33:57Z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4DB1139ADC3649849C7D4548CCA7E9F0_12</vt:lpwstr>
  </property>
</Properties>
</file>