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D1A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关于发布石河子地区2011年第三季度建筑工程实物工程量与建筑工种人工成本信息的通知</w:t>
      </w:r>
    </w:p>
    <w:p w14:paraId="30C120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石建发【2011】537号</w:t>
      </w:r>
    </w:p>
    <w:p w14:paraId="28A7A7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br w:type="textWrapping"/>
      </w: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各单位：</w:t>
      </w:r>
    </w:p>
    <w:p w14:paraId="44B73E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了做好石河子地区建筑工程实物工程量与建筑工种人工成本信息的测算和发布工作，根据建设部《关于开展建筑工程实物工程量与建筑工种人工成本信息测算和发布工作的通知》（建办标函［2006］765号）和自治区建设厅相关文件要求，结合石河子地区建筑劳务市场实际，我局造价站在调查测算的基础上编制了《石河子地区2011年第三季度建筑工程实物工程量与建筑工种人工成本信息》，现予发布，作为石河子地区建筑企业合理确定建筑劳务人工成本价格及建筑工程工程量清单计价的参考依据。</w:t>
      </w:r>
    </w:p>
    <w:p w14:paraId="6C3D63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4155B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附件：1、石河子地区2011年第三季度建筑工程实物工程量人</w:t>
      </w:r>
    </w:p>
    <w:p w14:paraId="694684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工成本信息</w:t>
      </w:r>
    </w:p>
    <w:p w14:paraId="540658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2、石河子地区2011年第三季度建筑工种人工成本信息</w:t>
      </w:r>
    </w:p>
    <w:p w14:paraId="3206D6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"http://www.xjzj.com/Article/UploadFiles/201111/2011111617483670.rar"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5"/>
          <w:rFonts w:hint="default" w:ascii="Verdana" w:hAnsi="Verdana" w:cs="Verdana"/>
          <w:i w:val="0"/>
          <w:iCs w:val="0"/>
          <w:caps w:val="0"/>
          <w:spacing w:val="0"/>
          <w:sz w:val="21"/>
          <w:szCs w:val="21"/>
          <w:u w:val="none"/>
          <w:bdr w:val="none" w:color="auto" w:sz="0" w:space="0"/>
        </w:rPr>
        <w:t>请下载： 实物工程量人工成本信息表（2011三季度）</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66A125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0EEA7F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二O一一年十月二十八日</w:t>
      </w:r>
    </w:p>
    <w:p w14:paraId="4A1F904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50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2026-07-16T08:54:02Z</dcterms:created>
  <dc:creator>yangl</dc:creator>
  <cp:lastModifiedBy>yangl</cp:lastModifiedBy>
  <dcterms:modified xsi:type="dcterms:W3CDTF">2026-07-16T08:54:11Z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59B25E102DBF4377963C7AA9626B78D1_12</vt:lpwstr>
  </property>
</Properties>
</file>