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82E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关于发布石河子地区2011年三季度建设工程价格信息的通知</w:t>
      </w:r>
    </w:p>
    <w:p w14:paraId="19D3E4F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石建发【2011】536号</w:t>
      </w:r>
    </w:p>
    <w:p w14:paraId="456F3C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br w:type="textWrapping"/>
      </w:r>
      <w:r>
        <w:rPr>
          <w:rFonts w:hint="default" w:ascii="Verdana" w:hAnsi="Verdana" w:eastAsia="宋体" w:cs="Verdana"/>
          <w:i w:val="0"/>
          <w:iCs w:val="0"/>
          <w:caps w:val="0"/>
          <w:color w:val="505050"/>
          <w:spacing w:val="0"/>
          <w:kern w:val="0"/>
          <w:sz w:val="21"/>
          <w:szCs w:val="21"/>
          <w:bdr w:val="none" w:color="auto" w:sz="0" w:space="0"/>
          <w:lang w:val="en-US" w:eastAsia="zh-CN" w:bidi="ar"/>
        </w:rPr>
        <w:t>各有关单位：</w:t>
      </w:r>
    </w:p>
    <w:p w14:paraId="2C2676C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为了做好石河子地区建设工程人工、材料、机械台班价格信息发布工作，（本建设工程是指建筑、装饰装修、安装、市政、仿估建筑及园林、房屋修缮及抗震加固工程），根据石河子地区建筑市场价格变化情况，我局造价站编制了石河子地区2011年第三季度建设工程价格信息现予发布，作为建设工程计价的参考，并就有关事项通知如下：</w:t>
      </w:r>
    </w:p>
    <w:p w14:paraId="211BA3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一、关于执行2010新计价定额乌市单价表的地差调整说明：因为在新单价表的下发文件中已对人工工资和机械台班进行了专项调整，则在具体调整中只对材料价格部分进行相应的地差系数调整。</w:t>
      </w:r>
    </w:p>
    <w:p w14:paraId="21C5932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二、建设工程工程量清单计价价格信息</w:t>
      </w:r>
    </w:p>
    <w:p w14:paraId="7E3182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实行工程量清单计价的工程项目，可参照石河子地区建筑工程实物工程量人工成本信息，建筑工种人工成本信息，石河子地区建设工程价格信息作为计价的参考。</w:t>
      </w:r>
    </w:p>
    <w:p w14:paraId="2F0D7A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根据目前建筑市场变化情况，在编制招标控制价时，人工费单价上限和机械费的调整，按石建发[2011]345号文中的相关规定执行。材料价格可参照本文“附件”所列价格信息进行调整，未发布的材料信息，应参照市场材料价格进行调整。</w:t>
      </w:r>
    </w:p>
    <w:p w14:paraId="7B69C5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三、建设工程定额计价价格信息</w:t>
      </w:r>
    </w:p>
    <w:p w14:paraId="7C1156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㈠、定额内人工费单价调整</w:t>
      </w:r>
    </w:p>
    <w:p w14:paraId="1E63AF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⒈定额内政策性人工费单价调整：市政、仿古建筑及园林、房屋修缮工程定额内人工费单价的调整按照《关于调整石河子地区建设工程定额人工费单价通知》（石建发[2008]436号）文件规定执行，原招投标约定执行2004年单价的建安工程亦参照上述办法调整。</w:t>
      </w:r>
    </w:p>
    <w:p w14:paraId="74CDEC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⒉定额内市场人工费单价调整：石河子地区与乌鲁木齐地区同属一个工资区域，根据新建总造字[2008]22号文件精神，石河子地区建筑工程（指执行2004单价的建筑工程）、市政工程、仿古建筑及园林工程、房屋、修缮工程定额内市场人工费单价的调整可参照（乌建发[2011]505号）文件进行调整，即在《关于调整石河子地区建设工程定额人工费单价的通知》（石建发[2008]436号）文件规定调整的基础上建筑工程、市政工程、仿古建筑及园林工程、房屋修缮工程：调增26.10元/定额工日；安装工程、市政安装工程、房屋修缮安装工程：调增27.86元/定额工日。</w:t>
      </w:r>
    </w:p>
    <w:p w14:paraId="0D5ECA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⒊执行2010年新计价定额，如合同约定执行人工费单价下限的，参考下列标准进行调整：</w:t>
      </w:r>
    </w:p>
    <w:p w14:paraId="78FC5A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建筑工程的调增6.00元/定额工日；安装工程调增7.32元/定额工日；装饰装修工程调增6.61元/定额工日；抗震加固工程参照执行。</w:t>
      </w:r>
    </w:p>
    <w:p w14:paraId="3D21CD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⒋定额内市场人工单价的调整是对定额人工单价的找差，调增部分单独列项，只计税金，不计取其他费用。</w:t>
      </w:r>
    </w:p>
    <w:p w14:paraId="050241A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㈡、定额内材料价格的调整</w:t>
      </w:r>
    </w:p>
    <w:p w14:paraId="3A78E1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⒈建筑、装饰装修、安装、抗震加固工程可参照本文“附件”所发布的材料价格信息进行调整；未发布的材料价格信息应参照市场材料价格进行调整。</w:t>
      </w:r>
    </w:p>
    <w:p w14:paraId="06CA894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⒉市政工程工程仿古建筑及园林、房屋修缮工程材料价格可按本文“附件”所列价格进行调整。市政工程未列入“附件”的其它主材可按甲、乙双方认定的发票供应价与定额内供应价找差。价差部分只计税金。</w:t>
      </w:r>
    </w:p>
    <w:p w14:paraId="144A6F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仿古建筑及园林工程、房屋修缮工程未列入“附件”的材料，可根据甲、乙双方认定的发票供应价组成预算价与定额预算价找差，价差部分只计税金。</w:t>
      </w:r>
    </w:p>
    <w:p w14:paraId="49A2AF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市政工程若使用商品砼，应执行市政工程《商品砼消耗量定额2003年乌鲁木齐地区参考单价》与“附件”中商品砼找差，价差部份只计税金。</w:t>
      </w:r>
    </w:p>
    <w:p w14:paraId="7E6AE94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鉴于目前建筑市场材料价格变动幅度较大，若发包方与承包方共同认可，其价格可依据甲、乙双方认可的材料价格进行计算，并在合同中约定。</w:t>
      </w:r>
    </w:p>
    <w:p w14:paraId="15A8BA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㈢、定额内机械费调整</w:t>
      </w:r>
    </w:p>
    <w:p w14:paraId="1A1FA44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⒈仿古建筑及园林工程定额内机械费的调整在97定额的基础上，以定额内机械费为基数上调17.83%，调整部分只计税金。</w:t>
      </w:r>
    </w:p>
    <w:p w14:paraId="3A172E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⒉房屋修缮工程：在99定额基础上，以定额内机械费加中小型机械费为基数上调5.91%，调整部分只计税金。</w:t>
      </w:r>
    </w:p>
    <w:p w14:paraId="576393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四、费用定额的管理与调整</w:t>
      </w:r>
    </w:p>
    <w:p w14:paraId="6D8BF71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新建总造字[2011]08号文件规定如下：</w:t>
      </w:r>
    </w:p>
    <w:p w14:paraId="52DF77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⒈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14:paraId="6C7D23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⒉市政工程、仿古建筑及园林工程、房屋修缮工程费用定额的调整，执行新建造[2003]1号、[2003]3号、[2003]4号文件的相关规定。</w:t>
      </w:r>
    </w:p>
    <w:p w14:paraId="2A6242D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⒊关于费用定额中“工程定额测定费”的调整，按照石建发[2009]21号文“转发《关于调整自治区建筑安装、市政、园林、修缮等工程费用定额及工程量清单计价规费标准的通知》”的通知执行。</w:t>
      </w:r>
    </w:p>
    <w:p w14:paraId="0FEFDB0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五、混凝土、砂浆配合比调整</w:t>
      </w:r>
    </w:p>
    <w:p w14:paraId="1E0FED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市政、仿古建筑及园林、房屋修缮工程中的砼、砂浆配合比按照原自治区建设厅《关于发布〈二00九年自治区建设工程定额混凝土砂浆配合比〉的通知》（新建造[2009]2号文执行。新旧混凝土砂浆配合比之间的量差计入工程直接费，参与取费；价差不参与取费，只计税金。</w:t>
      </w:r>
    </w:p>
    <w:p w14:paraId="3DD641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本通知由石河子市建设局造价站负责解释。</w:t>
      </w:r>
    </w:p>
    <w:p w14:paraId="340473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6BD3B1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begin"/>
      </w:r>
      <w:r>
        <w:rPr>
          <w:rFonts w:hint="default" w:ascii="Verdana" w:hAnsi="Verdana" w:cs="Verdana" w:eastAsiaTheme="minorEastAsia"/>
          <w:i w:val="0"/>
          <w:iCs w:val="0"/>
          <w:caps w:val="0"/>
          <w:spacing w:val="0"/>
          <w:kern w:val="0"/>
          <w:sz w:val="21"/>
          <w:szCs w:val="21"/>
          <w:u w:val="none"/>
          <w:bdr w:val="none" w:color="auto" w:sz="0" w:space="0"/>
          <w:lang w:val="en-US" w:eastAsia="zh-CN" w:bidi="ar"/>
        </w:rPr>
        <w:instrText xml:space="preserve"> HYPERLINK "http://www.xjzj.com/Article/UploadFiles/201111/2011111618071967.rar" </w:instrTex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separate"/>
      </w:r>
      <w:r>
        <w:rPr>
          <w:rStyle w:val="5"/>
          <w:rFonts w:hint="default" w:ascii="Verdana" w:hAnsi="Verdana" w:cs="Verdana"/>
          <w:i w:val="0"/>
          <w:iCs w:val="0"/>
          <w:caps w:val="0"/>
          <w:spacing w:val="0"/>
          <w:sz w:val="21"/>
          <w:szCs w:val="21"/>
          <w:u w:val="none"/>
          <w:bdr w:val="none" w:color="auto" w:sz="0" w:space="0"/>
        </w:rPr>
        <w:t>请下载附件：石河子地区2011年三季度建设工程价格信息。</w: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end"/>
      </w:r>
    </w:p>
    <w:p w14:paraId="797493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1C7CB23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7A401DF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099B01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二0一一年十月二十六日</w:t>
      </w:r>
    </w:p>
    <w:p w14:paraId="563EFA3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7A550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2026-07-16T08:53:10Z</dcterms:created>
  <dc:creator>yangl</dc:creator>
  <cp:lastModifiedBy>yangl</cp:lastModifiedBy>
  <dcterms:modified xsi:type="dcterms:W3CDTF">2026-07-16T08:53:14Z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5C29A38AE80B44069443096ECC836C3B_12</vt:lpwstr>
  </property>
</Properties>
</file>