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A2" w:rsidRPr="00C57AA2" w:rsidRDefault="00C57AA2" w:rsidP="00C57AA2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C57AA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C57AA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C57AA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C57AA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6</w:t>
      </w:r>
      <w:r w:rsidRPr="00C57AA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C57AA2" w:rsidRPr="00C57AA2" w:rsidRDefault="00C57AA2" w:rsidP="00C57AA2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C57AA2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巴建发【2011】61号</w:t>
      </w:r>
    </w:p>
    <w:p w:rsidR="00C57AA2" w:rsidRPr="00C57AA2" w:rsidRDefault="00C57AA2" w:rsidP="00C57AA2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各县（开发区）建设局、库尔勒市统筹城乡一体化委员会、农二师建设局、各设计、咨询施工单位：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2011年6月份建设工程价格信息》，现予以发布，作为建设工程计价的参考。并就有关事项通知如下：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费的调整按巴建发【2011】31号文中的相关规定执行；材料价格可参考本文“附件”中所列价格信息，未发布的材料信息，应参照市场材料价格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2、市政、仿古建筑及园林、房屋修缮工程定额内人工费单价相应调整，仍执行巴建造字〔2003〕13号文件。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1、建筑、装饰装修、安装、抗震加固工程材料价格可参照本文“附件”中所列价格信息进行调整，未发布的主材，可依据甲、乙双方认定的发票供应价与定额内供应价找差。只计税金。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2、仿古建筑及园林工程定额内机械费的调整，在1997年仿古建筑及园林工程预算定额基础上，以定额内机械费为计算基数上调17.83%，调整部分不参与取费，只计税金。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3、房屋修缮工程定额内机械费的调整，在1999年房屋修缮工程预算定额基础上，以定额内机械费加中小型机械费为计算基数上调5.82%，调整部分不参与取费，只计税金。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1、建筑、装饰装修、安装工程费用定额仍按新建造【2010】5号文的相关规定执行。但税金计取应按新建造[2011]3号文件执行。市区3.48﹪，县城（镇）3.41﹪，非市区、县城（镇）3.28﹪。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号文或下载勘误。新疆工程造价信息网（网址：www.xjzj.com）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六、请各县（开发区）建设局、库尔勒市统筹城乡一体化委员会、农二师建设局按本通知精神，做好2011年6月份结算工作。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C57AA2" w:rsidRPr="00C57AA2" w:rsidRDefault="00C57AA2" w:rsidP="00C57AA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附件：库尔勒市2011年6月份建设工程价格信息</w:t>
      </w:r>
    </w:p>
    <w:p w:rsidR="00C57AA2" w:rsidRPr="00C57AA2" w:rsidRDefault="00C57AA2" w:rsidP="00C57AA2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 巴 州 建 设 局</w:t>
      </w:r>
    </w:p>
    <w:p w:rsidR="00C57AA2" w:rsidRPr="00C57AA2" w:rsidRDefault="00C57AA2" w:rsidP="00C57AA2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C57AA2">
        <w:rPr>
          <w:rFonts w:ascii="微软雅黑" w:eastAsia="微软雅黑" w:hAnsi="微软雅黑" w:cs="宋体" w:hint="eastAsia"/>
          <w:color w:val="505050"/>
          <w:kern w:val="0"/>
          <w:szCs w:val="21"/>
        </w:rPr>
        <w:t>二O一一年七月八日</w:t>
      </w:r>
    </w:p>
    <w:p w:rsidR="00C57AA2" w:rsidRPr="00C57AA2" w:rsidRDefault="00C57AA2" w:rsidP="00C57AA2">
      <w:pPr>
        <w:widowControl/>
        <w:jc w:val="left"/>
        <w:rPr>
          <w:rFonts w:ascii="Verdana" w:eastAsia="宋体" w:hAnsi="Verdana" w:cs="宋体" w:hint="eastAsia"/>
          <w:b/>
          <w:bCs/>
          <w:color w:val="FF0000"/>
          <w:kern w:val="0"/>
          <w:sz w:val="24"/>
          <w:szCs w:val="24"/>
        </w:rPr>
      </w:pPr>
      <w:r w:rsidRPr="00C57AA2">
        <w:rPr>
          <w:rFonts w:ascii="Verdana" w:eastAsia="宋体" w:hAnsi="Verdana" w:cs="宋体"/>
          <w:b/>
          <w:bCs/>
          <w:color w:val="FF0000"/>
          <w:kern w:val="0"/>
          <w:sz w:val="24"/>
          <w:szCs w:val="24"/>
        </w:rPr>
        <w:t>下载文件：</w:t>
      </w:r>
    </w:p>
    <w:p w:rsidR="005332F0" w:rsidRDefault="005332F0">
      <w:bookmarkStart w:id="0" w:name="_GoBack"/>
      <w:bookmarkEnd w:id="0"/>
    </w:p>
    <w:sectPr w:rsidR="00533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68"/>
    <w:rsid w:val="00042568"/>
    <w:rsid w:val="005332F0"/>
    <w:rsid w:val="00C5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9DE29-364A-4D6D-8E4B-E22AEA5E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C57AA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C57AA2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59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03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871108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>HP Inc.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2026-07-23T02:21:00Z</dcterms:created>
  <dcterms:modified xsi:type="dcterms:W3CDTF">2026-07-23T02:22:00Z</dcterms:modified>
</cp:coreProperties>
</file>