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EA5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关于发布克拉玛依地区2011年第二季度建设工程价格信息的通知</w:t>
      </w:r>
    </w:p>
    <w:p w14:paraId="20F0BF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建设、施工、工程造价咨询单位：</w:t>
      </w:r>
    </w:p>
    <w:p w14:paraId="307273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克拉玛依地区建设工程人工、材料、机械台班价格信息发布工作，根据克拉玛依地区人工、机械及建材市场价格变化情况，我局编制了克拉玛依地区2011年第二季度建设工程价格信息，作为建设工程工程量清单计价的参考依据和定额计价的结算依据，现就有关事项通知如下：</w:t>
      </w:r>
    </w:p>
    <w:p w14:paraId="36AC58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一、建设工程工程量清单计价价格信息</w:t>
      </w:r>
    </w:p>
    <w:p w14:paraId="3513BB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材料价格信息可参照《克拉玛依地区2011年第二季度建设工程价格信息》（附件一、二、三、四）调整。</w:t>
      </w:r>
    </w:p>
    <w:p w14:paraId="56F2D5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（二）机械台班价格信息。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机械台班价格可参照《2003年新疆施工机械台班费用参考单价》（新建总造字〔2003〕52号）执行，机上人工成本、燃料动力单价可参照克拉玛依地区建筑工种市场人工价格和克拉玛依地区2011年第二季度材料价格信息中的燃料动力单价自行调整。</w:t>
      </w:r>
    </w:p>
    <w:p w14:paraId="282384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二、建设工程定额计价价格信息</w:t>
      </w:r>
    </w:p>
    <w:p w14:paraId="73AD02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（一）定额内人工费单价的调整</w:t>
      </w:r>
    </w:p>
    <w:p w14:paraId="64C4B5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1．定额内人工费单价调整：建设工程定额内人工费单价调整按《关于调整克拉玛依地区建设工程人工费定额单价的通知》（克建发〔2010〕236号）规定执行。</w:t>
      </w:r>
    </w:p>
    <w:p w14:paraId="21E432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2．市场人工费单价调整：建设工程市场人工费单价的调整可按招标文件和施工合同中约定办法执行。</w:t>
      </w:r>
    </w:p>
    <w:p w14:paraId="143318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（二）定额内材料价格的调整</w:t>
      </w:r>
    </w:p>
    <w:p w14:paraId="3ABA6E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w:t>
      </w:r>
    </w:p>
    <w:p w14:paraId="03A6318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2FC867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（2）建筑工程定额内主要材料按“附件一”中所列2011年第二季度建筑安装工程价格信息的品种、价格调差。</w:t>
      </w:r>
    </w:p>
    <w:p w14:paraId="415935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（3）安装工程定额内主要材料按“附件一”中所列2011年第二季度建筑安装工程价格信息计价，灯具、电缆及主要缺项材料可按甲、乙双方核实认定的发票供应价组成的预算价结算。</w:t>
      </w:r>
    </w:p>
    <w:p w14:paraId="7CB783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（4）装饰工程主要材料按甲、乙双方核实认定的发票供应价与定额内供应价找差。</w:t>
      </w:r>
    </w:p>
    <w:p w14:paraId="61B7E3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2．市政工程、房屋修缮工程、仿古建筑及园林工程：</w:t>
      </w:r>
    </w:p>
    <w:p w14:paraId="544A80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（1）市政工程执行1999年《全国统一市政工程预算定额》、2001年《新疆维吾尔自治区市政工程费用定额》和配套的2002年《克拉玛依地区市政工程预算定额单位估价汇总表》。</w:t>
      </w:r>
    </w:p>
    <w:p w14:paraId="3BA91A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（2）房屋修缮工程执行1999年《新疆维吾尔自治区房屋修缮工程费用定额》和1999年《乌鲁木齐地区房屋修缮工程预算定额单位估价表》。</w:t>
      </w:r>
    </w:p>
    <w:p w14:paraId="1770A9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p>
    <w:p w14:paraId="40A924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市政工程、仿古建筑及园林工程、房屋修缮工程的主要材料按“附件二、三、四中所列的2011年第二季度市政工程、仿古建筑及园林工程、房屋修缮工程的价格信息”调整差价。附件中未列的、价格变动大的主要材料，按甲、乙双方认定的发票供应价与定额内供应价进行找差，辅助材料不予调整。</w:t>
      </w:r>
    </w:p>
    <w:p w14:paraId="3864E3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2011年克拉玛依市政府投资建设项目商品混凝土供货商及价格的通知》（克发改发﹝2011﹞36号）文件执行。</w:t>
      </w:r>
    </w:p>
    <w:p w14:paraId="78A4F53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4．鉴于目前建筑市场主要材料价格变动幅度较大，若发包方与承包方共同认可，其价格可依据甲、乙双方认定的发票价格找差。其价差不参与取费，只计税金。</w:t>
      </w:r>
    </w:p>
    <w:p w14:paraId="04C17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（三）定额内机械费的调整。</w:t>
      </w:r>
    </w:p>
    <w:p w14:paraId="3EBD25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1．仿古建筑及园林工程定额内机械费的调整，在1997年仿古建筑及园林工程预算定额基础上，以定额内机械费为计算基数上调17.64 %，调整部分不参与取费，只计税金。</w:t>
      </w:r>
    </w:p>
    <w:p w14:paraId="00F5C9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2．房屋修缮工程定额内机械费的调整，在1999年房屋修缮工程预算定额基础上，以定额内机械费加中小型机械费为计算基数上调 5.76%，调整部分不</w:t>
      </w:r>
    </w:p>
    <w:p w14:paraId="73684E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参与取费，只计税金。</w:t>
      </w:r>
    </w:p>
    <w:p w14:paraId="2CA008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建设工程中的混凝土、砂浆配合比按照原自治区建设厅《关于发布〈二00九年自治区建设工程定额混凝土砂浆配合比〉的通知》（新建造﹝2009﹞2号）执行。新旧克拉玛依2011年第二季度价格信息混凝土砂浆配合比之间的量差计入工程直接费，参与取费；价差不参与取费，只计税金。</w:t>
      </w:r>
    </w:p>
    <w:p w14:paraId="18A7DE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begin"/>
      </w:r>
      <w:r>
        <w:rPr>
          <w:rFonts w:hint="eastAsia" w:ascii="宋体" w:hAnsi="宋体" w:eastAsia="宋体" w:cs="宋体"/>
          <w:b w:val="0"/>
          <w:bCs w:val="0"/>
          <w:i w:val="0"/>
          <w:iCs w:val="0"/>
          <w:caps w:val="0"/>
          <w:spacing w:val="0"/>
          <w:sz w:val="21"/>
          <w:szCs w:val="21"/>
          <w:u w:val="none"/>
          <w:bdr w:val="none" w:color="auto" w:sz="0" w:space="0"/>
          <w:shd w:val="clear" w:fill="FFFFFF"/>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separate"/>
      </w:r>
      <w:r>
        <w:rPr>
          <w:rStyle w:val="5"/>
          <w:rFonts w:hint="eastAsia" w:ascii="宋体" w:hAnsi="宋体" w:eastAsia="宋体" w:cs="宋体"/>
          <w:b w:val="0"/>
          <w:bCs w:val="0"/>
          <w:i w:val="0"/>
          <w:iCs w:val="0"/>
          <w:caps w:val="0"/>
          <w:spacing w:val="0"/>
          <w:sz w:val="21"/>
          <w:szCs w:val="21"/>
          <w:u w:val="none"/>
          <w:bdr w:val="none" w:color="auto" w:sz="0" w:space="0"/>
          <w:shd w:val="clear" w:fill="FFFFFF"/>
        </w:rPr>
        <w:t>www.klmygczj.com</w:t>
      </w:r>
      <w:r>
        <w:rPr>
          <w:rFonts w:hint="eastAsia" w:ascii="宋体" w:hAnsi="宋体" w:eastAsia="宋体" w:cs="宋体"/>
          <w:b w:val="0"/>
          <w:bCs w:val="0"/>
          <w:i w:val="0"/>
          <w:iCs w:val="0"/>
          <w:caps w:val="0"/>
          <w:spacing w:val="0"/>
          <w:sz w:val="21"/>
          <w:szCs w:val="21"/>
          <w:u w:val="none"/>
          <w:bdr w:val="none" w:color="auto" w:sz="0" w:space="0"/>
          <w:shd w:val="clear" w:fill="FFFFFF"/>
        </w:rPr>
        <w:fldChar w:fldCharType="end"/>
      </w:r>
      <w:r>
        <w:rPr>
          <w:rFonts w:hint="eastAsia" w:ascii="宋体" w:hAnsi="宋体" w:eastAsia="宋体" w:cs="宋体"/>
          <w:b w:val="0"/>
          <w:bCs w:val="0"/>
          <w:i w:val="0"/>
          <w:iCs w:val="0"/>
          <w:caps w:val="0"/>
          <w:color w:val="505050"/>
          <w:spacing w:val="0"/>
          <w:sz w:val="21"/>
          <w:szCs w:val="21"/>
          <w:bdr w:val="none" w:color="auto" w:sz="0" w:space="0"/>
          <w:shd w:val="clear" w:fill="FFFFFF"/>
        </w:rPr>
        <w:t>）查询。</w:t>
      </w:r>
    </w:p>
    <w:p w14:paraId="3F0D4B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五、本通知自2011年4月1日起执行。</w:t>
      </w:r>
    </w:p>
    <w:p w14:paraId="7BC35F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w:t>
      </w:r>
    </w:p>
    <w:p w14:paraId="5A785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1.克拉玛依地区2011年第二季度建筑安装工程价格信息</w:t>
      </w:r>
    </w:p>
    <w:p w14:paraId="58D715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2.克拉玛依地区2011年第二季度市政工程价格信息</w:t>
      </w:r>
    </w:p>
    <w:p w14:paraId="270E69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3.克拉玛依地区2011年第二季度仿古建筑及园林工程价格信息</w:t>
      </w:r>
    </w:p>
    <w:p w14:paraId="7CD274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4.克拉玛依地区2011年第二季度房屋修缮工程价格信息</w:t>
      </w:r>
    </w:p>
    <w:p w14:paraId="14AA9C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3FFCE6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二〇一一年六月三十日</w:t>
      </w:r>
    </w:p>
    <w:p w14:paraId="2B9D728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320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2026-07-17T08:35:27Z</dcterms:created>
  <dc:creator>yangl</dc:creator>
  <cp:lastModifiedBy>yangl</cp:lastModifiedBy>
  <dcterms:modified xsi:type="dcterms:W3CDTF">2026-07-17T08:35:31Z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1AA6B670851849C4AE050F2C2C567B17_12</vt:lpwstr>
  </property>
</Properties>
</file>