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B6076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关于发布哈密区域2013年3月、4月、5月份建设工程价格信息的通知</w:t>
      </w:r>
    </w:p>
    <w:p w14:paraId="3BC3324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哈地建字〔2013〕50号</w:t>
      </w:r>
      <w:bookmarkStart w:id="0" w:name="_GoBack"/>
      <w:bookmarkEnd w:id="0"/>
    </w:p>
    <w:p w14:paraId="44DD61F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各县(市)住建局、发改委、财政局、审计局，地区各有关部门（单位），中央、自治区驻哈单位，兵团农十三师，各建设、设计、施工单位及工程造价咨询机构：</w:t>
      </w:r>
    </w:p>
    <w:p w14:paraId="1157E92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根据哈密区域2013年3、4、5月份建材市场价格及市场人工单价变化情况，地区建设工程造价管理站组织有关单位对哈密地区2013年3、4、5月份的主要建材市场价格进行了调查、测算，编制出了哈密区域2013年3、4、5月份主要建材价格信息，作为建设工程定额计价的预、结算及工程量清单计价的参考依据，现予以发布，并就有关事项通知如下：</w:t>
      </w:r>
    </w:p>
    <w:p w14:paraId="56A1F6A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 关于执行《新疆维吾尔自治区建筑工程、全国统一安装及装修工程（消耗量）预算定额2011年哈密地区单位估价表》的有关事项：</w:t>
      </w:r>
    </w:p>
    <w:p w14:paraId="532E3D1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1、相配套原则：执行旧定额，执行旧定额相配套的计算规则、估价表及相关政策文件。执行新定额，执行新定额相配套的计算规则、估价表及相关政策文件。不可交叉混用。</w:t>
      </w:r>
    </w:p>
    <w:p w14:paraId="3DC2212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关于执行巴里坤县、伊吾县、三道岭矿区、大南湖煤田矿区等定额人工费区域差调整系数：巴里坤县、伊吾县、雅满苏镇、定额人工费上调12%（包括措施项人工费），三塘湖乡、淖毛湖镇、星星峡镇、七角井镇定额人工费上调20%（包括措施项人工费），三道岭矿区、大南湖煤田矿区、骆驼圈子工业区、沁城乡、五堡镇、白石头乡定额人工费上调8%（包括措施项人工费），定额人工费区域差调整系数参与取费。</w:t>
      </w:r>
    </w:p>
    <w:p w14:paraId="42237E0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3、招标控制价、预、结算人工费单价：均按65元/工日计入找差，只计税金。</w:t>
      </w:r>
    </w:p>
    <w:p w14:paraId="481AAC7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材料价差：哈密区域材料调差方式改成市场供应价与定额内的供应价找差，详见附件一。伊吾县城区、淖毛湖镇地产材料调差详见附件二、附件三，伊吾县城区、淖毛湖镇地产材料调差方式为市场价（工地价）与定额预算价找差。巴里坤县地产材料调差可按建设单位签认的发票价（到工地价）或供货合同价（到工地价）与定额内预算价找差。</w:t>
      </w:r>
    </w:p>
    <w:p w14:paraId="63E0CFF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5、未列入附件中的建筑、装修、安装主材，其价格可根据甲、乙双方认定的发票供应价（到工地价）与定额内预算价找差。</w:t>
      </w:r>
    </w:p>
    <w:p w14:paraId="0BF140D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定额内装饰材料（如乳胶漆、地板砖、磁砖、外墙面砖、花岗岩等）以及品种、规格、型号与定额不符的高级装饰材料及防水卷材SBS（复合胎）、安装工程的管道保护层铝箔因规格不同，可按建设单位签认的发票价（到工地价）或供货合同价（到工地价）与定额内预算价找差。</w:t>
      </w:r>
    </w:p>
    <w:p w14:paraId="5A26213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6、定额外签证用工：</w:t>
      </w:r>
    </w:p>
    <w:p w14:paraId="117B214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定额外签证用工单价参照哈地建字[2012]102号中建筑工种人工成本信息表，只计税金。</w:t>
      </w:r>
    </w:p>
    <w:p w14:paraId="2DDEFA6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二、执行旧估价表的工程：执行哈地建字（2012）20号文中第2条款。</w:t>
      </w:r>
    </w:p>
    <w:p w14:paraId="4C3F6FC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附件一的材料价差调整方式：（本附件一中市场供应价+（2011年单位估价表预算价-供应价））-旧估价表的定额预算价。未列入附件一的材料可按建设单位签认的发票价（到工地价）或供货合同价（到工地价）与旧估价表的定额内预算价找差。</w:t>
      </w:r>
    </w:p>
    <w:p w14:paraId="4D5CD5C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伊吾县城区、淖毛湖镇地产材料调差方式：附件二、附件三的材料价-旧估价表的定额预算价。巴里坤县地产材料调差可按建设单位签认的发票价（到工地价）或供货合同价（到工地价）与定额内预算价找差。</w:t>
      </w:r>
    </w:p>
    <w:p w14:paraId="1F235BC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人工价差：建筑工日单价调至50.6元/工日，安装工日单价调至51.75元/工日,调整公式详见哈地建字（2007）82号文。</w:t>
      </w:r>
    </w:p>
    <w:p w14:paraId="586580F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 大南湖煤田矿区工程：</w:t>
      </w:r>
    </w:p>
    <w:p w14:paraId="361A3CA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大南湖煤田矿区执行《新疆维吾尔自治区建筑工程、全国统一安装及装修工程（消耗量）预算定额2011年哈密地区单位估价表》的工程，定额人工费上调8%（包括措施项人工费）参与取费，材料价差执行附件一价格加运费差计算，运费差公式：实际运费-定额内运费。定额内运费：砂石料：15元/立方，砌体：10元/立方，水泥：15元/吨，钢材：15元/吨，木材：15元/立方，多孔砖：0.08元/块，标准砖：0.06元/块。实际运费按建设单位确认的单价计入。</w:t>
      </w:r>
    </w:p>
    <w:p w14:paraId="2E5B929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2、大南湖煤田矿区工程指导性运费：钢材类运率：1元/吨.公里，砂石类运率：0.75元/立方. 公里,标准砖运率：6元/千块. 公里,加气砼块运率：0.8元/立方. 公里,水泥运率：1.5元/吨.公里,木材类运率：12元/立方. 公里。指导性运费只作为参考，结算按建设单位确认的单价计入。</w:t>
      </w:r>
    </w:p>
    <w:p w14:paraId="2035EA9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3、执行电力定额、煤炭定额的工程:材料预结算单价公式：</w:t>
      </w:r>
    </w:p>
    <w:p w14:paraId="430F86A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材料预算价格=（原价+运杂费）×（1+场外运输损耗率）×（1+采购及保管费率）。</w:t>
      </w:r>
    </w:p>
    <w:p w14:paraId="2BE0F90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4、大南湖煤田矿区工程在本文执行日期前已办理完竣工结算的工程项目不再调整。未办理的可参照本文的原则结算。</w:t>
      </w:r>
    </w:p>
    <w:p w14:paraId="679D047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四、执行期限及范围：</w:t>
      </w:r>
    </w:p>
    <w:p w14:paraId="1B2D58F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1．本通知执行日期为2013年3月1日至5月31日。</w:t>
      </w:r>
    </w:p>
    <w:p w14:paraId="34839D0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　2013年3月1日至5月31日完成的工程量执行本文。</w:t>
      </w:r>
    </w:p>
    <w:p w14:paraId="5AE6009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3、凡于2013年5月31日以前已办理完竣工结算的工程项目不再调整。</w:t>
      </w:r>
    </w:p>
    <w:p w14:paraId="0E1405B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五、本通知由哈密地区建设工程造价管理站负责解释。</w:t>
      </w:r>
    </w:p>
    <w:p w14:paraId="20A21FF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附件一：2013年3、4、5月份哈密区域建设工程材料价格信息表。</w:t>
      </w:r>
    </w:p>
    <w:p w14:paraId="51FEFEF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附件二：2013年3、4、5月份伊吾县城区建设工程地产材料价格信息表。</w:t>
      </w:r>
    </w:p>
    <w:p w14:paraId="06E35A4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附件三：2013年3、4、5月份伊吾县淖毛湖镇建设工程地产材料价格信息表。</w:t>
      </w:r>
    </w:p>
    <w:p w14:paraId="43F46C5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ind w:left="218" w:right="218" w:firstLine="0"/>
        <w:jc w:val="left"/>
        <w:rPr>
          <w:rFonts w:hint="eastAsia" w:ascii="宋体" w:hAnsi="宋体" w:eastAsia="宋体" w:cs="宋体"/>
          <w:b w:val="0"/>
          <w:bCs w:val="0"/>
          <w:i w:val="0"/>
          <w:iCs w:val="0"/>
          <w:caps w:val="0"/>
          <w:color w:val="505050"/>
          <w:spacing w:val="0"/>
          <w:sz w:val="21"/>
          <w:szCs w:val="21"/>
        </w:rPr>
      </w:pPr>
    </w:p>
    <w:p w14:paraId="3A64543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0"/>
        <w:jc w:val="right"/>
        <w:rPr>
          <w:rFonts w:hint="eastAsia" w:ascii="宋体" w:hAnsi="宋体" w:eastAsia="宋体" w:cs="宋体"/>
          <w:b w:val="0"/>
          <w:bCs w:val="0"/>
          <w:i w:val="0"/>
          <w:iCs w:val="0"/>
          <w:caps w:val="0"/>
          <w:color w:val="505050"/>
          <w:spacing w:val="0"/>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二〇一三年六月十五日</w:t>
      </w:r>
    </w:p>
    <w:p w14:paraId="0225BB9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14319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2026-07-17T10:28:16Z</dcterms:created>
  <dc:creator>Administrator</dc:creator>
  <cp:lastModifiedBy>一叶知秋</cp:lastModifiedBy>
  <dcterms:modified xsi:type="dcterms:W3CDTF">2026-07-17T10:28:27Z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eyJoZGlkIjoiNzgwOTAxY2UyYzc5MDQ5Mzc1YzhkZTkzYzAyYzUyZDgiLCJ1c2VySWQiOiI0MTAzMjUwMDIifQ==</vt:lpwstr>
  </property>
  <property fmtid="{D5CDD505-2E9C-101B-9397-08002B2CF9AE}" pid="4" name="ICV">
    <vt:lpwstr>C47D7B207CA04756A21B060D6D1E2780_12</vt:lpwstr>
  </property>
</Properties>
</file>