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20826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阿勒泰地区2026年4月份建设工程综合价格信息</w:t>
      </w:r>
    </w:p>
    <w:p w14:paraId="74C1CA6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详见附件。</w:t>
      </w:r>
    </w:p>
    <w:p w14:paraId="181763FB"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4AFD1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223</Words>
  <Characters>321</Characters>
  <Lines>0</Lines>
  <Paragraphs>0</Paragraphs>
  <TotalTime>0</TotalTime>
  <ScaleCrop>false</ScaleCrop>
  <LinksUpToDate>false</LinksUpToDate>
  <CharactersWithSpaces>324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yangl</cp:lastModifiedBy>
  <dcterms:modified xsi:type="dcterms:W3CDTF">2026-07-21T04:07:53Z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eyJoZGlkIjoiOGVhOTFkNTM5YjRlNGNkZmM0MDIwZjU5NmFkOTlhYjcifQ==</vt:lpwstr>
  </property>
  <property fmtid="{D5CDD505-2E9C-101B-9397-08002B2CF9AE}" pid="3" name="KSOProductBuildVer">
    <vt:lpwstr>2052-12.1.0.26391</vt:lpwstr>
  </property>
  <property fmtid="{D5CDD505-2E9C-101B-9397-08002B2CF9AE}" pid="4" name="ICV">
    <vt:lpwstr>7D6E4B811FAC449D81ECEFB80A1ED3E5_12</vt:lpwstr>
  </property>
</Properties>
</file>