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ABA11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关于发布阿勒泰地区各县（市）及北屯镇2012年第二季度建设工程价格信息的通知</w:t>
      </w:r>
    </w:p>
    <w:p w14:paraId="1EB14D0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/>
        <w:jc w:val="center"/>
        <w:rPr>
          <w:rFonts w:ascii="宋体" w:hAnsi="宋体" w:eastAsia="宋体" w:cs="宋体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阿地建造字[2012]4号</w:t>
      </w:r>
    </w:p>
    <w:p w14:paraId="4F11B65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21"/>
          <w:szCs w:val="21"/>
        </w:rPr>
      </w:pPr>
      <w:r>
        <w:rPr>
          <w:rFonts w:ascii="仿宋_GB2312" w:hAnsi="宋体" w:eastAsia="仿宋_GB2312" w:cs="仿宋_GB2312"/>
          <w:i w:val="0"/>
          <w:iCs w:val="0"/>
          <w:caps w:val="0"/>
          <w:color w:val="50505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br w:type="textWrapping"/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50505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各县（市、景区）建设局、设计、施工单位、有关建设单位：</w:t>
      </w:r>
    </w:p>
    <w:p w14:paraId="14AFDF5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560"/>
        <w:jc w:val="left"/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50505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为做好阿勒泰地区建设工程人工、材料、机械台班价格信息发布工作（本建设工程是指：建筑、装饰装修、安装、市政、抗震加固工程），根据阿勒泰各县（市）及北屯镇2季度建筑市场价格变化情况，地区工程造价管理站编制了《2012年第二季度地区各县（市）及北屯镇建设工程价格信息》，现予以发布，作为建设工程计价的参考依据，并就有关事项通知如下：</w:t>
      </w:r>
    </w:p>
    <w:p w14:paraId="679E597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560"/>
        <w:jc w:val="left"/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50505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一、</w:t>
      </w:r>
      <w:r>
        <w:rPr>
          <w:rFonts w:ascii="楷体_GB2312" w:hAnsi="宋体" w:eastAsia="楷体_GB2312" w:cs="楷体_GB2312"/>
          <w:b/>
          <w:bCs/>
          <w:i w:val="0"/>
          <w:iCs w:val="0"/>
          <w:caps w:val="0"/>
          <w:color w:val="50505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定额内人工费单价的调整            </w:t>
      </w:r>
    </w:p>
    <w:p w14:paraId="26987D7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560"/>
        <w:jc w:val="left"/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50505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1．执行《全国统一建筑工程基础定额新疆维吾尔自治区补充预算定额2004年阿勒泰地区单位估价汇总表》、《全国统一市政工程预算定额2003年阿勒泰地区单位估价汇总表》的建设工程，定额内人工费单价的调整按照《关于发布阿勒泰地区2011年第二季度建设工程定额市场人工单价信息的通知》（阿地建造字[2011]6号）确定的标准执行。</w:t>
      </w:r>
    </w:p>
    <w:p w14:paraId="6CBCDD3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560"/>
        <w:jc w:val="left"/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50505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2．执行《新疆维吾尔自治区建筑工程消耗量定额、抗震加固工程计价定额及全国统一安装、装饰装修工程预算定额2011年阿勒泰地区单位估价表》的建设工程，按相应估价表规定计价。编制投资估算、设计概算、招标标底、招标控制价时，人工费单价应按上限65元/工日计算，其差价部分只计取税金，编制投标报价时，投标人可参照市场价格自主确定人工费单价，但不得低于定额内人工费单价。</w:t>
      </w:r>
    </w:p>
    <w:p w14:paraId="4C80294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562"/>
        <w:jc w:val="left"/>
      </w:pPr>
      <w:r>
        <w:rPr>
          <w:rFonts w:hint="default" w:ascii="仿宋_GB2312" w:hAnsi="宋体" w:eastAsia="仿宋_GB2312" w:cs="仿宋_GB2312"/>
          <w:b/>
          <w:bCs/>
          <w:i w:val="0"/>
          <w:iCs w:val="0"/>
          <w:caps w:val="0"/>
          <w:color w:val="50505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二、定额内材料价格的调整</w:t>
      </w:r>
    </w:p>
    <w:p w14:paraId="42B9489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560"/>
        <w:jc w:val="left"/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50505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1、建筑、装饰装修、安装、抗震加固工程材料价格可参照本文“附件”中所列价格信息进行调整，未发布的材料价格信息，应参照甲、乙双方认定发票供应价与定额内供应价进行找差，价差部分只计税金。</w:t>
      </w:r>
    </w:p>
    <w:p w14:paraId="5EF6727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560"/>
        <w:jc w:val="left"/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50505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2、市政工程材料价格按照本文“附件”所列价格信息与定额内材料供应价找差，未列入“附件”的材料，可依据甲、乙双方认定的发票供应价与定额内供应价进行找差，价差不参与取费，只计税金。</w:t>
      </w:r>
    </w:p>
    <w:p w14:paraId="6DCAC35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560"/>
        <w:jc w:val="left"/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50505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3、本附件中发布的“价格信息”均为市场供应价, 未发布的材料价格信息，应参照市场供应价与定额内供应价进行找差，价差部分只计税金。</w:t>
      </w:r>
    </w:p>
    <w:p w14:paraId="4D02C85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560"/>
        <w:jc w:val="left"/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50505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4、鉴于目前建筑市场材料价格变动幅度较大，若发包方与承包方共同认可，其价格可依据甲、乙双方认可的材料价格进行计算，并在合同中约定。</w:t>
      </w:r>
    </w:p>
    <w:p w14:paraId="03850BC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560"/>
        <w:jc w:val="left"/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50505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三、</w:t>
      </w:r>
      <w:r>
        <w:rPr>
          <w:rFonts w:hint="default" w:ascii="仿宋_GB2312" w:hAnsi="宋体" w:eastAsia="仿宋_GB2312" w:cs="仿宋_GB2312"/>
          <w:b/>
          <w:bCs/>
          <w:i w:val="0"/>
          <w:iCs w:val="0"/>
          <w:caps w:val="0"/>
          <w:color w:val="50505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费用定额的管理与调整</w:t>
      </w:r>
    </w:p>
    <w:p w14:paraId="0951FCD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560"/>
        <w:jc w:val="left"/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50505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1、建筑安装工程费用执行现行的费用定额。</w:t>
      </w:r>
    </w:p>
    <w:p w14:paraId="6DA21D5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560"/>
        <w:jc w:val="left"/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50505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2、市政工程执行现行的费用定额。</w:t>
      </w:r>
    </w:p>
    <w:p w14:paraId="463C742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560"/>
        <w:jc w:val="left"/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50505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3、关于费用定额中“工程定额测定费”的调整，按照阿勒泰地区建设局、发展和改革委员会“关于转发《关于调整自治区建筑安装、市政、园林、修缮等工程费用定额及工程量清单计价规费标准的通知》的通知”（阿地建发[2009]17号）规定执行。</w:t>
      </w:r>
    </w:p>
    <w:p w14:paraId="3C26963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560"/>
        <w:jc w:val="left"/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50505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4、关于费用定额中“税金”的调整，按照阿勒泰地区建设局、发展和改革委员会“关于转发《关于调整自治区建设工程税金组成和税率的通知》的通知”（阿地建造字[2011]5号）规定执行。</w:t>
      </w:r>
    </w:p>
    <w:p w14:paraId="595414D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562"/>
        <w:jc w:val="left"/>
      </w:pPr>
      <w:r>
        <w:rPr>
          <w:rFonts w:hint="default" w:ascii="仿宋_GB2312" w:hAnsi="宋体" w:eastAsia="仿宋_GB2312" w:cs="仿宋_GB2312"/>
          <w:b/>
          <w:bCs/>
          <w:i w:val="0"/>
          <w:iCs w:val="0"/>
          <w:caps w:val="0"/>
          <w:color w:val="50505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四、混凝土、砂浆配合比调整</w:t>
      </w:r>
    </w:p>
    <w:p w14:paraId="7CF5605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560"/>
        <w:jc w:val="left"/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50505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市政、仿古建筑及园林、房屋修缮工程中的混凝土、砂浆配合比按照阿地建发[2009]61号“关于转发自治区建设厅《关于发布&lt;二00九年自治区建设工程定额混凝土砂浆配合比&gt;的通知》的通知”执行。新旧混凝土砂浆配合比之间的量差计入工程直接费,参与取费；价差不参与取费，只计税金。</w:t>
      </w:r>
    </w:p>
    <w:p w14:paraId="1694E4A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562"/>
        <w:jc w:val="left"/>
      </w:pPr>
      <w:r>
        <w:rPr>
          <w:rFonts w:hint="default" w:ascii="仿宋_GB2312" w:hAnsi="宋体" w:eastAsia="仿宋_GB2312" w:cs="仿宋_GB2312"/>
          <w:b/>
          <w:bCs/>
          <w:i w:val="0"/>
          <w:iCs w:val="0"/>
          <w:caps w:val="0"/>
          <w:color w:val="50505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五、二0一二年第二季度建设工程信息价执行日期为二0一二年四月一日至二0一二年六月三十日。</w:t>
      </w:r>
    </w:p>
    <w:p w14:paraId="4E4F6EC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551"/>
        <w:jc w:val="left"/>
      </w:pPr>
      <w:r>
        <w:rPr>
          <w:rFonts w:hint="default" w:ascii="仿宋_GB2312" w:hAnsi="宋体" w:eastAsia="仿宋_GB2312" w:cs="仿宋_GB2312"/>
          <w:b/>
          <w:bCs/>
          <w:i w:val="0"/>
          <w:iCs w:val="0"/>
          <w:caps w:val="0"/>
          <w:color w:val="50505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六、凡已完成招投标的工程项目，仍按原约定执行；已办理竣工结算的工程项目不再做调整。</w:t>
      </w:r>
    </w:p>
    <w:p w14:paraId="7E37C6D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562"/>
        <w:jc w:val="left"/>
      </w:pPr>
      <w:r>
        <w:rPr>
          <w:rFonts w:hint="default" w:ascii="仿宋_GB2312" w:hAnsi="宋体" w:eastAsia="仿宋_GB2312" w:cs="仿宋_GB2312"/>
          <w:b/>
          <w:bCs/>
          <w:i w:val="0"/>
          <w:iCs w:val="0"/>
          <w:caps w:val="0"/>
          <w:color w:val="50505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七、本文管理与解释由我局建设工程造价管理站负责</w:t>
      </w:r>
    </w:p>
    <w:p w14:paraId="0AB8945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560"/>
        <w:jc w:val="left"/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50505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联系人：黎海琼         联系电话：0906—2125771</w:t>
      </w:r>
    </w:p>
    <w:p w14:paraId="789D463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1338" w:right="218" w:hanging="1120"/>
        <w:jc w:val="left"/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50505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附件一：建筑安装工程2011年阿勒泰地区单位估价表材料预算单价勘误表</w:t>
      </w:r>
    </w:p>
    <w:p w14:paraId="3E00548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1338" w:right="218" w:hanging="1120"/>
        <w:jc w:val="left"/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50505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附件二：2012年第二季度地区各县（市）及北屯镇建设工程价格信息(附件一、二可登陆阿勒泰地区建设网-标准定额栏目下载。网址：http://jsj.xjalt.gov.cn/)</w:t>
      </w:r>
    </w:p>
    <w:p w14:paraId="3930414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900"/>
        <w:jc w:val="left"/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50505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 </w:t>
      </w:r>
    </w:p>
    <w:p w14:paraId="7E1B85E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480"/>
        <w:jc w:val="right"/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50505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                             二○一二年八月五日</w:t>
      </w:r>
    </w:p>
    <w:p w14:paraId="148F6FA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kern w:val="0"/>
          <w:sz w:val="30"/>
          <w:szCs w:val="30"/>
          <w:bdr w:val="none" w:color="auto" w:sz="0" w:space="0"/>
          <w:lang w:val="en-US" w:eastAsia="zh-CN" w:bidi="ar"/>
        </w:rPr>
        <w:t>主题词：建设工程    价格信息    发布    通知</w:t>
      </w:r>
    </w:p>
    <w:p w14:paraId="5A1391E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50505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抄送：自治区工程造价管理总站、军分区后勤部、</w:t>
      </w:r>
    </w:p>
    <w:p w14:paraId="1FBED17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50505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      农十师建设局、地区发改委、财政局、审计局、</w:t>
      </w:r>
    </w:p>
    <w:p w14:paraId="17E8E8B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50505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      各县（市）发改委、财政局</w:t>
      </w:r>
    </w:p>
    <w:p w14:paraId="754EEA0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</w:pPr>
      <w:r>
        <w:rPr>
          <w:rFonts w:hint="default" w:ascii="仿宋_GB2312" w:hAnsi="宋体" w:eastAsia="仿宋_GB2312" w:cs="仿宋_GB2312"/>
          <w:i w:val="0"/>
          <w:iCs w:val="0"/>
          <w:caps w:val="0"/>
          <w:color w:val="50505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 阿勒泰地区建设局办公室           2012年8月5日印发</w:t>
      </w:r>
    </w:p>
    <w:p w14:paraId="56FEA4BA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02E5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qFormat="1"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unhideWhenUsed="0" w:uiPriority="64" w:semiHidden="0" w:name="Medium Shading 2 Accent 3"/>
    <w:lsdException w:qFormat="1"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qFormat="1"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qFormat/>
    <w:uiPriority w:val="99"/>
  </w:style>
  <w:style w:type="character" w:customStyle="1" w:styleId="136">
    <w:name w:val="Footer Char"/>
    <w:basedOn w:val="132"/>
    <w:link w:val="24"/>
    <w:qFormat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qFormat/>
    <w:uiPriority w:val="99"/>
  </w:style>
  <w:style w:type="character" w:customStyle="1" w:styleId="145">
    <w:name w:val="Body Text 2 Char"/>
    <w:basedOn w:val="132"/>
    <w:link w:val="28"/>
    <w:qFormat/>
    <w:uiPriority w:val="99"/>
  </w:style>
  <w:style w:type="character" w:customStyle="1" w:styleId="146">
    <w:name w:val="Body Text 3 Char"/>
    <w:basedOn w:val="132"/>
    <w:link w:val="17"/>
    <w:qFormat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qFormat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1172</Words>
  <Characters>1273</Characters>
  <Lines>0</Lines>
  <Paragraphs>0</Paragraphs>
  <TotalTime>0</TotalTime>
  <ScaleCrop>false</ScaleCrop>
  <LinksUpToDate>false</LinksUpToDate>
  <CharactersWithSpaces>1275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2026-07-21T02:09:05Z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07BA81455CF34B20B56E74B0B293A5FF_12</vt:lpwstr>
  </property>
</Properties>
</file>