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8E4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关于发布石河子地区2012年二季度建设工程价格信息的通知</w:t>
      </w:r>
    </w:p>
    <w:p w14:paraId="41CB21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石建发[2012]243号</w:t>
      </w:r>
    </w:p>
    <w:p w14:paraId="7DE9B6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16F552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2012年第二季度建设工程价格信息现予发布，作为建设工程计价的参考，并就有关事项通知如下：</w:t>
      </w:r>
    </w:p>
    <w:p w14:paraId="09F1B7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一、关于执行2010新计价定额乌市单价表的地差调整说明：因为在新单价表的下发文件中已对人工工资和机械台班进行了专项调整，则在具体调整中只对材料价格部分进行相应的地差系数调整。</w:t>
      </w:r>
    </w:p>
    <w:p w14:paraId="3488BF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二、建设工程工程量清单计价价格信息</w:t>
      </w:r>
    </w:p>
    <w:p w14:paraId="01D591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实行工程量清单计价的工程项目，可参照石河子地区建筑工程实物工程量人工成本信息，建筑工种人工成本信息，石河子地区建设工程价格信息作为计价的参考。</w:t>
      </w:r>
    </w:p>
    <w:p w14:paraId="54F501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目前建筑市场变化情况，在编制招标控制价时，人工费单价上限和机械费的调整，按石建发[2011]345号文中的相关规定执行。材料价格可参照本文“附件”所列价格信息进行调整，未发布的材料信息，应参照市场材料价格进行调整。</w:t>
      </w:r>
    </w:p>
    <w:p w14:paraId="138729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三、建设工程定额计价价格信息</w:t>
      </w:r>
    </w:p>
    <w:p w14:paraId="534804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㈠、定额内人工费单价调整</w:t>
      </w:r>
    </w:p>
    <w:p w14:paraId="3F4E12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p>
    <w:p w14:paraId="570084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[2012]24号）文件进行调整，即在《关于调整石河子地区建设工程定额人工费单价的通知》（石建发[2008]436号）文件规定调整的基础上建筑工程、市政工程、仿古建筑及园林工程、房屋修缮工程：调增27.00元/定额工日；安装工程、市政安装工程、房屋修缮安装工程：调增28.29元/定额工日。</w:t>
      </w:r>
    </w:p>
    <w:p w14:paraId="450B52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⒊执行2010年新计价定额，如合同约定执行人工费单价下限的，参考下列标准进行调整：</w:t>
      </w:r>
    </w:p>
    <w:p w14:paraId="5C16F4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建筑工程的调增6.90元/定额工日；安装工程调增7.75元/定额工日；装饰装修工程调增7.59元/定额工日；抗震加固工程参照执行。</w:t>
      </w:r>
    </w:p>
    <w:p w14:paraId="133B96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⒋定额内市场人工单价的调整是对定额人工单价的找差，调增部分单独列项，只计税金，不计取其他费用。</w:t>
      </w:r>
    </w:p>
    <w:p w14:paraId="2C8B98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㈡、定额内材料价格的调整</w:t>
      </w:r>
    </w:p>
    <w:p w14:paraId="3106C5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⒈建筑、装饰装修、安装、抗震加固工程可参照本文“附件”所发布的材料价格信息进行调整；未发布的材料价格信息应参照市场材料价格进行调整，可登陆（WWW . XJZJ . COM）查询。</w:t>
      </w:r>
    </w:p>
    <w:p w14:paraId="2505F0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⒉市政工程工程仿古建筑及园林、房屋修缮工程材料价格可按本文“附件”所列价格进行调整。市政工程未列入“附件”的其它主材可按甲、乙双方认定的发票供应价与定额内供应价找差。价差部分只计税金。</w:t>
      </w:r>
    </w:p>
    <w:p w14:paraId="4AF0E3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仿古建筑及园林工程、房屋修缮工程按照文本“附件”所列价格信息组成预算价与相应定额内材料预算价找差，未列入“附件”的材料，可根据甲、乙双方认定的发票供应价组成预算价与定额预算价找差，价差部分只计税金。</w:t>
      </w:r>
    </w:p>
    <w:p w14:paraId="638A13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市政工程若使用商品砼，应执行市政工程《商品砼消耗量定额2003年乌鲁木齐地区参考单价》与“附件”中商品砼找差，价差部份只计税金。</w:t>
      </w:r>
    </w:p>
    <w:p w14:paraId="001249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493490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㈢、定额内机械费调整</w:t>
      </w:r>
    </w:p>
    <w:p w14:paraId="321CBC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⒈仿古建筑及园林工程定额内机械费的调整在97定额的基础上，以定额内机械费为基数上调18.30%，调整部分只计税金。</w:t>
      </w:r>
    </w:p>
    <w:p w14:paraId="6B356B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⒉房屋修缮工程：在99定额基础上，以定额内机械费加中小型机械费为基数上调6.00%，调整部分只计税金。</w:t>
      </w:r>
    </w:p>
    <w:p w14:paraId="6DC49D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四、费用定额的管理与调整</w:t>
      </w:r>
    </w:p>
    <w:p w14:paraId="6B7CF6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⒈建筑安装工程费用定额的管理按新建总造字[2011]08号文的相关规定执行。</w:t>
      </w:r>
    </w:p>
    <w:p w14:paraId="5BC1E4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⒉市政工程、仿古建筑及园林工程、房屋修缮工程费用定额的调整，执行新建造[2003]1号、[2003]3号、[2003]4号文件的相关规定。</w:t>
      </w:r>
    </w:p>
    <w:p w14:paraId="3634F2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五、混凝土、砂浆配合比调整</w:t>
      </w:r>
    </w:p>
    <w:p w14:paraId="7A2D9A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仿古建筑及园林、房屋修缮工程中的砼、砂浆配合比按照原自治区建设厅《关于发布〈二00九年自治区建设工程定额混凝土砂浆配合比〉的通知》（新建造[2009]2号文执行。新旧混凝土砂浆配合比之间的量差计入工程直接费，参与取费；价差不参与取费，只计税金。     </w:t>
      </w:r>
    </w:p>
    <w:p w14:paraId="4DE7AF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六、建设工程定额及估价表勘误</w:t>
      </w:r>
    </w:p>
    <w:p w14:paraId="699EDC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1、全国统一建筑装饰装修工程消耗量定额2010年石河子地区单位估价表</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175"/>
        <w:gridCol w:w="1596"/>
        <w:gridCol w:w="2101"/>
        <w:gridCol w:w="3442"/>
      </w:tblGrid>
      <w:tr w14:paraId="764D7496">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1B8D62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1620" w:type="dxa"/>
            <w:tcBorders>
              <w:top w:val="outset" w:color="000000" w:sz="6" w:space="0"/>
              <w:left w:val="outset" w:color="000000" w:sz="6" w:space="0"/>
              <w:bottom w:val="outset" w:color="000000" w:sz="6" w:space="0"/>
              <w:right w:val="outset" w:color="000000" w:sz="6" w:space="0"/>
            </w:tcBorders>
            <w:shd w:val="clear"/>
            <w:vAlign w:val="center"/>
          </w:tcPr>
          <w:p w14:paraId="782572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  称</w:t>
            </w:r>
          </w:p>
        </w:tc>
        <w:tc>
          <w:tcPr>
            <w:tcW w:w="2160" w:type="dxa"/>
            <w:tcBorders>
              <w:top w:val="outset" w:color="000000" w:sz="6" w:space="0"/>
              <w:left w:val="outset" w:color="000000" w:sz="6" w:space="0"/>
              <w:bottom w:val="outset" w:color="000000" w:sz="6" w:space="0"/>
              <w:right w:val="outset" w:color="000000" w:sz="6" w:space="0"/>
            </w:tcBorders>
            <w:shd w:val="clear"/>
            <w:vAlign w:val="center"/>
          </w:tcPr>
          <w:p w14:paraId="38FF8C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3555" w:type="dxa"/>
            <w:tcBorders>
              <w:top w:val="outset" w:color="000000" w:sz="6" w:space="0"/>
              <w:left w:val="outset" w:color="000000" w:sz="6" w:space="0"/>
              <w:bottom w:val="outset" w:color="000000" w:sz="6" w:space="0"/>
              <w:right w:val="outset" w:color="000000" w:sz="6" w:space="0"/>
            </w:tcBorders>
            <w:shd w:val="clear"/>
            <w:vAlign w:val="center"/>
          </w:tcPr>
          <w:p w14:paraId="4AE320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2E769AA3">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0527A1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5-231</w:t>
            </w:r>
          </w:p>
        </w:tc>
        <w:tc>
          <w:tcPr>
            <w:tcW w:w="1620" w:type="dxa"/>
            <w:tcBorders>
              <w:top w:val="outset" w:color="000000" w:sz="6" w:space="0"/>
              <w:left w:val="outset" w:color="000000" w:sz="6" w:space="0"/>
              <w:bottom w:val="outset" w:color="000000" w:sz="6" w:space="0"/>
              <w:right w:val="outset" w:color="000000" w:sz="6" w:space="0"/>
            </w:tcBorders>
            <w:shd w:val="clear"/>
            <w:vAlign w:val="center"/>
          </w:tcPr>
          <w:p w14:paraId="3CB416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2160" w:type="dxa"/>
            <w:tcBorders>
              <w:top w:val="outset" w:color="000000" w:sz="6" w:space="0"/>
              <w:left w:val="outset" w:color="000000" w:sz="6" w:space="0"/>
              <w:bottom w:val="outset" w:color="000000" w:sz="6" w:space="0"/>
              <w:right w:val="outset" w:color="000000" w:sz="6" w:space="0"/>
            </w:tcBorders>
            <w:shd w:val="clear"/>
            <w:vAlign w:val="center"/>
          </w:tcPr>
          <w:p w14:paraId="0B196F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外墙JH801涂料</w:t>
            </w:r>
          </w:p>
        </w:tc>
        <w:tc>
          <w:tcPr>
            <w:tcW w:w="3555" w:type="dxa"/>
            <w:tcBorders>
              <w:top w:val="outset" w:color="000000" w:sz="6" w:space="0"/>
              <w:left w:val="outset" w:color="000000" w:sz="6" w:space="0"/>
              <w:bottom w:val="outset" w:color="000000" w:sz="6" w:space="0"/>
              <w:right w:val="outset" w:color="000000" w:sz="6" w:space="0"/>
            </w:tcBorders>
            <w:shd w:val="clear"/>
            <w:vAlign w:val="center"/>
          </w:tcPr>
          <w:p w14:paraId="2283A6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喷（刷）刮涂料  仿瓷涂料两遍</w:t>
            </w:r>
          </w:p>
        </w:tc>
      </w:tr>
    </w:tbl>
    <w:p w14:paraId="391B56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2、2010年新疆维吾尔自治区建筑消耗量定额及估价表勘误</w:t>
      </w:r>
    </w:p>
    <w:p w14:paraId="7564AC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（1）、2010年新疆维吾尔自治区建筑消耗量定额（实体项目）</w:t>
      </w:r>
    </w:p>
    <w:p w14:paraId="406373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（2）、2010年石河子地区单位估价表（实体项目） </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175"/>
        <w:gridCol w:w="2288"/>
        <w:gridCol w:w="2447"/>
        <w:gridCol w:w="2404"/>
      </w:tblGrid>
      <w:tr w14:paraId="4BFC5F3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6F8F20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07FF2F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  称</w:t>
            </w:r>
          </w:p>
        </w:tc>
        <w:tc>
          <w:tcPr>
            <w:tcW w:w="2520" w:type="dxa"/>
            <w:tcBorders>
              <w:top w:val="outset" w:color="000000" w:sz="6" w:space="0"/>
              <w:left w:val="outset" w:color="000000" w:sz="6" w:space="0"/>
              <w:bottom w:val="outset" w:color="000000" w:sz="6" w:space="0"/>
              <w:right w:val="outset" w:color="000000" w:sz="6" w:space="0"/>
            </w:tcBorders>
            <w:shd w:val="clear"/>
            <w:vAlign w:val="center"/>
          </w:tcPr>
          <w:p w14:paraId="01DD72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475" w:type="dxa"/>
            <w:tcBorders>
              <w:top w:val="outset" w:color="000000" w:sz="6" w:space="0"/>
              <w:left w:val="outset" w:color="000000" w:sz="6" w:space="0"/>
              <w:bottom w:val="outset" w:color="000000" w:sz="6" w:space="0"/>
              <w:right w:val="outset" w:color="000000" w:sz="6" w:space="0"/>
            </w:tcBorders>
            <w:shd w:val="clear"/>
            <w:vAlign w:val="center"/>
          </w:tcPr>
          <w:p w14:paraId="106F91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1B1CB7B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736E03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8-242</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465628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2520" w:type="dxa"/>
            <w:tcBorders>
              <w:top w:val="outset" w:color="000000" w:sz="6" w:space="0"/>
              <w:left w:val="outset" w:color="000000" w:sz="6" w:space="0"/>
              <w:bottom w:val="outset" w:color="000000" w:sz="6" w:space="0"/>
              <w:right w:val="outset" w:color="000000" w:sz="6" w:space="0"/>
            </w:tcBorders>
            <w:shd w:val="clear"/>
            <w:vAlign w:val="center"/>
          </w:tcPr>
          <w:p w14:paraId="2EC17D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2475" w:type="dxa"/>
            <w:tcBorders>
              <w:top w:val="outset" w:color="000000" w:sz="6" w:space="0"/>
              <w:left w:val="outset" w:color="000000" w:sz="6" w:space="0"/>
              <w:bottom w:val="outset" w:color="000000" w:sz="6" w:space="0"/>
              <w:right w:val="outset" w:color="000000" w:sz="6" w:space="0"/>
            </w:tcBorders>
            <w:shd w:val="clear"/>
            <w:vAlign w:val="center"/>
          </w:tcPr>
          <w:p w14:paraId="3C6E49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删除</w:t>
            </w:r>
          </w:p>
        </w:tc>
      </w:tr>
    </w:tbl>
    <w:p w14:paraId="543611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3、2010年新疆维吾尔自治区建筑消耗量定额勘误</w:t>
      </w:r>
    </w:p>
    <w:p w14:paraId="6649F2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（1）、2010年新疆维吾尔自治区建筑消耗量定额（实体项目）</w:t>
      </w:r>
    </w:p>
    <w:p w14:paraId="3632CB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上册</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171"/>
        <w:gridCol w:w="2289"/>
        <w:gridCol w:w="2448"/>
        <w:gridCol w:w="2406"/>
      </w:tblGrid>
      <w:tr w14:paraId="50BE4D36">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214AD3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540A27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  称</w:t>
            </w:r>
          </w:p>
        </w:tc>
        <w:tc>
          <w:tcPr>
            <w:tcW w:w="2520" w:type="dxa"/>
            <w:tcBorders>
              <w:top w:val="outset" w:color="000000" w:sz="6" w:space="0"/>
              <w:left w:val="outset" w:color="000000" w:sz="6" w:space="0"/>
              <w:bottom w:val="outset" w:color="000000" w:sz="6" w:space="0"/>
              <w:right w:val="outset" w:color="000000" w:sz="6" w:space="0"/>
            </w:tcBorders>
            <w:shd w:val="clear"/>
            <w:vAlign w:val="center"/>
          </w:tcPr>
          <w:p w14:paraId="14C051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475" w:type="dxa"/>
            <w:tcBorders>
              <w:top w:val="outset" w:color="000000" w:sz="6" w:space="0"/>
              <w:left w:val="outset" w:color="000000" w:sz="6" w:space="0"/>
              <w:bottom w:val="outset" w:color="000000" w:sz="6" w:space="0"/>
              <w:right w:val="outset" w:color="000000" w:sz="6" w:space="0"/>
            </w:tcBorders>
            <w:shd w:val="clear"/>
            <w:vAlign w:val="center"/>
          </w:tcPr>
          <w:p w14:paraId="71A65B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08F630C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7B55FD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9-55</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7175F3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毛面花岗岩</w:t>
            </w:r>
          </w:p>
        </w:tc>
        <w:tc>
          <w:tcPr>
            <w:tcW w:w="2520" w:type="dxa"/>
            <w:tcBorders>
              <w:top w:val="outset" w:color="000000" w:sz="6" w:space="0"/>
              <w:left w:val="outset" w:color="000000" w:sz="6" w:space="0"/>
              <w:bottom w:val="outset" w:color="000000" w:sz="6" w:space="0"/>
              <w:right w:val="outset" w:color="000000" w:sz="6" w:space="0"/>
            </w:tcBorders>
            <w:shd w:val="clear"/>
            <w:vAlign w:val="center"/>
          </w:tcPr>
          <w:p w14:paraId="68E594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台阶</w:t>
            </w:r>
          </w:p>
        </w:tc>
        <w:tc>
          <w:tcPr>
            <w:tcW w:w="2475" w:type="dxa"/>
            <w:tcBorders>
              <w:top w:val="outset" w:color="000000" w:sz="6" w:space="0"/>
              <w:left w:val="outset" w:color="000000" w:sz="6" w:space="0"/>
              <w:bottom w:val="outset" w:color="000000" w:sz="6" w:space="0"/>
              <w:right w:val="outset" w:color="000000" w:sz="6" w:space="0"/>
            </w:tcBorders>
            <w:shd w:val="clear"/>
            <w:vAlign w:val="center"/>
          </w:tcPr>
          <w:p w14:paraId="4731BB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地面</w:t>
            </w:r>
          </w:p>
        </w:tc>
      </w:tr>
    </w:tbl>
    <w:p w14:paraId="735C32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4、2010年新疆维吾尔自治区建筑安装工程费用定额勘误</w:t>
      </w:r>
    </w:p>
    <w:p w14:paraId="6EF907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P6 第二节 建筑安装工程费用项目表中建筑安装工程费用—直接费—措施费—施工组织措施—安全文明费中（4）误：定额临时设施费       正：临时设施费</w:t>
      </w:r>
    </w:p>
    <w:p w14:paraId="6166B6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5、 2002年全国统一建筑装饰装修工程消耗量定额调整表</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175"/>
        <w:gridCol w:w="2460"/>
        <w:gridCol w:w="2276"/>
        <w:gridCol w:w="2403"/>
      </w:tblGrid>
      <w:tr w14:paraId="2873B9E7">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vMerge w:val="restart"/>
            <w:tcBorders>
              <w:top w:val="outset" w:color="000000" w:sz="6" w:space="0"/>
              <w:left w:val="outset" w:color="000000" w:sz="6" w:space="0"/>
              <w:bottom w:val="outset" w:color="000000" w:sz="6" w:space="0"/>
              <w:right w:val="outset" w:color="000000" w:sz="6" w:space="0"/>
            </w:tcBorders>
            <w:shd w:val="clear"/>
            <w:vAlign w:val="center"/>
          </w:tcPr>
          <w:p w14:paraId="3D9189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520" w:type="dxa"/>
            <w:vMerge w:val="restart"/>
            <w:tcBorders>
              <w:top w:val="outset" w:color="000000" w:sz="6" w:space="0"/>
              <w:left w:val="outset" w:color="000000" w:sz="6" w:space="0"/>
              <w:bottom w:val="outset" w:color="000000" w:sz="6" w:space="0"/>
              <w:right w:val="outset" w:color="000000" w:sz="6" w:space="0"/>
            </w:tcBorders>
            <w:shd w:val="clear"/>
            <w:vAlign w:val="center"/>
          </w:tcPr>
          <w:p w14:paraId="25A9A9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  称</w:t>
            </w:r>
          </w:p>
        </w:tc>
        <w:tc>
          <w:tcPr>
            <w:tcW w:w="4815" w:type="dxa"/>
            <w:gridSpan w:val="2"/>
            <w:tcBorders>
              <w:top w:val="outset" w:color="000000" w:sz="6" w:space="0"/>
              <w:left w:val="outset" w:color="000000" w:sz="6" w:space="0"/>
              <w:bottom w:val="outset" w:color="000000" w:sz="6" w:space="0"/>
              <w:right w:val="outset" w:color="000000" w:sz="6" w:space="0"/>
            </w:tcBorders>
            <w:shd w:val="clear"/>
            <w:vAlign w:val="center"/>
          </w:tcPr>
          <w:p w14:paraId="6BBD2B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单   位</w:t>
            </w:r>
          </w:p>
        </w:tc>
      </w:tr>
      <w:tr w14:paraId="0D437C1C">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vMerge w:val="continue"/>
            <w:tcBorders>
              <w:top w:val="outset" w:color="000000" w:sz="6" w:space="0"/>
              <w:left w:val="outset" w:color="000000" w:sz="6" w:space="0"/>
              <w:bottom w:val="outset" w:color="000000" w:sz="6" w:space="0"/>
              <w:right w:val="outset" w:color="000000" w:sz="6" w:space="0"/>
            </w:tcBorders>
            <w:shd w:val="clear"/>
            <w:vAlign w:val="center"/>
          </w:tcPr>
          <w:p w14:paraId="71B6318F">
            <w:pPr>
              <w:rPr>
                <w:rFonts w:hint="eastAsia" w:ascii="宋体"/>
                <w:sz w:val="24"/>
                <w:szCs w:val="24"/>
              </w:rPr>
            </w:pPr>
          </w:p>
        </w:tc>
        <w:tc>
          <w:tcPr>
            <w:tcW w:w="2520" w:type="dxa"/>
            <w:vMerge w:val="continue"/>
            <w:tcBorders>
              <w:top w:val="outset" w:color="000000" w:sz="6" w:space="0"/>
              <w:left w:val="outset" w:color="000000" w:sz="6" w:space="0"/>
              <w:bottom w:val="outset" w:color="000000" w:sz="6" w:space="0"/>
              <w:right w:val="outset" w:color="000000" w:sz="6" w:space="0"/>
            </w:tcBorders>
            <w:shd w:val="clear"/>
            <w:vAlign w:val="center"/>
          </w:tcPr>
          <w:p w14:paraId="1D45250C">
            <w:pPr>
              <w:rPr>
                <w:rFonts w:hint="eastAsia" w:ascii="宋体"/>
                <w:sz w:val="24"/>
                <w:szCs w:val="24"/>
              </w:rPr>
            </w:pP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45B6F1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475" w:type="dxa"/>
            <w:tcBorders>
              <w:top w:val="outset" w:color="000000" w:sz="6" w:space="0"/>
              <w:left w:val="outset" w:color="000000" w:sz="6" w:space="0"/>
              <w:bottom w:val="outset" w:color="000000" w:sz="6" w:space="0"/>
              <w:right w:val="outset" w:color="000000" w:sz="6" w:space="0"/>
            </w:tcBorders>
            <w:shd w:val="clear"/>
            <w:vAlign w:val="center"/>
          </w:tcPr>
          <w:p w14:paraId="7F14DB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5F0997E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26CB69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4-061</w:t>
            </w:r>
          </w:p>
        </w:tc>
        <w:tc>
          <w:tcPr>
            <w:tcW w:w="2520" w:type="dxa"/>
            <w:tcBorders>
              <w:top w:val="outset" w:color="000000" w:sz="6" w:space="0"/>
              <w:left w:val="outset" w:color="000000" w:sz="6" w:space="0"/>
              <w:bottom w:val="outset" w:color="000000" w:sz="6" w:space="0"/>
              <w:right w:val="outset" w:color="000000" w:sz="6" w:space="0"/>
            </w:tcBorders>
            <w:shd w:val="clear"/>
            <w:vAlign w:val="center"/>
          </w:tcPr>
          <w:p w14:paraId="4181E3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实木装饰门扇（成品）</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2B7AB4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m2</w:t>
            </w:r>
          </w:p>
        </w:tc>
        <w:tc>
          <w:tcPr>
            <w:tcW w:w="2475" w:type="dxa"/>
            <w:tcBorders>
              <w:top w:val="outset" w:color="000000" w:sz="6" w:space="0"/>
              <w:left w:val="outset" w:color="000000" w:sz="6" w:space="0"/>
              <w:bottom w:val="outset" w:color="000000" w:sz="6" w:space="0"/>
              <w:right w:val="outset" w:color="000000" w:sz="6" w:space="0"/>
            </w:tcBorders>
            <w:shd w:val="clear"/>
            <w:vAlign w:val="center"/>
          </w:tcPr>
          <w:p w14:paraId="0DED07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扇</w:t>
            </w:r>
          </w:p>
        </w:tc>
      </w:tr>
    </w:tbl>
    <w:p w14:paraId="5C93F5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6、全国统一建筑装饰装修工程消耗量定额及估价勘误</w:t>
      </w:r>
    </w:p>
    <w:p w14:paraId="0D1D97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（1）、2002年全国统一建筑装饰装修工程消耗量定额</w:t>
      </w:r>
    </w:p>
    <w:p w14:paraId="395AA1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勘误表</w:t>
      </w:r>
    </w:p>
    <w:p w14:paraId="743A1B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170"/>
        <w:gridCol w:w="2268"/>
        <w:gridCol w:w="886"/>
        <w:gridCol w:w="1934"/>
        <w:gridCol w:w="2056"/>
      </w:tblGrid>
      <w:tr w14:paraId="1C31B6B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03EDE4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11E853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  称</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24ED48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单位</w:t>
            </w:r>
          </w:p>
        </w:tc>
        <w:tc>
          <w:tcPr>
            <w:tcW w:w="1980" w:type="dxa"/>
            <w:tcBorders>
              <w:top w:val="outset" w:color="000000" w:sz="6" w:space="0"/>
              <w:left w:val="outset" w:color="000000" w:sz="6" w:space="0"/>
              <w:bottom w:val="outset" w:color="000000" w:sz="6" w:space="0"/>
              <w:right w:val="outset" w:color="000000" w:sz="6" w:space="0"/>
            </w:tcBorders>
            <w:shd w:val="clear"/>
            <w:vAlign w:val="center"/>
          </w:tcPr>
          <w:p w14:paraId="435E7A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115" w:type="dxa"/>
            <w:tcBorders>
              <w:top w:val="outset" w:color="000000" w:sz="6" w:space="0"/>
              <w:left w:val="outset" w:color="000000" w:sz="6" w:space="0"/>
              <w:bottom w:val="outset" w:color="000000" w:sz="6" w:space="0"/>
              <w:right w:val="outset" w:color="000000" w:sz="6" w:space="0"/>
            </w:tcBorders>
            <w:shd w:val="clear"/>
            <w:vAlign w:val="center"/>
          </w:tcPr>
          <w:p w14:paraId="6F4999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1C21395C">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vMerge w:val="restart"/>
            <w:tcBorders>
              <w:top w:val="outset" w:color="000000" w:sz="6" w:space="0"/>
              <w:left w:val="outset" w:color="000000" w:sz="6" w:space="0"/>
              <w:bottom w:val="outset" w:color="000000" w:sz="6" w:space="0"/>
              <w:right w:val="outset" w:color="000000" w:sz="6" w:space="0"/>
            </w:tcBorders>
            <w:shd w:val="clear"/>
            <w:vAlign w:val="center"/>
          </w:tcPr>
          <w:p w14:paraId="05AFCA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6-196</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26D4F7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综合工日</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0AA7DB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工日</w:t>
            </w:r>
          </w:p>
        </w:tc>
        <w:tc>
          <w:tcPr>
            <w:tcW w:w="1980" w:type="dxa"/>
            <w:tcBorders>
              <w:top w:val="outset" w:color="000000" w:sz="6" w:space="0"/>
              <w:left w:val="outset" w:color="000000" w:sz="6" w:space="0"/>
              <w:bottom w:val="outset" w:color="000000" w:sz="6" w:space="0"/>
              <w:right w:val="outset" w:color="000000" w:sz="6" w:space="0"/>
            </w:tcBorders>
            <w:shd w:val="clear"/>
            <w:vAlign w:val="center"/>
          </w:tcPr>
          <w:p w14:paraId="3B986D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0.0338</w:t>
            </w:r>
          </w:p>
        </w:tc>
        <w:tc>
          <w:tcPr>
            <w:tcW w:w="2115" w:type="dxa"/>
            <w:tcBorders>
              <w:top w:val="outset" w:color="000000" w:sz="6" w:space="0"/>
              <w:left w:val="outset" w:color="000000" w:sz="6" w:space="0"/>
              <w:bottom w:val="outset" w:color="000000" w:sz="6" w:space="0"/>
              <w:right w:val="outset" w:color="000000" w:sz="6" w:space="0"/>
            </w:tcBorders>
            <w:shd w:val="clear"/>
            <w:vAlign w:val="center"/>
          </w:tcPr>
          <w:p w14:paraId="5F5701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0.338</w:t>
            </w:r>
          </w:p>
        </w:tc>
      </w:tr>
      <w:tr w14:paraId="7A2C5E4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185" w:type="dxa"/>
            <w:vMerge w:val="continue"/>
            <w:tcBorders>
              <w:top w:val="outset" w:color="000000" w:sz="6" w:space="0"/>
              <w:left w:val="outset" w:color="000000" w:sz="6" w:space="0"/>
              <w:bottom w:val="outset" w:color="000000" w:sz="6" w:space="0"/>
              <w:right w:val="outset" w:color="000000" w:sz="6" w:space="0"/>
            </w:tcBorders>
            <w:shd w:val="clear"/>
            <w:vAlign w:val="center"/>
          </w:tcPr>
          <w:p w14:paraId="5E57501C">
            <w:pPr>
              <w:rPr>
                <w:rFonts w:hint="eastAsia" w:ascii="宋体"/>
                <w:sz w:val="24"/>
                <w:szCs w:val="24"/>
              </w:rPr>
            </w:pP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3DB85E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自卸汽车6t</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7E92AF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台班</w:t>
            </w:r>
          </w:p>
        </w:tc>
        <w:tc>
          <w:tcPr>
            <w:tcW w:w="1980" w:type="dxa"/>
            <w:tcBorders>
              <w:top w:val="outset" w:color="000000" w:sz="6" w:space="0"/>
              <w:left w:val="outset" w:color="000000" w:sz="6" w:space="0"/>
              <w:bottom w:val="outset" w:color="000000" w:sz="6" w:space="0"/>
              <w:right w:val="outset" w:color="000000" w:sz="6" w:space="0"/>
            </w:tcBorders>
            <w:shd w:val="clear"/>
            <w:vAlign w:val="center"/>
          </w:tcPr>
          <w:p w14:paraId="22F29E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0.0037</w:t>
            </w:r>
          </w:p>
        </w:tc>
        <w:tc>
          <w:tcPr>
            <w:tcW w:w="2115" w:type="dxa"/>
            <w:tcBorders>
              <w:top w:val="outset" w:color="000000" w:sz="6" w:space="0"/>
              <w:left w:val="outset" w:color="000000" w:sz="6" w:space="0"/>
              <w:bottom w:val="outset" w:color="000000" w:sz="6" w:space="0"/>
              <w:right w:val="outset" w:color="000000" w:sz="6" w:space="0"/>
            </w:tcBorders>
            <w:shd w:val="clear"/>
            <w:vAlign w:val="center"/>
          </w:tcPr>
          <w:p w14:paraId="41319E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0.037</w:t>
            </w:r>
          </w:p>
        </w:tc>
      </w:tr>
      <w:tr w14:paraId="6924B75A">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68A54A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6-197</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46A1E1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自卸汽车6t</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28F987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台班</w:t>
            </w:r>
          </w:p>
        </w:tc>
        <w:tc>
          <w:tcPr>
            <w:tcW w:w="1980" w:type="dxa"/>
            <w:tcBorders>
              <w:top w:val="outset" w:color="000000" w:sz="6" w:space="0"/>
              <w:left w:val="outset" w:color="000000" w:sz="6" w:space="0"/>
              <w:bottom w:val="outset" w:color="000000" w:sz="6" w:space="0"/>
              <w:right w:val="outset" w:color="000000" w:sz="6" w:space="0"/>
            </w:tcBorders>
            <w:shd w:val="clear"/>
            <w:vAlign w:val="center"/>
          </w:tcPr>
          <w:p w14:paraId="431FB6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0.0004</w:t>
            </w:r>
          </w:p>
        </w:tc>
        <w:tc>
          <w:tcPr>
            <w:tcW w:w="2115" w:type="dxa"/>
            <w:tcBorders>
              <w:top w:val="outset" w:color="000000" w:sz="6" w:space="0"/>
              <w:left w:val="outset" w:color="000000" w:sz="6" w:space="0"/>
              <w:bottom w:val="outset" w:color="000000" w:sz="6" w:space="0"/>
              <w:right w:val="outset" w:color="000000" w:sz="6" w:space="0"/>
            </w:tcBorders>
            <w:shd w:val="clear"/>
            <w:vAlign w:val="center"/>
          </w:tcPr>
          <w:p w14:paraId="0221BC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0.004</w:t>
            </w:r>
          </w:p>
        </w:tc>
      </w:tr>
      <w:tr w14:paraId="3F4223C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185" w:type="dxa"/>
            <w:tcBorders>
              <w:top w:val="outset" w:color="000000" w:sz="6" w:space="0"/>
              <w:left w:val="outset" w:color="000000" w:sz="6" w:space="0"/>
              <w:bottom w:val="outset" w:color="000000" w:sz="6" w:space="0"/>
              <w:right w:val="outset" w:color="000000" w:sz="6" w:space="0"/>
            </w:tcBorders>
            <w:shd w:val="clear"/>
            <w:vAlign w:val="center"/>
          </w:tcPr>
          <w:p w14:paraId="7684FF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6-205</w:t>
            </w:r>
          </w:p>
        </w:tc>
        <w:tc>
          <w:tcPr>
            <w:tcW w:w="2340" w:type="dxa"/>
            <w:tcBorders>
              <w:top w:val="outset" w:color="000000" w:sz="6" w:space="0"/>
              <w:left w:val="outset" w:color="000000" w:sz="6" w:space="0"/>
              <w:bottom w:val="outset" w:color="000000" w:sz="6" w:space="0"/>
              <w:right w:val="outset" w:color="000000" w:sz="6" w:space="0"/>
            </w:tcBorders>
            <w:shd w:val="clear"/>
            <w:vAlign w:val="center"/>
          </w:tcPr>
          <w:p w14:paraId="39497F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不锈钢无缝钢管</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505651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Kg</w:t>
            </w:r>
          </w:p>
        </w:tc>
        <w:tc>
          <w:tcPr>
            <w:tcW w:w="1980" w:type="dxa"/>
            <w:tcBorders>
              <w:top w:val="outset" w:color="000000" w:sz="6" w:space="0"/>
              <w:left w:val="outset" w:color="000000" w:sz="6" w:space="0"/>
              <w:bottom w:val="outset" w:color="000000" w:sz="6" w:space="0"/>
              <w:right w:val="outset" w:color="000000" w:sz="6" w:space="0"/>
            </w:tcBorders>
            <w:shd w:val="clear"/>
            <w:vAlign w:val="center"/>
          </w:tcPr>
          <w:p w14:paraId="3710D9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14.5054</w:t>
            </w:r>
          </w:p>
        </w:tc>
        <w:tc>
          <w:tcPr>
            <w:tcW w:w="2115" w:type="dxa"/>
            <w:tcBorders>
              <w:top w:val="outset" w:color="000000" w:sz="6" w:space="0"/>
              <w:left w:val="outset" w:color="000000" w:sz="6" w:space="0"/>
              <w:bottom w:val="outset" w:color="000000" w:sz="6" w:space="0"/>
              <w:right w:val="outset" w:color="000000" w:sz="6" w:space="0"/>
            </w:tcBorders>
            <w:shd w:val="clear"/>
            <w:vAlign w:val="center"/>
          </w:tcPr>
          <w:p w14:paraId="338FC0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1.4505</w:t>
            </w:r>
          </w:p>
        </w:tc>
      </w:tr>
    </w:tbl>
    <w:p w14:paraId="7AD097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（2）全国统一建筑装饰装修工程消耗量定额2010年石河子地区单位估价表勘误表</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947"/>
        <w:gridCol w:w="1017"/>
        <w:gridCol w:w="1861"/>
        <w:gridCol w:w="722"/>
        <w:gridCol w:w="1022"/>
        <w:gridCol w:w="915"/>
        <w:gridCol w:w="915"/>
        <w:gridCol w:w="915"/>
      </w:tblGrid>
      <w:tr w14:paraId="00B6F76C">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center"/>
          </w:tcPr>
          <w:p w14:paraId="678BA4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序号</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09FF1C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543D7D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项目名称</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1026DA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单位</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0CB77A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基价</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989A6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人工费</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204226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材料费</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2442EC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机械费</w:t>
            </w:r>
          </w:p>
        </w:tc>
      </w:tr>
      <w:tr w14:paraId="6D891653">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center"/>
          </w:tcPr>
          <w:p w14:paraId="643CA7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1420</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37D071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6-196</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30DFCC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汽车运建筑垃圾  运距在1000m以内</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5DF6CB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M3</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6C20CC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37.23</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7ACF0F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19.67</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1A8D57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5F9AE3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17.56</w:t>
            </w:r>
          </w:p>
        </w:tc>
      </w:tr>
      <w:tr w14:paraId="17B934AD">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center"/>
          </w:tcPr>
          <w:p w14:paraId="034D2C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1421</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7100F7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6-197</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54E97C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汽车运建筑垃圾  每增加运距1000m以内</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6471F1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M3</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3DB083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1.9</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0D323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15D530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0</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6EEBE8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1.9</w:t>
            </w:r>
          </w:p>
        </w:tc>
      </w:tr>
      <w:tr w14:paraId="7E4D8268">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center"/>
          </w:tcPr>
          <w:p w14:paraId="5933CE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1429</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1821BF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6-205</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6091C7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不锈钢旗杆</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369C6A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Kg</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292987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123.82</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327004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49.77</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39ADEF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57.13</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214CA2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16.92</w:t>
            </w:r>
          </w:p>
        </w:tc>
      </w:tr>
    </w:tbl>
    <w:p w14:paraId="41F859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7、全国统一建筑工程装饰装修工程消耗量定额2010石河子地区单位估价表第158页勘正为：</w:t>
      </w:r>
    </w:p>
    <w:p w14:paraId="0080B5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第二节  超高增加费</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862"/>
        <w:gridCol w:w="1064"/>
        <w:gridCol w:w="2528"/>
        <w:gridCol w:w="886"/>
        <w:gridCol w:w="713"/>
        <w:gridCol w:w="713"/>
        <w:gridCol w:w="713"/>
        <w:gridCol w:w="835"/>
      </w:tblGrid>
      <w:tr w14:paraId="522F1B53">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4B29E1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序号</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48A649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27F5D4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项目名称</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4605D2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单位</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564E17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基价</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65D59B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人工费</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751E6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材料费</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4F300B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机械费</w:t>
            </w:r>
          </w:p>
        </w:tc>
      </w:tr>
      <w:tr w14:paraId="55C3B61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24AA11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1475</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184B86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8-024</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202CB9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多层建筑物  垂直运输高度20~40m</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636CB9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918B6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5CA1AD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7CC1CF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294114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7C0C4FDF">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01ACB4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1476</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3F8CFD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8-025</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26A329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多层建筑物  垂直运输高度40~60m</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00CB0D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2F9266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297B3D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019F9F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4896DB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07AE4B75">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76B2AF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1477</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71AFAA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8-026</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1456E3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多层建筑物  垂直运输高度60~80m</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6AC825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6F478A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BF22D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1CC3C9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68DCE3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6B320B23">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5812D7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1478</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5CDDBC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8-027</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058BE0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多层建筑物  垂直运输高度80~100m</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3540AE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7C2ABE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7F6E9E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623453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358D0B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3BC7A7BF">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1A1F1D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1479</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50BAF8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8-028</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60F0C1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多层建筑物  垂直运输高度100~120m</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358C8C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38EBF7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684A6D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5F6486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27B88C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428DA578">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6714F6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1480</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659CEF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8-029</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6A8122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单层建筑物  建筑物檐高30m以内</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6EDD58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1E7E49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278C1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50CB5E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0695FA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2E1276CC">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71CB90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1481</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7FD6C5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8-030</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25BB95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单层建筑物  建筑物檐高40m以内</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0B2F07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300F6D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7D5250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0A0A2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62C843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r w14:paraId="7E99FA05">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825" w:type="dxa"/>
            <w:tcBorders>
              <w:top w:val="outset" w:color="000000" w:sz="6" w:space="0"/>
              <w:left w:val="outset" w:color="000000" w:sz="6" w:space="0"/>
              <w:bottom w:val="outset" w:color="000000" w:sz="6" w:space="0"/>
              <w:right w:val="outset" w:color="000000" w:sz="6" w:space="0"/>
            </w:tcBorders>
            <w:shd w:val="clear"/>
            <w:vAlign w:val="center"/>
          </w:tcPr>
          <w:p w14:paraId="712EA1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1482</w:t>
            </w:r>
          </w:p>
        </w:tc>
        <w:tc>
          <w:tcPr>
            <w:tcW w:w="1080" w:type="dxa"/>
            <w:tcBorders>
              <w:top w:val="outset" w:color="000000" w:sz="6" w:space="0"/>
              <w:left w:val="outset" w:color="000000" w:sz="6" w:space="0"/>
              <w:bottom w:val="outset" w:color="000000" w:sz="6" w:space="0"/>
              <w:right w:val="outset" w:color="000000" w:sz="6" w:space="0"/>
            </w:tcBorders>
            <w:shd w:val="clear"/>
            <w:vAlign w:val="center"/>
          </w:tcPr>
          <w:p w14:paraId="142CD8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8-031</w:t>
            </w:r>
          </w:p>
        </w:tc>
        <w:tc>
          <w:tcPr>
            <w:tcW w:w="2700" w:type="dxa"/>
            <w:tcBorders>
              <w:top w:val="outset" w:color="000000" w:sz="6" w:space="0"/>
              <w:left w:val="outset" w:color="000000" w:sz="6" w:space="0"/>
              <w:bottom w:val="outset" w:color="000000" w:sz="6" w:space="0"/>
              <w:right w:val="outset" w:color="000000" w:sz="6" w:space="0"/>
            </w:tcBorders>
            <w:shd w:val="clear"/>
            <w:vAlign w:val="center"/>
          </w:tcPr>
          <w:p w14:paraId="57F76E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超高增加费  单层建筑物  建筑物檐高50m以内</w:t>
            </w:r>
          </w:p>
        </w:tc>
        <w:tc>
          <w:tcPr>
            <w:tcW w:w="900" w:type="dxa"/>
            <w:tcBorders>
              <w:top w:val="outset" w:color="000000" w:sz="6" w:space="0"/>
              <w:left w:val="outset" w:color="000000" w:sz="6" w:space="0"/>
              <w:bottom w:val="outset" w:color="000000" w:sz="6" w:space="0"/>
              <w:right w:val="outset" w:color="000000" w:sz="6" w:space="0"/>
            </w:tcBorders>
            <w:shd w:val="clear"/>
            <w:vAlign w:val="center"/>
          </w:tcPr>
          <w:p w14:paraId="53A954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100元</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76126F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49D7C9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720" w:type="dxa"/>
            <w:tcBorders>
              <w:top w:val="outset" w:color="000000" w:sz="6" w:space="0"/>
              <w:left w:val="outset" w:color="000000" w:sz="6" w:space="0"/>
              <w:bottom w:val="outset" w:color="000000" w:sz="6" w:space="0"/>
              <w:right w:val="outset" w:color="000000" w:sz="6" w:space="0"/>
            </w:tcBorders>
            <w:shd w:val="clear"/>
            <w:vAlign w:val="center"/>
          </w:tcPr>
          <w:p w14:paraId="318362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c>
          <w:tcPr>
            <w:tcW w:w="855" w:type="dxa"/>
            <w:tcBorders>
              <w:top w:val="outset" w:color="000000" w:sz="6" w:space="0"/>
              <w:left w:val="outset" w:color="000000" w:sz="6" w:space="0"/>
              <w:bottom w:val="outset" w:color="000000" w:sz="6" w:space="0"/>
              <w:right w:val="outset" w:color="000000" w:sz="6" w:space="0"/>
            </w:tcBorders>
            <w:shd w:val="clear"/>
            <w:vAlign w:val="center"/>
          </w:tcPr>
          <w:p w14:paraId="37A15D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tc>
      </w:tr>
    </w:tbl>
    <w:p w14:paraId="07A325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注：按定额规定计算</w:t>
      </w:r>
    </w:p>
    <w:p w14:paraId="1C2EBB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8、全国统一安装工程预算定额2010年乌鲁木齐地区单位估价表勘误</w:t>
      </w:r>
    </w:p>
    <w:p w14:paraId="4E914D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（1）、第二册说明第5页第2条“……包括因弧度垂及因杆位……”改为“……包括因弧垂及因杆位……”</w:t>
      </w:r>
    </w:p>
    <w:p w14:paraId="27D7B1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（2）、第八册说明第一页：删除第二条“3、4、5、6、7”小条。</w:t>
      </w:r>
    </w:p>
    <w:p w14:paraId="3159A6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（3）、第八册第3页：四、主要材料损耗表：</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993"/>
        <w:gridCol w:w="3164"/>
        <w:gridCol w:w="1050"/>
        <w:gridCol w:w="3107"/>
      </w:tblGrid>
      <w:tr w14:paraId="4EE73D0C">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4260" w:type="dxa"/>
            <w:gridSpan w:val="2"/>
            <w:tcBorders>
              <w:top w:val="outset" w:color="000000" w:sz="6" w:space="0"/>
              <w:left w:val="outset" w:color="000000" w:sz="6" w:space="0"/>
              <w:bottom w:val="outset" w:color="000000" w:sz="6" w:space="0"/>
              <w:right w:val="outset" w:color="000000" w:sz="6" w:space="0"/>
            </w:tcBorders>
            <w:shd w:val="clear"/>
            <w:vAlign w:val="top"/>
          </w:tcPr>
          <w:p w14:paraId="0C5C36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错误</w:t>
            </w:r>
          </w:p>
        </w:tc>
        <w:tc>
          <w:tcPr>
            <w:tcW w:w="4260" w:type="dxa"/>
            <w:gridSpan w:val="2"/>
            <w:tcBorders>
              <w:top w:val="outset" w:color="000000" w:sz="6" w:space="0"/>
              <w:left w:val="outset" w:color="000000" w:sz="6" w:space="0"/>
              <w:bottom w:val="outset" w:color="000000" w:sz="6" w:space="0"/>
              <w:right w:val="outset" w:color="000000" w:sz="6" w:space="0"/>
            </w:tcBorders>
            <w:shd w:val="clear"/>
            <w:vAlign w:val="top"/>
          </w:tcPr>
          <w:p w14:paraId="21011F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正确</w:t>
            </w:r>
          </w:p>
        </w:tc>
      </w:tr>
      <w:tr w14:paraId="066B85F6">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top"/>
          </w:tcPr>
          <w:p w14:paraId="10DD0B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序号</w:t>
            </w:r>
          </w:p>
        </w:tc>
        <w:tc>
          <w:tcPr>
            <w:tcW w:w="3255" w:type="dxa"/>
            <w:tcBorders>
              <w:top w:val="outset" w:color="000000" w:sz="6" w:space="0"/>
              <w:left w:val="outset" w:color="000000" w:sz="6" w:space="0"/>
              <w:bottom w:val="outset" w:color="000000" w:sz="6" w:space="0"/>
              <w:right w:val="outset" w:color="000000" w:sz="6" w:space="0"/>
            </w:tcBorders>
            <w:shd w:val="clear"/>
            <w:vAlign w:val="top"/>
          </w:tcPr>
          <w:p w14:paraId="1AE808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名称</w:t>
            </w:r>
          </w:p>
        </w:tc>
        <w:tc>
          <w:tcPr>
            <w:tcW w:w="1065" w:type="dxa"/>
            <w:tcBorders>
              <w:top w:val="outset" w:color="000000" w:sz="6" w:space="0"/>
              <w:left w:val="outset" w:color="000000" w:sz="6" w:space="0"/>
              <w:bottom w:val="outset" w:color="000000" w:sz="6" w:space="0"/>
              <w:right w:val="outset" w:color="000000" w:sz="6" w:space="0"/>
            </w:tcBorders>
            <w:shd w:val="clear"/>
            <w:vAlign w:val="top"/>
          </w:tcPr>
          <w:p w14:paraId="74614C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序号</w:t>
            </w:r>
          </w:p>
        </w:tc>
        <w:tc>
          <w:tcPr>
            <w:tcW w:w="3195" w:type="dxa"/>
            <w:tcBorders>
              <w:top w:val="outset" w:color="000000" w:sz="6" w:space="0"/>
              <w:left w:val="outset" w:color="000000" w:sz="6" w:space="0"/>
              <w:bottom w:val="outset" w:color="000000" w:sz="6" w:space="0"/>
              <w:right w:val="outset" w:color="000000" w:sz="6" w:space="0"/>
            </w:tcBorders>
            <w:shd w:val="clear"/>
            <w:vAlign w:val="top"/>
          </w:tcPr>
          <w:p w14:paraId="7D6A9E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名称</w:t>
            </w:r>
          </w:p>
        </w:tc>
      </w:tr>
      <w:tr w14:paraId="02BDD49A">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top"/>
          </w:tcPr>
          <w:p w14:paraId="4A4846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w:t>
            </w:r>
          </w:p>
        </w:tc>
        <w:tc>
          <w:tcPr>
            <w:tcW w:w="3255" w:type="dxa"/>
            <w:tcBorders>
              <w:top w:val="outset" w:color="000000" w:sz="6" w:space="0"/>
              <w:left w:val="outset" w:color="000000" w:sz="6" w:space="0"/>
              <w:bottom w:val="outset" w:color="000000" w:sz="6" w:space="0"/>
              <w:right w:val="outset" w:color="000000" w:sz="6" w:space="0"/>
            </w:tcBorders>
            <w:shd w:val="clear"/>
            <w:vAlign w:val="top"/>
          </w:tcPr>
          <w:p w14:paraId="10DBC7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室外钢管丝接、焊接</w:t>
            </w:r>
          </w:p>
        </w:tc>
        <w:tc>
          <w:tcPr>
            <w:tcW w:w="1065" w:type="dxa"/>
            <w:tcBorders>
              <w:top w:val="outset" w:color="000000" w:sz="6" w:space="0"/>
              <w:left w:val="outset" w:color="000000" w:sz="6" w:space="0"/>
              <w:bottom w:val="outset" w:color="000000" w:sz="6" w:space="0"/>
              <w:right w:val="outset" w:color="000000" w:sz="6" w:space="0"/>
            </w:tcBorders>
            <w:shd w:val="clear"/>
            <w:vAlign w:val="top"/>
          </w:tcPr>
          <w:p w14:paraId="24BBE1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w:t>
            </w:r>
          </w:p>
        </w:tc>
        <w:tc>
          <w:tcPr>
            <w:tcW w:w="3195" w:type="dxa"/>
            <w:tcBorders>
              <w:top w:val="outset" w:color="000000" w:sz="6" w:space="0"/>
              <w:left w:val="outset" w:color="000000" w:sz="6" w:space="0"/>
              <w:bottom w:val="outset" w:color="000000" w:sz="6" w:space="0"/>
              <w:right w:val="outset" w:color="000000" w:sz="6" w:space="0"/>
            </w:tcBorders>
            <w:shd w:val="clear"/>
            <w:vAlign w:val="top"/>
          </w:tcPr>
          <w:p w14:paraId="00C7E3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室外钢管（丝接、焊接）</w:t>
            </w:r>
          </w:p>
        </w:tc>
      </w:tr>
      <w:tr w14:paraId="6B4B504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top"/>
          </w:tcPr>
          <w:p w14:paraId="10A74B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2</w:t>
            </w:r>
          </w:p>
        </w:tc>
        <w:tc>
          <w:tcPr>
            <w:tcW w:w="3255" w:type="dxa"/>
            <w:tcBorders>
              <w:top w:val="outset" w:color="000000" w:sz="6" w:space="0"/>
              <w:left w:val="outset" w:color="000000" w:sz="6" w:space="0"/>
              <w:bottom w:val="outset" w:color="000000" w:sz="6" w:space="0"/>
              <w:right w:val="outset" w:color="000000" w:sz="6" w:space="0"/>
            </w:tcBorders>
            <w:shd w:val="clear"/>
            <w:vAlign w:val="top"/>
          </w:tcPr>
          <w:p w14:paraId="3AB595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室内钢管丝接</w:t>
            </w:r>
          </w:p>
        </w:tc>
        <w:tc>
          <w:tcPr>
            <w:tcW w:w="1065" w:type="dxa"/>
            <w:tcBorders>
              <w:top w:val="outset" w:color="000000" w:sz="6" w:space="0"/>
              <w:left w:val="outset" w:color="000000" w:sz="6" w:space="0"/>
              <w:bottom w:val="outset" w:color="000000" w:sz="6" w:space="0"/>
              <w:right w:val="outset" w:color="000000" w:sz="6" w:space="0"/>
            </w:tcBorders>
            <w:shd w:val="clear"/>
            <w:vAlign w:val="top"/>
          </w:tcPr>
          <w:p w14:paraId="56213B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2</w:t>
            </w:r>
          </w:p>
        </w:tc>
        <w:tc>
          <w:tcPr>
            <w:tcW w:w="3195" w:type="dxa"/>
            <w:tcBorders>
              <w:top w:val="outset" w:color="000000" w:sz="6" w:space="0"/>
              <w:left w:val="outset" w:color="000000" w:sz="6" w:space="0"/>
              <w:bottom w:val="outset" w:color="000000" w:sz="6" w:space="0"/>
              <w:right w:val="outset" w:color="000000" w:sz="6" w:space="0"/>
            </w:tcBorders>
            <w:shd w:val="clear"/>
            <w:vAlign w:val="top"/>
          </w:tcPr>
          <w:p w14:paraId="2ED27A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室内钢管（丝接）</w:t>
            </w:r>
          </w:p>
        </w:tc>
      </w:tr>
      <w:tr w14:paraId="0CA9E57A">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top"/>
          </w:tcPr>
          <w:p w14:paraId="5D98AC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3</w:t>
            </w:r>
          </w:p>
        </w:tc>
        <w:tc>
          <w:tcPr>
            <w:tcW w:w="3255" w:type="dxa"/>
            <w:tcBorders>
              <w:top w:val="outset" w:color="000000" w:sz="6" w:space="0"/>
              <w:left w:val="outset" w:color="000000" w:sz="6" w:space="0"/>
              <w:bottom w:val="outset" w:color="000000" w:sz="6" w:space="0"/>
              <w:right w:val="outset" w:color="000000" w:sz="6" w:space="0"/>
            </w:tcBorders>
            <w:shd w:val="clear"/>
            <w:vAlign w:val="top"/>
          </w:tcPr>
          <w:p w14:paraId="1BEE87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室内钢管焊接</w:t>
            </w:r>
          </w:p>
        </w:tc>
        <w:tc>
          <w:tcPr>
            <w:tcW w:w="1065" w:type="dxa"/>
            <w:tcBorders>
              <w:top w:val="outset" w:color="000000" w:sz="6" w:space="0"/>
              <w:left w:val="outset" w:color="000000" w:sz="6" w:space="0"/>
              <w:bottom w:val="outset" w:color="000000" w:sz="6" w:space="0"/>
              <w:right w:val="outset" w:color="000000" w:sz="6" w:space="0"/>
            </w:tcBorders>
            <w:shd w:val="clear"/>
            <w:vAlign w:val="top"/>
          </w:tcPr>
          <w:p w14:paraId="0487E4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3</w:t>
            </w:r>
          </w:p>
        </w:tc>
        <w:tc>
          <w:tcPr>
            <w:tcW w:w="3195" w:type="dxa"/>
            <w:tcBorders>
              <w:top w:val="outset" w:color="000000" w:sz="6" w:space="0"/>
              <w:left w:val="outset" w:color="000000" w:sz="6" w:space="0"/>
              <w:bottom w:val="outset" w:color="000000" w:sz="6" w:space="0"/>
              <w:right w:val="outset" w:color="000000" w:sz="6" w:space="0"/>
            </w:tcBorders>
            <w:shd w:val="clear"/>
            <w:vAlign w:val="top"/>
          </w:tcPr>
          <w:p w14:paraId="6BBC69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室内钢管（焊接）</w:t>
            </w:r>
          </w:p>
        </w:tc>
      </w:tr>
      <w:tr w14:paraId="6065EE50">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1005" w:type="dxa"/>
            <w:tcBorders>
              <w:top w:val="outset" w:color="000000" w:sz="6" w:space="0"/>
              <w:left w:val="outset" w:color="000000" w:sz="6" w:space="0"/>
              <w:bottom w:val="outset" w:color="000000" w:sz="6" w:space="0"/>
              <w:right w:val="outset" w:color="000000" w:sz="6" w:space="0"/>
            </w:tcBorders>
            <w:shd w:val="clear"/>
            <w:vAlign w:val="top"/>
          </w:tcPr>
          <w:p w14:paraId="4F1774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4</w:t>
            </w:r>
          </w:p>
        </w:tc>
        <w:tc>
          <w:tcPr>
            <w:tcW w:w="3255" w:type="dxa"/>
            <w:tcBorders>
              <w:top w:val="outset" w:color="000000" w:sz="6" w:space="0"/>
              <w:left w:val="outset" w:color="000000" w:sz="6" w:space="0"/>
              <w:bottom w:val="outset" w:color="000000" w:sz="6" w:space="0"/>
              <w:right w:val="outset" w:color="000000" w:sz="6" w:space="0"/>
            </w:tcBorders>
            <w:shd w:val="clear"/>
            <w:vAlign w:val="top"/>
          </w:tcPr>
          <w:p w14:paraId="4A4579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室内煤气用钢管丝接</w:t>
            </w:r>
          </w:p>
        </w:tc>
        <w:tc>
          <w:tcPr>
            <w:tcW w:w="1065" w:type="dxa"/>
            <w:tcBorders>
              <w:top w:val="outset" w:color="000000" w:sz="6" w:space="0"/>
              <w:left w:val="outset" w:color="000000" w:sz="6" w:space="0"/>
              <w:bottom w:val="outset" w:color="000000" w:sz="6" w:space="0"/>
              <w:right w:val="outset" w:color="000000" w:sz="6" w:space="0"/>
            </w:tcBorders>
            <w:shd w:val="clear"/>
            <w:vAlign w:val="top"/>
          </w:tcPr>
          <w:p w14:paraId="0FF0D2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4</w:t>
            </w:r>
          </w:p>
        </w:tc>
        <w:tc>
          <w:tcPr>
            <w:tcW w:w="3195" w:type="dxa"/>
            <w:tcBorders>
              <w:top w:val="outset" w:color="000000" w:sz="6" w:space="0"/>
              <w:left w:val="outset" w:color="000000" w:sz="6" w:space="0"/>
              <w:bottom w:val="outset" w:color="000000" w:sz="6" w:space="0"/>
              <w:right w:val="outset" w:color="000000" w:sz="6" w:space="0"/>
            </w:tcBorders>
            <w:shd w:val="clear"/>
            <w:vAlign w:val="top"/>
          </w:tcPr>
          <w:p w14:paraId="30F87F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室内煤气用钢管（丝接）</w:t>
            </w:r>
          </w:p>
        </w:tc>
      </w:tr>
    </w:tbl>
    <w:p w14:paraId="060D4E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（4）第九册说明第1页：删除第二条。</w:t>
      </w:r>
    </w:p>
    <w:p w14:paraId="261DF7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（5）第十三册说明第1页第一条第2行：“……小区的新建、扩建和改建项目中的……”改为“……小区新建和扩建项目中的……”。</w:t>
      </w:r>
    </w:p>
    <w:p w14:paraId="7B679A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9、2010年新疆维吾尔自治区建筑消耗量定额（措施项目）下册勘误表</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2075"/>
        <w:gridCol w:w="2087"/>
        <w:gridCol w:w="2076"/>
        <w:gridCol w:w="2076"/>
      </w:tblGrid>
      <w:tr w14:paraId="1776EFF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2130" w:type="dxa"/>
            <w:vMerge w:val="restart"/>
            <w:tcBorders>
              <w:top w:val="outset" w:color="000000" w:sz="6" w:space="0"/>
              <w:left w:val="outset" w:color="000000" w:sz="6" w:space="0"/>
              <w:bottom w:val="outset" w:color="000000" w:sz="6" w:space="0"/>
              <w:right w:val="outset" w:color="000000" w:sz="6" w:space="0"/>
            </w:tcBorders>
            <w:shd w:val="clear"/>
            <w:vAlign w:val="center"/>
          </w:tcPr>
          <w:p w14:paraId="14D913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说明</w:t>
            </w:r>
          </w:p>
        </w:tc>
        <w:tc>
          <w:tcPr>
            <w:tcW w:w="2130" w:type="dxa"/>
            <w:vMerge w:val="restart"/>
            <w:tcBorders>
              <w:top w:val="outset" w:color="000000" w:sz="6" w:space="0"/>
              <w:left w:val="outset" w:color="000000" w:sz="6" w:space="0"/>
              <w:bottom w:val="outset" w:color="000000" w:sz="6" w:space="0"/>
              <w:right w:val="outset" w:color="000000" w:sz="6" w:space="0"/>
            </w:tcBorders>
            <w:shd w:val="clear"/>
            <w:vAlign w:val="center"/>
          </w:tcPr>
          <w:p w14:paraId="06B091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P1202页  一、9</w:t>
            </w:r>
          </w:p>
        </w:tc>
        <w:tc>
          <w:tcPr>
            <w:tcW w:w="2130" w:type="dxa"/>
            <w:tcBorders>
              <w:top w:val="outset" w:color="000000" w:sz="6" w:space="0"/>
              <w:left w:val="outset" w:color="000000" w:sz="6" w:space="0"/>
              <w:bottom w:val="outset" w:color="000000" w:sz="6" w:space="0"/>
              <w:right w:val="outset" w:color="000000" w:sz="6" w:space="0"/>
            </w:tcBorders>
            <w:shd w:val="clear"/>
            <w:vAlign w:val="center"/>
          </w:tcPr>
          <w:p w14:paraId="76ACD1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130" w:type="dxa"/>
            <w:tcBorders>
              <w:top w:val="outset" w:color="000000" w:sz="6" w:space="0"/>
              <w:left w:val="outset" w:color="000000" w:sz="6" w:space="0"/>
              <w:bottom w:val="outset" w:color="000000" w:sz="6" w:space="0"/>
              <w:right w:val="outset" w:color="000000" w:sz="6" w:space="0"/>
            </w:tcBorders>
            <w:shd w:val="clear"/>
            <w:vAlign w:val="center"/>
          </w:tcPr>
          <w:p w14:paraId="6A75BB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21815BDA">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2130" w:type="dxa"/>
            <w:vMerge w:val="continue"/>
            <w:tcBorders>
              <w:top w:val="outset" w:color="000000" w:sz="6" w:space="0"/>
              <w:left w:val="outset" w:color="000000" w:sz="6" w:space="0"/>
              <w:bottom w:val="outset" w:color="000000" w:sz="6" w:space="0"/>
              <w:right w:val="outset" w:color="000000" w:sz="6" w:space="0"/>
            </w:tcBorders>
            <w:shd w:val="clear"/>
            <w:vAlign w:val="center"/>
          </w:tcPr>
          <w:p w14:paraId="1E627128">
            <w:pPr>
              <w:rPr>
                <w:rFonts w:hint="eastAsia" w:ascii="宋体"/>
                <w:sz w:val="24"/>
                <w:szCs w:val="24"/>
              </w:rPr>
            </w:pPr>
          </w:p>
        </w:tc>
        <w:tc>
          <w:tcPr>
            <w:tcW w:w="2130" w:type="dxa"/>
            <w:vMerge w:val="continue"/>
            <w:tcBorders>
              <w:top w:val="outset" w:color="000000" w:sz="6" w:space="0"/>
              <w:left w:val="outset" w:color="000000" w:sz="6" w:space="0"/>
              <w:bottom w:val="outset" w:color="000000" w:sz="6" w:space="0"/>
              <w:right w:val="outset" w:color="000000" w:sz="6" w:space="0"/>
            </w:tcBorders>
            <w:shd w:val="clear"/>
            <w:vAlign w:val="center"/>
          </w:tcPr>
          <w:p w14:paraId="3CCC5F0D">
            <w:pPr>
              <w:rPr>
                <w:rFonts w:hint="eastAsia" w:ascii="宋体"/>
                <w:sz w:val="24"/>
                <w:szCs w:val="24"/>
              </w:rPr>
            </w:pPr>
          </w:p>
        </w:tc>
        <w:tc>
          <w:tcPr>
            <w:tcW w:w="2130" w:type="dxa"/>
            <w:tcBorders>
              <w:top w:val="outset" w:color="000000" w:sz="6" w:space="0"/>
              <w:left w:val="outset" w:color="000000" w:sz="6" w:space="0"/>
              <w:bottom w:val="outset" w:color="000000" w:sz="6" w:space="0"/>
              <w:right w:val="outset" w:color="000000" w:sz="6" w:space="0"/>
            </w:tcBorders>
            <w:shd w:val="clear"/>
            <w:vAlign w:val="center"/>
          </w:tcPr>
          <w:p w14:paraId="467C76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檐高4.0m以内</w:t>
            </w:r>
          </w:p>
        </w:tc>
        <w:tc>
          <w:tcPr>
            <w:tcW w:w="2130" w:type="dxa"/>
            <w:tcBorders>
              <w:top w:val="outset" w:color="000000" w:sz="6" w:space="0"/>
              <w:left w:val="outset" w:color="000000" w:sz="6" w:space="0"/>
              <w:bottom w:val="outset" w:color="000000" w:sz="6" w:space="0"/>
              <w:right w:val="outset" w:color="000000" w:sz="6" w:space="0"/>
            </w:tcBorders>
            <w:shd w:val="clear"/>
            <w:vAlign w:val="center"/>
          </w:tcPr>
          <w:p w14:paraId="3D0EB9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檐高3.6m以内</w:t>
            </w:r>
          </w:p>
        </w:tc>
      </w:tr>
    </w:tbl>
    <w:p w14:paraId="27B787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10、全国统一安装工程预算定额2010年乌鲁木齐地区单位估价表勘误</w:t>
      </w:r>
    </w:p>
    <w:p w14:paraId="45A52B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（1）、《第二册、第七册、第十册》封面</w:t>
      </w:r>
    </w:p>
    <w:p w14:paraId="34CC36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错误：GYD—2010—2000      正确：GYD—210—2000</w:t>
      </w:r>
    </w:p>
    <w:p w14:paraId="63292C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（2）、《第八册、第九册、第十一册、第十三册》封面</w:t>
      </w:r>
    </w:p>
    <w:p w14:paraId="15D75C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错误：GYD—213—2000       正确：GYD—213—2003</w:t>
      </w:r>
    </w:p>
    <w:p w14:paraId="469A9E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本通知由石河子市建设工程造价管理站负责解释。</w:t>
      </w:r>
    </w:p>
    <w:p w14:paraId="641C33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1BF9D0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请下载：</w:t>
      </w:r>
    </w:p>
    <w:p w14:paraId="498A4B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"http://www.xjzj.com/Article/UploadFiles/201208/2012081011345643.zip"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6"/>
          <w:rFonts w:hint="default" w:ascii="Verdana" w:hAnsi="Verdana" w:cs="Verdana"/>
          <w:i w:val="0"/>
          <w:iCs w:val="0"/>
          <w:caps w:val="0"/>
          <w:spacing w:val="0"/>
          <w:sz w:val="21"/>
          <w:szCs w:val="21"/>
          <w:u w:val="none"/>
          <w:bdr w:val="none" w:color="auto" w:sz="0" w:space="0"/>
        </w:rPr>
        <w:t>附件：石河子地区2012年二季度建设工程价格信息。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74D5CF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2F32C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二0一二年七月十二日</w:t>
      </w:r>
    </w:p>
    <w:p w14:paraId="4BDFFD6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0E4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2026-07-16T08:58:38Z</dcterms:created>
  <dc:creator>yangl</dc:creator>
  <cp:lastModifiedBy>yangl</cp:lastModifiedBy>
  <dcterms:modified xsi:type="dcterms:W3CDTF">2026-07-16T08:58:42Z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75C0315589D6496A8DC12EC4FCE62605_12</vt:lpwstr>
  </property>
</Properties>
</file>