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CCD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eastAsia"/>
          <w:lang w:val="en-US" w:eastAsia="zh-CN"/>
        </w:rPr>
        <w:t xml:space="preserve"> </w:t>
      </w: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关于发布石河子地区2012年一季度建设工程价格信息的通知</w:t>
      </w:r>
    </w:p>
    <w:p w14:paraId="510C39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石建发【2012】101号</w:t>
      </w:r>
    </w:p>
    <w:p w14:paraId="76DE84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lang w:val="en-US" w:eastAsia="zh-CN" w:bidi="ar"/>
        </w:rPr>
        <w:t>各有关单位：</w:t>
      </w:r>
    </w:p>
    <w:p w14:paraId="6BB77D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为了做好石河子地区建设工程人工、材料、机械台班价格信息发布工作，（本建设工程是指建筑、装饰装修、安装、市政、仿估建筑及园林、房屋修缮及抗震加固工程），根据石河子地区建筑市场价格变化情况，我局造价站编制了石河子地区2012年第一季度建设工程价格信息现予发布，作为建设工程计价的参考，并就有关事项通知如下：</w:t>
      </w:r>
    </w:p>
    <w:p w14:paraId="202719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一、关于执行2010新计价定额乌市单价表的地差调整说明：因为在新单价表的下发文件中已对人工工资和机械台班进行了专项调整，则在具体调整中只对材料价格部分进行相应的地差系数调整。</w:t>
      </w:r>
    </w:p>
    <w:p w14:paraId="53DE83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二、建设工程工程量清单计价价格信息</w:t>
      </w:r>
    </w:p>
    <w:p w14:paraId="727A80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实行工程量清单计价的工程项目，可参照石河子地区建筑工程实物工程量人工成本信息，建筑工种人工成本信息，石河子地区建设工程价格信息作为计价的参考。</w:t>
      </w:r>
    </w:p>
    <w:p w14:paraId="79609C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目前建筑市场变化情况，在编制招标控制价时，人工费单价上限和机械费的调整，按石建发[2011]345号文中的相关规定执行。材料价格可参照本文“附件”所列价格信息进行调整，未发布的材料信息，应参照市场材料价格进行调整。</w:t>
      </w:r>
    </w:p>
    <w:p w14:paraId="6A2391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三、建设工程定额计价价格信息</w:t>
      </w:r>
    </w:p>
    <w:p w14:paraId="7941BB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㈠、定额内人工费单价调整</w:t>
      </w:r>
    </w:p>
    <w:p w14:paraId="7A0E76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定额内政策性人工费单价调整：市政、仿古建筑及园林、房屋修缮工程定额内人工费单价的调整按照《关于调整石河子地区建设工程定额人工费单价通知》（石建发[2008]436号）文件规定执行，原招投标约定执行2004年单价的建安工程亦参照上述办法调整。</w:t>
      </w:r>
    </w:p>
    <w:p w14:paraId="773537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定额内市场人工费单价调整：石河子地区与乌鲁木齐地区同属一个工资区域，根据新建总造字[2008]22号文件精神，石河子地区建筑工程（指执行2004单价的建筑工程）、市政工程、仿古建筑及园林工程、房屋、修缮工程定额内市场人工费单价的调整可参照（乌建发[2012]24号）文件进行调整，即在《关于调整石河子地区建设工程定额人工费单价的通知》（石建发[2008]436号）文件规定调整的基础上建筑工程、市政工程、仿古建筑及园林工程、房屋修缮工程：调增27.00元/定额工日；安装工程、市政安装工程、房屋修缮安装工程：调增28.29元/定额工日。</w:t>
      </w:r>
    </w:p>
    <w:p w14:paraId="4F4473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⒊执行2010年新计价定额，如合同约定执行人工费单价下限的，参考下列标准进行调整：</w:t>
      </w:r>
    </w:p>
    <w:p w14:paraId="35B7F0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建筑工程的调增6.90元/定额工日；安装工程调增7.75元/定额工日；装饰装修工程调增7.59元/定额工日；抗震加固工程参照执行。</w:t>
      </w:r>
    </w:p>
    <w:p w14:paraId="25C089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⒋定额内市场人工单价的调整是对定额人工单价的找差，调增部分单独列项，只计税金，不计取其他费用。</w:t>
      </w:r>
    </w:p>
    <w:p w14:paraId="4705B0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㈡、定额内材料价格的调整</w:t>
      </w:r>
    </w:p>
    <w:p w14:paraId="5BA3B3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⒈建筑、装饰装修、安装、抗震加固工程可参照本文“附件”所发布的材料价格信息进行调整；未发布的材料价格信息应参照市场材料价格进行调整。</w:t>
      </w:r>
    </w:p>
    <w:p w14:paraId="67BDE5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⒉市政工程工程仿古建筑及园林、房屋修缮工程材料价格可按本文“附件”所列价格进行调整。市政工程未列入“附件”的其它主材可按甲、乙双方认定的发票供应价与定额内供应价找差。价差部分只计税金。</w:t>
      </w:r>
    </w:p>
    <w:p w14:paraId="4F0499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仿古建筑及园林工程、房屋修缮工程未列入“附件”的材料，可根据甲、乙双方认定的发票供应价组成预算价与定额预算价找差，价差部分只计税金。</w:t>
      </w:r>
    </w:p>
    <w:p w14:paraId="716027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市政工程若使用商品砼，应执行市政工程《商品砼消耗量定额2003年乌鲁木齐地区参考单价》与“附件”中商品砼找差，价差部份只计税金。</w:t>
      </w:r>
    </w:p>
    <w:p w14:paraId="0A5E1A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35AEE8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㈢、定额内机械费调整</w:t>
      </w:r>
    </w:p>
    <w:p w14:paraId="27F0E4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⒈仿古建筑及园林工程定额内机械费的调整在97定额的基础上，以定额内机械费为基数上调18.85%，调整部分只计税金。</w:t>
      </w:r>
    </w:p>
    <w:p w14:paraId="041AD6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⒉房屋修缮工程：在99定额基础上，以定额内机械费加中小型机械费为基数上调6.15%，调整部分只计税金。</w:t>
      </w:r>
    </w:p>
    <w:p w14:paraId="0AF1E7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四、费用定额的管理与调整</w:t>
      </w:r>
    </w:p>
    <w:p w14:paraId="268531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新建总造字[2011]08号文件规定如下：</w:t>
      </w:r>
    </w:p>
    <w:p w14:paraId="1CE665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⒈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08D1C9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⒉市政工程、仿古建筑及园林工程、房屋修缮工程费用定额的调整，执行新建造[2003]1号、[2003]3号、[2003]4号文件的相关规定。</w:t>
      </w:r>
    </w:p>
    <w:p w14:paraId="424A3A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⒊关于费用定额中“工程定额测定费”的调整，按照石建发[2009]21号文“转发《关于调整自治区建筑安装、市政、园林、修缮等工程费用定额及工程量清单计价规费标准的通知》”的通知执行。</w:t>
      </w:r>
    </w:p>
    <w:p w14:paraId="0B44FF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五、混凝土、砂浆配合比调整</w:t>
      </w:r>
    </w:p>
    <w:p w14:paraId="59084E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市政、仿古建筑及园林、房屋修缮工程中的砼、砂浆配合比按照原自治区建设厅《关于发布〈二00九年自治区建设工程定额混凝土砂浆配合比〉的通知》（新建造[2009]2号文执行。新旧混凝土砂浆配合比之间的量差计入工程直接费，参与取费；价差不参与取费，只计税金。      </w:t>
      </w:r>
    </w:p>
    <w:p w14:paraId="78F75E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本通知由石河子市建设局造价站负责解释。</w:t>
      </w:r>
    </w:p>
    <w:p w14:paraId="576C97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35041E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请下载</w:t>
      </w:r>
    </w:p>
    <w:p w14:paraId="2A0F8F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"http://www.xjzj.com/Article/UploadFiles/201205/2012051519122528.rar"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5"/>
          <w:rFonts w:hint="default" w:ascii="Verdana" w:hAnsi="Verdana" w:cs="Verdana"/>
          <w:i w:val="0"/>
          <w:iCs w:val="0"/>
          <w:caps w:val="0"/>
          <w:spacing w:val="0"/>
          <w:sz w:val="21"/>
          <w:szCs w:val="21"/>
          <w:u w:val="none"/>
          <w:bdr w:val="none" w:color="auto" w:sz="0" w:space="0"/>
        </w:rPr>
        <w:t>附件：石河子地区2012年一季度建设工程价格信息。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786260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1B261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797B0B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6B0C96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二0一二年五月三日 </w:t>
      </w:r>
    </w:p>
    <w:p w14:paraId="70DE2043">
      <w:pPr>
        <w:rPr>
          <w:rFonts w:hint="eastAsia" w:eastAsiaTheme="minor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195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2026-07-16T08:57:43Z</dcterms:created>
  <dc:creator>yangl</dc:creator>
  <cp:lastModifiedBy>yangl</cp:lastModifiedBy>
  <dcterms:modified xsi:type="dcterms:W3CDTF">2026-07-16T08:57:47Z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63F4D68058BD4B5C898874D89CB94940_12</vt:lpwstr>
  </property>
</Properties>
</file>