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EE4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关于发布2012年二季度昌吉地区建筑安装工程(市政、房屋修缮、园林工程)价格信息的通知</w:t>
      </w:r>
    </w:p>
    <w:p w14:paraId="738893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b w:val="0"/>
          <w:bCs w:val="0"/>
          <w:i w:val="0"/>
          <w:iCs w:val="0"/>
          <w:color w:val="000000"/>
          <w:sz w:val="30"/>
          <w:szCs w:val="30"/>
        </w:rPr>
      </w:pPr>
      <w:r>
        <w:rPr>
          <w:rFonts w:hint="eastAsia" w:ascii="微软雅黑" w:hAnsi="微软雅黑" w:eastAsia="微软雅黑" w:cs="微软雅黑"/>
          <w:b w:val="0"/>
          <w:bCs w:val="0"/>
          <w:i w:val="0"/>
          <w:iCs w:val="0"/>
          <w:caps w:val="0"/>
          <w:color w:val="000000"/>
          <w:spacing w:val="0"/>
          <w:sz w:val="30"/>
          <w:szCs w:val="30"/>
          <w:bdr w:val="none" w:color="auto" w:sz="0" w:space="0"/>
        </w:rPr>
        <w:t>关于发布2012年二季度昌吉地区建筑安装工程(市政、房屋修缮、园林工程)价格信息的通知</w:t>
      </w:r>
    </w:p>
    <w:p w14:paraId="625C1F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昌州建造［2012］5号</w:t>
      </w:r>
    </w:p>
    <w:p w14:paraId="289F9B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各县市住房和城乡建设局，各设计、施工单位、各工程造价咨询及招标代理单位：</w:t>
      </w:r>
    </w:p>
    <w:p w14:paraId="22AAEB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昌吉州建设工程人工、材料、机械台班价格信息发布工作，根据昌吉地区人工、机械及建材市场价格的变化情况，州住房和城乡建设局组织相关人员对昌吉地区2012年二季度建设工程主要材料价格变动情况进行了调查、测算；现将2012年二季度昌吉地区建筑安装工程(市政、房屋修缮、园林工程) 的价格信息予以下发，做为建设工程工程量清单计价和定额计价的招标投标报价及结算的参考依据，请参照执行：</w:t>
      </w:r>
    </w:p>
    <w:p w14:paraId="615BDC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一、建筑安装工程、装饰工程(市政、房屋修缮、园林工程) 建设工程主要材料价格信息</w:t>
      </w:r>
    </w:p>
    <w:p w14:paraId="60E479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1、建筑安装工程、装饰工程(市政、房屋修缮、园林工程)主材部分，各县市分别按“附件一至附件七”所列材差执行，未列入“附件一至附件七”的主材，其价格可根据现行市场价格找差。</w:t>
      </w:r>
    </w:p>
    <w:p w14:paraId="592A38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2、各县市辖区内的建筑安装工程、装饰工程(市政、房屋修缮、园林工程)主材部分计算，在附件一所列材差调整的基础上(商砼、门窗及附件二至附件七所列地产材料除外)，分别再计算运差计入。</w:t>
      </w:r>
    </w:p>
    <w:p w14:paraId="46C5BE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3、鉴于目前建筑市场主要材料价格变动幅度较大，若发包方与承包方共同认可，其价格可依据甲、乙双方认定的发票价格找差。其价差不参与取费，只计税金。</w:t>
      </w:r>
    </w:p>
    <w:p w14:paraId="42D6B4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二、建筑安装工程、装饰工程(市政、房屋修缮、园林工程)关于人工单价的计算</w:t>
      </w:r>
    </w:p>
    <w:p w14:paraId="3E6619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定额内市场人工单价调整办法按昌州建造［2011］16号文的方法进行调整。</w:t>
      </w:r>
    </w:p>
    <w:p w14:paraId="23AB9F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三、定额内机械费调整</w:t>
      </w:r>
    </w:p>
    <w:p w14:paraId="491B48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1、建筑安装工程、装饰工程、市政工程机械费计算按附件一所列机械二类费用对应材料价格及人工调整中安装工程人工调整办法执行。</w:t>
      </w:r>
    </w:p>
    <w:p w14:paraId="329119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2、仿古建筑及园林工程定额内机械费的调整，在1997年仿古建筑及园林工程预算定额基础上，以定额内机械费为计算基数上调17.97%，调整部分不参与取费，只计税金。</w:t>
      </w:r>
    </w:p>
    <w:p w14:paraId="3DC2FE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3、房屋修缮工程定额内机械费的调整，在1999年房屋修缮工程预算定额基础上，以定额内机械费加中小型机械费为计算基数上调5.86%，调整部分不参与取费，只计税金。</w:t>
      </w:r>
    </w:p>
    <w:p w14:paraId="437075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四、配合比调整问题</w:t>
      </w:r>
    </w:p>
    <w:p w14:paraId="7908C8B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设工程中的混凝土、砂浆配合比按照原自治区建设厅《关于发布〈2009年自治区建设工程定额混凝土砂浆配合比〉的通知》（新建造[2009]2号）执行。新旧混凝土砂浆配合比之间的量差计入工程直接费，参与取费；价差不参与取费，只计税金。</w:t>
      </w:r>
    </w:p>
    <w:p w14:paraId="6FABE1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五、准东经济技术开发区区域内主要材料价格信息及人工调整办法</w:t>
      </w:r>
    </w:p>
    <w:p w14:paraId="1DB872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准东经济技术开发区区域内的建筑安装工程、装饰工程(市政、房屋修缮、园林工程)主材部分计算，在附件所列材差调整的基础上，由于东西南北分别处于阜康市、吉木萨尔县、奇台县、木垒县境内，建设单位应分别根据建设地所处境内县市城区与建设所在处距离再计算超距离运费计入。</w:t>
      </w:r>
    </w:p>
    <w:p w14:paraId="1F9811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2、人工调整根据昌州建造［2011］16号文的方法进行调整。</w:t>
      </w:r>
    </w:p>
    <w:p w14:paraId="0A8599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本通知由昌吉州住房和城乡建设局造价站负责解释。</w:t>
      </w:r>
    </w:p>
    <w:p w14:paraId="341D10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E2CD2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附件1：昌吉市2012年第二季度建筑安装工程材料价格信息</w:t>
      </w:r>
    </w:p>
    <w:p w14:paraId="19568B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附件2：阜康市2012年第二季度建筑安装工程材料价格信息</w:t>
      </w:r>
    </w:p>
    <w:p w14:paraId="16C418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附件3：呼图壁县2012年第二季度建筑安装工程材料价格信息</w:t>
      </w:r>
    </w:p>
    <w:p w14:paraId="017999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附件4：玛纳斯县2012年第二季度建筑安装工程材料价格信息</w:t>
      </w:r>
    </w:p>
    <w:p w14:paraId="303EDA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附件5：奇台县2012年第二季度建筑安装工程材料价格信息</w:t>
      </w:r>
    </w:p>
    <w:p w14:paraId="16C42F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附件6： 吉木萨尔县2012年第二季度建筑安装工程材料价格信息</w:t>
      </w:r>
    </w:p>
    <w:p w14:paraId="6DDEE5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附件7：木垒县2012年第二季度建筑安装工程材料价格信息</w:t>
      </w:r>
    </w:p>
    <w:p w14:paraId="2CF7608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w:t>
      </w:r>
    </w:p>
    <w:p w14:paraId="4EB4EAF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"http://www.xjzj.com/Article/UploadFiles/201207/2012071311440342.zip"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2012年二季度建设工程价格信息表</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0CDF82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3D2B81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F8EB7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5669B5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二〇一二年七月六日</w:t>
      </w:r>
    </w:p>
    <w:p w14:paraId="5CD25B5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C91941"/>
    <w:rsid w:val="266F2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1375</Words>
  <Characters>1443</Characters>
  <Lines>0</Lines>
  <Paragraphs>0</Paragraphs>
  <TotalTime>0</TotalTime>
  <ScaleCrop>false</ScaleCrop>
  <LinksUpToDate>false</LinksUpToDate>
  <CharactersWithSpaces>1447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2026-07-15T04:19:00Z</dcterms:created>
  <dc:creator>yangl</dc:creator>
  <cp:lastModifiedBy>yangl</cp:lastModifiedBy>
  <dcterms:modified xsi:type="dcterms:W3CDTF">2026-07-15T04:20:18Z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04ECF839D6A5473283A061CB76010784_12</vt:lpwstr>
  </property>
</Properties>
</file>