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5FD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关于发布二〇一二年一季度昌吉地区建筑安装工程(市政、房屋修缮、园林工程)价格信息的通知</w:t>
      </w:r>
    </w:p>
    <w:p w14:paraId="50434BA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昌州建造[2012]2号</w:t>
      </w:r>
    </w:p>
    <w:p w14:paraId="3C0E0C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各县(市)住房和城乡建设局，各设计、施工单位、各工程造价咨询及招标代理单位：</w:t>
      </w:r>
    </w:p>
    <w:p w14:paraId="6AADEF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昌吉州建设工程人工、材料、机械台班价格信息发布工作，根据昌吉地区人工、机械及建材市场价格的变化情况，州住房和城乡建设局组织相关人员对昌吉地区2012年一季度建设工程主要材料价格变动情况进行了调查、测算；现将2012年一季度昌吉地区建筑安装工程(市政、房屋修缮、园林工程) 的价格信息予以下发，做为建设工程工程量清单计价和定额计价的招标投标报价及结算的参考依据，请参照执行：</w:t>
      </w:r>
    </w:p>
    <w:p w14:paraId="3ADA9A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一、建筑安装工程、装饰工程(市政、房屋修缮、园林工程) 建设工程主要材料价格信息。</w:t>
      </w:r>
    </w:p>
    <w:p w14:paraId="16D5397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1、建筑安装工程、装饰工程(市政、房屋修缮、园林工程)主材部分，各县市均按所列材差执行，未列入“附件一”的建筑安装及装饰工程主材，其价格可根据现行市场价格调整。</w:t>
      </w:r>
    </w:p>
    <w:p w14:paraId="63B649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2、建筑、装饰装修、安装、抗震加固工程可参照本文“附件一”所发布的材料价格信息进行调整；未发布的材料价格信息应参照市场材料价格进行调整。</w:t>
      </w:r>
    </w:p>
    <w:p w14:paraId="54171AE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3、鉴于目前建筑市场主要材料价格变动幅度较大，若发包方与承包方共同认可，其价格可依据甲、乙双方认定的发票价格找差。其价差不参与取费，只计税金。</w:t>
      </w:r>
    </w:p>
    <w:p w14:paraId="6F44A68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二、建筑安装工程、装饰工程(市政、房屋修缮、园林工程)关于人工单价的计算</w:t>
      </w:r>
    </w:p>
    <w:p w14:paraId="34825F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定额内市场人工单价调整办法按昌州建造【2011】16号文的方法进行调整。</w:t>
      </w:r>
    </w:p>
    <w:p w14:paraId="6A0570E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三、建筑安装工程、装饰工程(市政、房屋修缮、园林工程)机械费计算按附件一所列机械二类费用对应材料价格及人工调整中安装工程人工调整办法执行。</w:t>
      </w:r>
    </w:p>
    <w:p w14:paraId="19F3734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四、配合比调整问题。</w:t>
      </w:r>
    </w:p>
    <w:p w14:paraId="45FBBB5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6E9A7B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五、准东经济技术开发区区域内主要材料价格信息及人工调整办法。</w:t>
      </w:r>
    </w:p>
    <w:p w14:paraId="4BC5CA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准东经济技术开发区区域内的建筑安装工程、装饰工程(市政、房屋修缮、园林工程)主材部分计算，在附件一所列材差调整的基础上，由于东西南北分别处于阜康市、吉木萨尔县、奇台县、木垒县境内，建设单位应分别根据建设地所处境内县市城区与建设所在处距离再计算超距离运费计入。</w:t>
      </w:r>
    </w:p>
    <w:p w14:paraId="0A77F85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2、人工调整根据以上人工调整办法昌州建造【2011】16号文的方法进行调整。</w:t>
      </w:r>
    </w:p>
    <w:p w14:paraId="291653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本通知由昌吉州住房和城乡建设局造价站负责解释</w:t>
      </w:r>
    </w:p>
    <w:p w14:paraId="36ECEA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请下载</w:t>
      </w:r>
    </w:p>
    <w:p w14:paraId="2AB951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"http://www.xjzj.com/Article/UploadFiles/201203/2012032918305310.zip"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5"/>
          <w:rFonts w:hint="eastAsia" w:ascii="宋体" w:hAnsi="宋体" w:eastAsia="宋体" w:cs="宋体"/>
          <w:b w:val="0"/>
          <w:bCs w:val="0"/>
          <w:i w:val="0"/>
          <w:iCs w:val="0"/>
          <w:caps w:val="0"/>
          <w:spacing w:val="0"/>
          <w:sz w:val="21"/>
          <w:szCs w:val="21"/>
          <w:u w:val="none"/>
          <w:bdr w:val="none" w:color="auto" w:sz="0" w:space="0"/>
        </w:rPr>
        <w:t>附件一：昌吉地区2012年一季度建筑安装工程材料价格信息</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p>
    <w:p w14:paraId="3B04C9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12C073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6975D14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二〇一二年三月二十六日</w:t>
      </w:r>
    </w:p>
    <w:p w14:paraId="13DF61A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681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2026-07-15T04:18:45Z</dcterms:created>
  <dc:creator>yangl</dc:creator>
  <cp:lastModifiedBy>yangl</cp:lastModifiedBy>
  <dcterms:modified xsi:type="dcterms:W3CDTF">2026-07-15T04:18:50Z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D3F215C52136423E86873E4C29E5A5D5_12</vt:lpwstr>
  </property>
</Properties>
</file>