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E17" w:rsidRPr="00416E17" w:rsidRDefault="00416E17" w:rsidP="00416E17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416E1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416E1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416E1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416E1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11</w:t>
      </w:r>
      <w:r w:rsidRPr="00416E1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416E17" w:rsidRPr="00416E17" w:rsidRDefault="00416E17" w:rsidP="00416E17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416E17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巴建发【2012】83号         签发：徐京杰</w:t>
      </w:r>
    </w:p>
    <w:p w:rsidR="00416E17" w:rsidRPr="00416E17" w:rsidRDefault="00416E17" w:rsidP="00416E17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br/>
        <w:t>各县（开发区）住房和城乡建设局、库尔勒市住房和城乡建设局、农二师建设局、各设计、咨询施工单位：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根据11月库尔勒市建筑市场价格变化情况，经过调查、测算我站编制了《库尔勒市2012年11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一、建设工程工程量清单计价价格信息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二、建设工程定额计价价格信息</w:t>
      </w:r>
    </w:p>
    <w:p w:rsidR="00416E17" w:rsidRPr="00416E17" w:rsidRDefault="00416E17" w:rsidP="00416E17">
      <w:pPr>
        <w:widowControl/>
        <w:ind w:firstLine="3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（一）定额内人工费单价的调整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1、建筑、装饰装修、安装工程仍按巴建发【2011】31号文件相关规定执行。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2、市政、仿古建筑及园林、房屋修缮工程人工费单价，可执行巴建发【2011】31号文件里的人工费。差价部分只计税金。</w:t>
      </w:r>
    </w:p>
    <w:p w:rsidR="00416E17" w:rsidRPr="00416E17" w:rsidRDefault="00416E17" w:rsidP="00416E17">
      <w:pPr>
        <w:widowControl/>
        <w:ind w:firstLine="3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（二）定额内材料价格的调整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鉴于目前建筑市场材料价格变动幅度较大，若发包方与承包方共同认可，其价格可依据甲、乙双方认可的材料价格进行计算，并在合同中约定。</w:t>
      </w:r>
    </w:p>
    <w:p w:rsidR="00416E17" w:rsidRPr="00416E17" w:rsidRDefault="00416E17" w:rsidP="00416E17">
      <w:pPr>
        <w:widowControl/>
        <w:ind w:firstLine="3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（三）定额内机械费调整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1、建筑、装饰装修、安装工程定额机械费的调整按巴建发【2011】31号文的相关规定执行。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lastRenderedPageBreak/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416E17" w:rsidRPr="00416E17" w:rsidRDefault="00416E17" w:rsidP="00416E17">
      <w:pPr>
        <w:widowControl/>
        <w:ind w:firstLine="478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三、费用定额的管理与调整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1、建筑、装饰装修、安装工程费用定额仍按新建造【2010】5号文的相关规定执行。但税金计取应按新建造【2011】3号文件执行。市区3.48﹪，县城（镇）3.41﹪，非市区、县城（镇）3.28﹪。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2、市政、仿古建筑及园林、房屋修缮工程费用定额的调整，应按照巴建造字【2003】3号、巴建造字【2003】08号、巴建造【2003】09号文件规定执行。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3、市政工程、抗震加固工程、仿古建筑及园林工程、房屋修缮工程税金的计取，应按新建造【2011】3号文件执行，市区3.48﹪，县城（镇）3.41﹪，非市区、县城（镇）3.28﹪。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六、请各县（开发区）住房和城乡建设局、库尔勒市住房和城乡建设局、农二师建设局按本通知精神，做好2012年11月份结算工作。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七、本通知由巴州建设工程造价管理站负责解释。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请下载：</w:t>
      </w:r>
    </w:p>
    <w:p w:rsidR="00416E17" w:rsidRPr="00416E17" w:rsidRDefault="00416E17" w:rsidP="00416E1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附件：库尔勒市2012年11月份建设工程价格信息</w:t>
      </w:r>
    </w:p>
    <w:p w:rsidR="00416E17" w:rsidRPr="00416E17" w:rsidRDefault="00416E17" w:rsidP="00416E17">
      <w:pPr>
        <w:widowControl/>
        <w:ind w:firstLine="3888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                                               巴州住房和城乡建设局</w:t>
      </w:r>
    </w:p>
    <w:p w:rsidR="00416E17" w:rsidRPr="00416E17" w:rsidRDefault="00416E17" w:rsidP="00416E17">
      <w:pPr>
        <w:widowControl/>
        <w:ind w:firstLine="372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16E17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                                                  二0一二年十二月六日</w:t>
      </w:r>
    </w:p>
    <w:p w:rsidR="00485BF3" w:rsidRDefault="00485BF3">
      <w:bookmarkStart w:id="0" w:name="_GoBack"/>
      <w:bookmarkEnd w:id="0"/>
    </w:p>
    <w:sectPr w:rsidR="00485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C66"/>
    <w:rsid w:val="00416E17"/>
    <w:rsid w:val="00485BF3"/>
    <w:rsid w:val="004D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85E8B-BE0D-4BE3-A13A-8109C632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416E1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416E17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0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60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317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525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Company>HP Inc.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2026-07-23T02:16:00Z</dcterms:created>
  <dcterms:modified xsi:type="dcterms:W3CDTF">2026-07-23T02:16:00Z</dcterms:modified>
</cp:coreProperties>
</file>