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279" w:rsidRPr="004A0279" w:rsidRDefault="004A0279" w:rsidP="004A0279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4A027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4A027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2012</w:t>
      </w:r>
      <w:r w:rsidRPr="004A027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4A027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10</w:t>
      </w:r>
      <w:r w:rsidRPr="004A0279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4A0279" w:rsidRPr="004A0279" w:rsidRDefault="004A0279" w:rsidP="004A0279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4A0279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巴建发【2012】75号       签发：徐京杰</w:t>
      </w:r>
    </w:p>
    <w:p w:rsidR="004A0279" w:rsidRPr="004A0279" w:rsidRDefault="004A0279" w:rsidP="004A0279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br/>
        <w:t>各县（开发区）住房和城乡建设局、库尔勒市住房和城乡建设局、农二师建设局、各设计、咨询施工单位：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根据10月库尔勒市建筑市场价格变化情况，经过调查、测算我站编制了《库尔勒市2012年10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4A0279" w:rsidRPr="004A0279" w:rsidRDefault="004A0279" w:rsidP="004A0279">
      <w:pPr>
        <w:widowControl/>
        <w:ind w:firstLine="482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b/>
          <w:bCs/>
          <w:color w:val="505050"/>
          <w:kern w:val="0"/>
          <w:sz w:val="24"/>
          <w:szCs w:val="24"/>
        </w:rPr>
        <w:t>一、建设工程工程量清单计价价格信息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根据目前建筑市场变化情况，在编制招标控制价时，人工费单价上限和机械机上人工费的调整按巴建发【2011】31号文中的相关规定执行；材料价格可参考本文“附件”中所列价格信息，未发布的材料信息，应参照市场材料价格。</w:t>
      </w:r>
    </w:p>
    <w:p w:rsidR="004A0279" w:rsidRPr="004A0279" w:rsidRDefault="004A0279" w:rsidP="004A0279">
      <w:pPr>
        <w:widowControl/>
        <w:ind w:firstLine="482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b/>
          <w:bCs/>
          <w:color w:val="505050"/>
          <w:kern w:val="0"/>
          <w:sz w:val="24"/>
          <w:szCs w:val="24"/>
        </w:rPr>
        <w:t>二、建设工程定额计价价格信息</w:t>
      </w:r>
    </w:p>
    <w:p w:rsidR="004A0279" w:rsidRPr="004A0279" w:rsidRDefault="004A0279" w:rsidP="004A0279">
      <w:pPr>
        <w:widowControl/>
        <w:ind w:firstLine="36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（一）定额内人工费单价的调整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1、建筑、装饰装修、安装工程仍按巴建发【2011】31号文件相关规定执行。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2、市政、仿古建筑及园林、房屋修缮工程人工费单价，可执行巴建发【2011】31号文件里的人工费。差价部分只计税金。</w:t>
      </w:r>
    </w:p>
    <w:p w:rsidR="004A0279" w:rsidRPr="004A0279" w:rsidRDefault="004A0279" w:rsidP="004A0279">
      <w:pPr>
        <w:widowControl/>
        <w:ind w:firstLine="36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（二）定额内材料价格的调整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1、建筑、装饰装修、安装、抗震加固工程材料价格可参照本文“附件”中所列价格信息进行调整，未发布的主材，可依据甲、乙双方认定的发票供应价与定额内供应价找差。价差不参与取费，只计税金。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鉴于目前建筑市场材料价格变动幅度较大，若发包方与承包方共同认可，其价格可依据甲、乙双方认可的材料价格进行计算，并在合同中约定。</w:t>
      </w:r>
    </w:p>
    <w:p w:rsidR="004A0279" w:rsidRPr="004A0279" w:rsidRDefault="004A0279" w:rsidP="004A0279">
      <w:pPr>
        <w:widowControl/>
        <w:ind w:firstLine="36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（三）定额内机械费调整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1、建筑、装饰装修、安装工程定额机械费的调整按巴建发【2011】31号文的相关规定执行。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lastRenderedPageBreak/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4A0279" w:rsidRPr="004A0279" w:rsidRDefault="004A0279" w:rsidP="004A0279">
      <w:pPr>
        <w:widowControl/>
        <w:ind w:firstLine="479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b/>
          <w:bCs/>
          <w:color w:val="505050"/>
          <w:kern w:val="0"/>
          <w:sz w:val="24"/>
          <w:szCs w:val="24"/>
        </w:rPr>
        <w:t>三、费用定额的管理与调整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1、建筑、装饰装修、安装工程费用定额仍按新建造【2010】5号文的相关规定执行。但税金计取应按新建造【2011】3号文件执行。市区3.48﹪，县城（镇）3.41﹪，非市区、县城（镇）3.28﹪。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2、市政、仿古建筑及园林、房屋修缮工程费用定额的调整，应按照巴建造字【2003】3号、巴建造字【2003】08号、巴建造【2003】09号文件规定执行。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3、市政工程、抗震加固工程、仿古建筑及园林工程、房屋修缮工程税金的计取，应按新建造【2011】3号文件执行，市区3.48﹪，县城（镇）3.41﹪，非市区、县城（镇）3.28﹪。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六、请各县（开发区）住房和城乡建设局、库尔勒市住房和城乡建设局、农二师建设局按本通知精神，做好2012年10月份结算工作。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七、本通知由巴州建设工程造价管理站负责解释。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请下载：</w:t>
      </w:r>
    </w:p>
    <w:p w:rsidR="004A0279" w:rsidRPr="004A0279" w:rsidRDefault="004A0279" w:rsidP="004A0279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附件：库尔勒市2012年10月份建设工程价格信息</w:t>
      </w:r>
    </w:p>
    <w:p w:rsidR="004A0279" w:rsidRPr="004A0279" w:rsidRDefault="004A0279" w:rsidP="004A0279">
      <w:pPr>
        <w:widowControl/>
        <w:ind w:firstLine="3456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                                                   巴州住房和城乡建设局</w:t>
      </w:r>
    </w:p>
    <w:p w:rsidR="004A0279" w:rsidRPr="004A0279" w:rsidRDefault="004A0279" w:rsidP="004A0279">
      <w:pPr>
        <w:widowControl/>
        <w:ind w:firstLine="360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4A0279">
        <w:rPr>
          <w:rFonts w:ascii="宋体" w:eastAsia="宋体" w:hAnsi="宋体" w:cs="宋体" w:hint="eastAsia"/>
          <w:color w:val="505050"/>
          <w:kern w:val="0"/>
          <w:sz w:val="24"/>
          <w:szCs w:val="24"/>
        </w:rPr>
        <w:t>                                                  二○一二年十一月十日</w:t>
      </w:r>
    </w:p>
    <w:p w:rsidR="005F78BB" w:rsidRDefault="005F78BB">
      <w:bookmarkStart w:id="0" w:name="_GoBack"/>
      <w:bookmarkEnd w:id="0"/>
    </w:p>
    <w:sectPr w:rsidR="005F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89B"/>
    <w:rsid w:val="003D589B"/>
    <w:rsid w:val="004A0279"/>
    <w:rsid w:val="005F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667D6D-92B8-4A8F-9CDE-213D2A45B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4A027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4A0279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1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779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7130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4335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45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9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1613</Characters>
  <Application>Microsoft Office Word</Application>
  <DocSecurity>0</DocSecurity>
  <Lines>13</Lines>
  <Paragraphs>3</Paragraphs>
  <ScaleCrop>false</ScaleCrop>
  <Company>HP Inc.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2026-07-23T02:15:00Z</dcterms:created>
  <dcterms:modified xsi:type="dcterms:W3CDTF">2026-07-23T02:15:00Z</dcterms:modified>
</cp:coreProperties>
</file>