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897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关于发布奎屯地区2012年8月份建设工程价格信息的通知</w:t>
      </w:r>
    </w:p>
    <w:p w14:paraId="089B41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奎建造〔2012〕9号</w:t>
      </w:r>
    </w:p>
    <w:p w14:paraId="5BC8B2B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39D284D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2012年8月份建设工程价格信息》，现予以发布，作为建设工程计价的参考。现将有关事项通知如下：</w:t>
      </w:r>
    </w:p>
    <w:p w14:paraId="6357E8D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一、建设工程工程量清单计价价格信息</w:t>
      </w:r>
    </w:p>
    <w:p w14:paraId="040B6D2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（一）材料价格信息</w:t>
      </w:r>
    </w:p>
    <w:p w14:paraId="2B78843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材料价格信息可参考《奎屯地区2012年8月份建设工程价格信息》（附件），也可按市场价格。</w:t>
      </w:r>
    </w:p>
    <w:p w14:paraId="41BC5D3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（二）机械台班价格信息</w:t>
      </w:r>
    </w:p>
    <w:p w14:paraId="6F40BC1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</w:t>
      </w:r>
    </w:p>
    <w:p w14:paraId="0B14A7B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（三）人工费单价价格信息</w:t>
      </w:r>
    </w:p>
    <w:p w14:paraId="0C0E1E5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人工费单价价格可参考《2011年奎屯地区单位估价表》，也可按市场价格。</w:t>
      </w:r>
    </w:p>
    <w:p w14:paraId="57BD013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4"/>
          <w:szCs w:val="24"/>
          <w:bdr w:val="none" w:color="auto" w:sz="0" w:space="0"/>
          <w:shd w:val="clear" w:fill="FFFFFF"/>
        </w:rPr>
        <w:t>二、建设工程定额计价价格信息</w:t>
      </w:r>
    </w:p>
    <w:p w14:paraId="1660E1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（一）定额内人工费单价的调整</w:t>
      </w:r>
    </w:p>
    <w:p w14:paraId="60A264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建设工程定额人工费单价的通知》奎建造【2011】3号文件的规定执行。</w:t>
      </w:r>
    </w:p>
    <w:p w14:paraId="34D55E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61元/工日计算，其差价部分只计取税金，编制投标报价时，投标人可参照市场价格自主确定人工费单价，但不得低于定额内人工费单价。</w:t>
      </w:r>
    </w:p>
    <w:p w14:paraId="1C9188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（二）定额内材料价格的调整</w:t>
      </w:r>
    </w:p>
    <w:p w14:paraId="6A5839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1、建筑、装饰装修、安装、抗震加固工程材料价格可参照本文“附件”中所列价格信息进行调整，未发布的材料价格信息，可依据甲乙双方认定发票供应价格与定额内供应价进行找差，价差部分只计税金。　　</w:t>
      </w:r>
    </w:p>
    <w:p w14:paraId="208BDC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2、市政工程材料价格按照本文“附件”所列价格信息与定额内材料供应价找差，未列入“附件”的材料，可按甲、乙双方认定的发票供应价与定额内供应价找差，价差不参与取费，只计税金。</w:t>
      </w:r>
    </w:p>
    <w:p w14:paraId="17A3E3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3、仿古建筑及园林工程、房屋修缮工程主材按照本文 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630EA9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4138DC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鉴于目前建筑市场材料价格变动幅度较大，若发包方和承包方共同认可，其价格按甲、乙双方认可的材料价格进行计算，并在合同中约定。</w:t>
      </w:r>
    </w:p>
    <w:p w14:paraId="45181A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(三)定额内机械费调整</w:t>
      </w:r>
    </w:p>
    <w:p w14:paraId="0372F2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1、仿古建筑及园林工程：在97年定额基础上，以定额内机械费为基数上调17.45%，调整部分只计税金。</w:t>
      </w:r>
    </w:p>
    <w:p w14:paraId="3A7BD4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2、房屋修缮工程：在99定额基础上，以定额内机械费加中小型机械费为基数上调5.69%，调整部分只计税金。</w:t>
      </w:r>
    </w:p>
    <w:p w14:paraId="3EF8D1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三、关于费用定额的调整</w:t>
      </w:r>
    </w:p>
    <w:p w14:paraId="70B44D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1、市政工程、仿古建筑及园林工程、房屋修缮工程的费用调整执行奎建造[2005]5号文件有关规定。</w:t>
      </w:r>
    </w:p>
    <w:p w14:paraId="45D65A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2、关于费用定额中“工程定额测定费”的调整，按照奎造[2009]1号文件执行。</w:t>
      </w:r>
    </w:p>
    <w:p w14:paraId="6E2D04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四、2010年新疆建筑消耗量定额（实体项目）勘误</w:t>
      </w:r>
    </w:p>
    <w:p w14:paraId="739136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66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 w14:paraId="57DABB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ascii="serif" w:hAnsi="serif" w:eastAsia="serif" w:cs="serif"/>
          <w:b w:val="0"/>
          <w:bCs w:val="0"/>
          <w:i w:val="0"/>
          <w:iCs w:val="0"/>
          <w:caps w:val="0"/>
          <w:color w:val="50505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 </w:t>
      </w:r>
    </w:p>
    <w:p w14:paraId="0F8BAA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66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第四章 混凝土及钢筋混凝土工程</w:t>
      </w:r>
    </w:p>
    <w:tbl>
      <w:tblPr>
        <w:tblW w:w="0" w:type="auto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7"/>
        <w:gridCol w:w="4337"/>
        <w:gridCol w:w="1077"/>
        <w:gridCol w:w="1078"/>
        <w:gridCol w:w="1079"/>
      </w:tblGrid>
      <w:tr w14:paraId="19FB2502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</w:tblPrEx>
        <w:tc>
          <w:tcPr>
            <w:tcW w:w="652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48D5B5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160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F0DBC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计量单位：10个</w:t>
            </w:r>
          </w:p>
        </w:tc>
      </w:tr>
      <w:tr w14:paraId="24E8B619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2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4D4903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定额编号</w:t>
            </w:r>
          </w:p>
        </w:tc>
        <w:tc>
          <w:tcPr>
            <w:tcW w:w="2160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4A65FAF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4-669</w:t>
            </w:r>
          </w:p>
        </w:tc>
      </w:tr>
      <w:tr w14:paraId="778C9424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25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938B4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2160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7EAC9B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氧气压力焊</w:t>
            </w:r>
          </w:p>
        </w:tc>
      </w:tr>
      <w:tr w14:paraId="03AD14A1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45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5ECC72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名  称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46CE4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2B6D93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误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5F819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正</w:t>
            </w:r>
          </w:p>
        </w:tc>
      </w:tr>
      <w:tr w14:paraId="2610361F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465E9A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人工</w:t>
            </w:r>
          </w:p>
        </w:tc>
        <w:tc>
          <w:tcPr>
            <w:tcW w:w="43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3648F5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综合工日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683F20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工日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4CD0B3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2C2F89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0.1</w:t>
            </w:r>
          </w:p>
        </w:tc>
      </w:tr>
      <w:tr w14:paraId="311543AB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1D4EE35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材料</w:t>
            </w:r>
          </w:p>
        </w:tc>
        <w:tc>
          <w:tcPr>
            <w:tcW w:w="436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B8B44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石棉垫</w:t>
            </w:r>
          </w:p>
          <w:p w14:paraId="3B8E7C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氧气</w:t>
            </w:r>
          </w:p>
          <w:p w14:paraId="4E5AA3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液压油</w:t>
            </w:r>
          </w:p>
          <w:p w14:paraId="7265F26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乙炔气</w:t>
            </w:r>
          </w:p>
          <w:p w14:paraId="285062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其他材料费占材料费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2A853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4A291A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0.1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2CAFE05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—</w:t>
            </w:r>
          </w:p>
        </w:tc>
      </w:tr>
      <w:tr w14:paraId="789B025F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31D95D4C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6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53A8ABEC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214EFF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2979E0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B1EDC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1.68</w:t>
            </w:r>
          </w:p>
        </w:tc>
      </w:tr>
      <w:tr w14:paraId="360E42FE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14ECC210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6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65692E02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8CCF6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6C86BA9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1.3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089058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—</w:t>
            </w:r>
          </w:p>
        </w:tc>
      </w:tr>
      <w:tr w14:paraId="56293363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5B4DD1E2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6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0B4762D3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74D678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89A4D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5B975F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1.62</w:t>
            </w:r>
          </w:p>
        </w:tc>
      </w:tr>
      <w:tr w14:paraId="55C7B06B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6408CF76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6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1384A8AE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71FC4D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733963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75DE5F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—</w:t>
            </w:r>
          </w:p>
        </w:tc>
      </w:tr>
      <w:tr w14:paraId="26AB79AC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65FE06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机械</w:t>
            </w:r>
          </w:p>
        </w:tc>
        <w:tc>
          <w:tcPr>
            <w:tcW w:w="436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5844E0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安装综合机械占材料费</w:t>
            </w:r>
          </w:p>
          <w:p w14:paraId="051C00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台式砂轮机Φ250</w:t>
            </w:r>
          </w:p>
          <w:p w14:paraId="574A16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气压焊机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0C18BB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44A77B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670B83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—</w:t>
            </w:r>
          </w:p>
        </w:tc>
      </w:tr>
      <w:tr w14:paraId="74181D66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0EDCA4AA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6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65966BD4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261376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台班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7CA60D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738F6B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0.14</w:t>
            </w:r>
          </w:p>
        </w:tc>
      </w:tr>
      <w:tr w14:paraId="7221F1F7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8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center"/>
          </w:tcPr>
          <w:p w14:paraId="5F2275CC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6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2B321184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4E00D1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台班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31F633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/>
            <w:vAlign w:val="bottom"/>
          </w:tcPr>
          <w:p w14:paraId="79D352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0.42</w:t>
            </w:r>
          </w:p>
        </w:tc>
      </w:tr>
    </w:tbl>
    <w:p w14:paraId="5CF9CC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218" w:right="218" w:firstLine="420"/>
        <w:jc w:val="left"/>
        <w:rPr>
          <w:sz w:val="21"/>
          <w:szCs w:val="21"/>
        </w:rPr>
      </w:pPr>
      <w:r>
        <w:rPr>
          <w:rFonts w:hint="default" w:ascii="serif" w:hAnsi="serif" w:eastAsia="serif" w:cs="serif"/>
          <w:b w:val="0"/>
          <w:bCs w:val="0"/>
          <w:i w:val="0"/>
          <w:iCs w:val="0"/>
          <w:caps w:val="0"/>
          <w:color w:val="50505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</w:p>
    <w:p w14:paraId="7F12C3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 第六章金属结构工程</w:t>
      </w:r>
    </w:p>
    <w:tbl>
      <w:tblPr>
        <w:tblpPr w:vertAnchor="text" w:tblpXSpec="left"/>
        <w:tblW w:w="0" w:type="auto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8"/>
        <w:gridCol w:w="1779"/>
        <w:gridCol w:w="2737"/>
        <w:gridCol w:w="3054"/>
      </w:tblGrid>
      <w:tr w14:paraId="5AA17CAC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9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 w14:paraId="7D7B46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工程量计算规则</w:t>
            </w:r>
          </w:p>
        </w:tc>
        <w:tc>
          <w:tcPr>
            <w:tcW w:w="1815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 w14:paraId="31443A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P555页 十三、金属结构中所用钢板</w:t>
            </w:r>
          </w:p>
        </w:tc>
        <w:tc>
          <w:tcPr>
            <w:tcW w:w="28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 w14:paraId="7BDECD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误</w:t>
            </w:r>
          </w:p>
        </w:tc>
        <w:tc>
          <w:tcPr>
            <w:tcW w:w="31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 w14:paraId="67F492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正</w:t>
            </w:r>
          </w:p>
        </w:tc>
      </w:tr>
      <w:tr w14:paraId="39155B99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9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 w14:paraId="7990A1B4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sz w:val="21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 w14:paraId="678B028D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sz w:val="21"/>
                <w:szCs w:val="21"/>
              </w:rPr>
            </w:pPr>
          </w:p>
        </w:tc>
        <w:tc>
          <w:tcPr>
            <w:tcW w:w="282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 w14:paraId="143E45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设计为多边形者，按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形计算，巨形的边长以设计中……尺寸为准。</w:t>
            </w:r>
          </w:p>
        </w:tc>
        <w:tc>
          <w:tcPr>
            <w:tcW w:w="31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 w14:paraId="51BD9E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设计为多边形者，按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矩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形计算，矩形的边长以设计中……尺寸为准。</w:t>
            </w:r>
          </w:p>
        </w:tc>
      </w:tr>
    </w:tbl>
    <w:p w14:paraId="0B1A3B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19F51E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5E7E97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7C6A26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775F35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2CA4BC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64153B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470E71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五、2011年奎屯地区单位估价表（实体项目）勘误</w:t>
      </w:r>
    </w:p>
    <w:p w14:paraId="111CF0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82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第四章 混凝土及钢筋混凝土工程</w:t>
      </w:r>
    </w:p>
    <w:tbl>
      <w:tblPr>
        <w:tblW w:w="0" w:type="auto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6"/>
        <w:gridCol w:w="1099"/>
        <w:gridCol w:w="1621"/>
        <w:gridCol w:w="773"/>
        <w:gridCol w:w="1068"/>
        <w:gridCol w:w="1035"/>
        <w:gridCol w:w="1068"/>
        <w:gridCol w:w="1068"/>
      </w:tblGrid>
      <w:tr w14:paraId="58841ABA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497E32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222B2E7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定额编号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13A59F4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8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144294E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0F1AA70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基价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55D5E9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人工费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0A70AF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材料费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59C5B2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机械费</w:t>
            </w:r>
          </w:p>
        </w:tc>
      </w:tr>
      <w:tr w14:paraId="0646F7D0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6C0ADC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3448</w:t>
            </w:r>
          </w:p>
        </w:tc>
        <w:tc>
          <w:tcPr>
            <w:tcW w:w="126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782AA3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4-669</w:t>
            </w:r>
          </w:p>
        </w:tc>
        <w:tc>
          <w:tcPr>
            <w:tcW w:w="19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32E5AB8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氧气压力焊</w:t>
            </w:r>
          </w:p>
        </w:tc>
        <w:tc>
          <w:tcPr>
            <w:tcW w:w="81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52E738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10个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715ADA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righ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59.03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787E9F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righ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5.11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0F5D0C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righ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25.07</w:t>
            </w:r>
          </w:p>
        </w:tc>
        <w:tc>
          <w:tcPr>
            <w:tcW w:w="10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bottom"/>
          </w:tcPr>
          <w:p w14:paraId="7F779E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righ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50505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28.85</w:t>
            </w:r>
          </w:p>
        </w:tc>
      </w:tr>
    </w:tbl>
    <w:p w14:paraId="0F071A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六、凡已完成招投标的工程项目，仍按原约定执行；已办理竣工结算的工程项目不再做调整。</w:t>
      </w:r>
    </w:p>
    <w:p w14:paraId="64A89B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七、本通知由奎屯市建设局工程建设标准造价管理站负责解释。</w:t>
      </w:r>
    </w:p>
    <w:p w14:paraId="244EBD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八、本通知执行日期为二○一二年八月一日至二○一二年八月三十一日。</w:t>
      </w:r>
    </w:p>
    <w:p w14:paraId="2F68EA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</w:t>
      </w:r>
    </w:p>
    <w:p w14:paraId="168489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附件：奎屯地区2012年8月份建筑安装工程材料价格信息</w:t>
      </w:r>
    </w:p>
    <w:p w14:paraId="40D1CE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18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default" w:ascii="serif" w:hAnsi="serif" w:eastAsia="serif" w:cs="serif"/>
          <w:b w:val="0"/>
          <w:bCs w:val="0"/>
          <w:i w:val="0"/>
          <w:iCs w:val="0"/>
          <w:caps w:val="0"/>
          <w:color w:val="50505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</w:p>
    <w:p w14:paraId="0189B7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                                                   二O一二年九月三日</w:t>
      </w:r>
    </w:p>
    <w:p w14:paraId="51A580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                                                                                      奎屯市建设局</w:t>
      </w:r>
    </w:p>
    <w:p w14:paraId="496CA9E1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849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qFormat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qFormat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1131</Words>
  <Characters>1236</Characters>
  <Lines>0</Lines>
  <Paragraphs>0</Paragraphs>
  <TotalTime>0</TotalTime>
  <ScaleCrop>false</ScaleCrop>
  <LinksUpToDate>false</LinksUpToDate>
  <CharactersWithSpaces>1237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08B9BB2939D14E619C837D5D00C51659_12</vt:lpwstr>
  </property>
</Properties>
</file>