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452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关于发布吐鲁番地区2012年07月份建设工程价格信息的通知</w:t>
      </w:r>
    </w:p>
    <w:p w14:paraId="0013A1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bookmarkStart w:id="0" w:name="_GoBack"/>
      <w:bookmarkEnd w:id="0"/>
      <w:r>
        <w:rPr>
          <w:rFonts w:hint="eastAsia" w:ascii="宋体" w:hAnsi="宋体" w:eastAsia="宋体" w:cs="宋体"/>
          <w:i w:val="0"/>
          <w:iCs w:val="0"/>
          <w:caps w:val="0"/>
          <w:color w:val="505050"/>
          <w:spacing w:val="0"/>
          <w:sz w:val="18"/>
          <w:szCs w:val="18"/>
          <w:bdr w:val="none" w:color="auto" w:sz="0" w:space="0"/>
        </w:rPr>
        <w:t>吐地住建[2012]259号</w:t>
      </w:r>
    </w:p>
    <w:p w14:paraId="4CB3D1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两县一市建设局、有关建设、设计、施工、造价咨询中介机构：</w:t>
      </w:r>
    </w:p>
    <w:p w14:paraId="36EB60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吐鲁番地区2012年07月份建安工程、市政工程及房屋修缮工程（预）结算工作，我局建设工程造价管理站根据吐鲁番地区人工、机械及建材市场价格变化情况，编制了《吐鲁番地区2012年07月份建设工程价格信息》，现予以发布，作为建设工程计价的参考。并就有关事项通知如下：</w:t>
      </w:r>
    </w:p>
    <w:p w14:paraId="2F4231D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一、建设工程定额计价价格信息</w:t>
      </w:r>
    </w:p>
    <w:p w14:paraId="0B6E1E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70A84C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02733E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71427D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01E012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(二)定额内材料价格的调整</w:t>
      </w:r>
    </w:p>
    <w:p w14:paraId="34B83F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75F523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2D4D1A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26330F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4、本次“附件”所列价格信息均为市场供应价，与相应定额内供应价找差，价差不参与取费，只计税金。</w:t>
      </w:r>
    </w:p>
    <w:p w14:paraId="238977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鉴于目前建筑市场材料价格变动幅度较大，若发包方与承包方共同认可，其价格可依据甲、乙双方认可的材料价格进行计算，并在合同中约定。</w:t>
      </w:r>
    </w:p>
    <w:p w14:paraId="319032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BDE6E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1、市政工程参照“附件”中所列信息价进行调整。</w:t>
      </w:r>
    </w:p>
    <w:p w14:paraId="0825C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2、房屋修缮工程定额内机械费的调整，在1999年房屋修缮工程预算定额基础上，以定额内机械费加中小型机械费为计算基数上调5.43%，调整部分不参与取费，只计税金。</w:t>
      </w:r>
    </w:p>
    <w:p w14:paraId="3D533D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二、费用定额的管理与调整</w:t>
      </w:r>
    </w:p>
    <w:p w14:paraId="3199C2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1EA186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2、市政、房屋修缮工程费用定额的调整，应按照新建造[2003]1号、新建造[2003]3号、新建造[2003]4号文件规定的有关费用标准执行。</w:t>
      </w:r>
    </w:p>
    <w:p w14:paraId="423503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3DA8B8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2012年07月份新开工项目可参考本文件[附件]。在本通知下发前已办理竣工结算的工程不参照本文件[附件]。</w:t>
      </w:r>
    </w:p>
    <w:p w14:paraId="53A4A5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第六章 金属结构工程</w:t>
      </w:r>
    </w:p>
    <w:tbl>
      <w:tblPr>
        <w:tblW w:w="8334" w:type="dxa"/>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076"/>
        <w:gridCol w:w="1898"/>
        <w:gridCol w:w="2680"/>
        <w:gridCol w:w="2680"/>
      </w:tblGrid>
      <w:tr w14:paraId="71E7F8CD">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rPr>
          <w:trHeight w:val="0" w:hRule="atLeast"/>
          <w:jc w:val="center"/>
        </w:trPr>
        <w:tc>
          <w:tcPr>
            <w:tcW w:w="0" w:type="auto"/>
            <w:vMerge w:val="restart"/>
            <w:tcBorders>
              <w:top w:val="outset" w:color="000000" w:sz="6" w:space="0"/>
              <w:left w:val="outset" w:color="000000" w:sz="6" w:space="0"/>
              <w:bottom w:val="outset" w:color="000000" w:sz="6" w:space="0"/>
              <w:right w:val="outset" w:color="000000" w:sz="6" w:space="0"/>
            </w:tcBorders>
            <w:shd w:val="clear"/>
            <w:vAlign w:val="center"/>
          </w:tcPr>
          <w:p w14:paraId="50A28ED3">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工程量计算规则</w:t>
            </w:r>
          </w:p>
        </w:tc>
        <w:tc>
          <w:tcPr>
            <w:tcW w:w="0" w:type="auto"/>
            <w:vMerge w:val="restart"/>
            <w:tcBorders>
              <w:top w:val="outset" w:color="000000" w:sz="6" w:space="0"/>
              <w:left w:val="outset" w:color="000000" w:sz="6" w:space="0"/>
              <w:bottom w:val="outset" w:color="000000" w:sz="6" w:space="0"/>
              <w:right w:val="outset" w:color="000000" w:sz="6" w:space="0"/>
            </w:tcBorders>
            <w:shd w:val="clear"/>
            <w:vAlign w:val="center"/>
          </w:tcPr>
          <w:p w14:paraId="7B9367E5">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 P555页 十三、金属结构中所用钢板</w:t>
            </w:r>
          </w:p>
        </w:tc>
        <w:tc>
          <w:tcPr>
            <w:tcW w:w="0" w:type="auto"/>
            <w:tcBorders>
              <w:top w:val="outset" w:color="000000" w:sz="6" w:space="0"/>
              <w:left w:val="outset" w:color="000000" w:sz="6" w:space="0"/>
              <w:bottom w:val="outset" w:color="000000" w:sz="6" w:space="0"/>
              <w:right w:val="outset" w:color="000000" w:sz="6" w:space="0"/>
            </w:tcBorders>
            <w:shd w:val="clear"/>
            <w:vAlign w:val="center"/>
          </w:tcPr>
          <w:p w14:paraId="52EE5601">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误</w:t>
            </w:r>
          </w:p>
        </w:tc>
        <w:tc>
          <w:tcPr>
            <w:tcW w:w="2680" w:type="dxa"/>
            <w:tcBorders>
              <w:top w:val="outset" w:color="000000" w:sz="6" w:space="0"/>
              <w:left w:val="outset" w:color="000000" w:sz="6" w:space="0"/>
              <w:bottom w:val="outset" w:color="000000" w:sz="6" w:space="0"/>
              <w:right w:val="outset" w:color="000000" w:sz="6" w:space="0"/>
            </w:tcBorders>
            <w:shd w:val="clear"/>
            <w:vAlign w:val="center"/>
          </w:tcPr>
          <w:p w14:paraId="6E205C69">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正</w:t>
            </w:r>
          </w:p>
        </w:tc>
      </w:tr>
      <w:tr w14:paraId="3895570D">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rPr>
          <w:trHeight w:val="0" w:hRule="atLeast"/>
          <w:jc w:val="center"/>
        </w:trPr>
        <w:tc>
          <w:tcPr>
            <w:tcW w:w="1074" w:type="dxa"/>
            <w:vMerge w:val="continue"/>
            <w:tcBorders>
              <w:top w:val="outset" w:color="000000" w:sz="6" w:space="0"/>
              <w:left w:val="outset" w:color="000000" w:sz="6" w:space="0"/>
              <w:bottom w:val="outset" w:color="000000" w:sz="6" w:space="0"/>
              <w:right w:val="outset" w:color="000000" w:sz="6" w:space="0"/>
            </w:tcBorders>
            <w:shd w:val="clear"/>
            <w:vAlign w:val="center"/>
          </w:tcPr>
          <w:p w14:paraId="0F8FAF42">
            <w:pPr>
              <w:snapToGrid w:val="0"/>
              <w:rPr>
                <w:rFonts w:hint="eastAsia" w:ascii="宋体"/>
                <w:sz w:val="24"/>
                <w:szCs w:val="24"/>
              </w:rPr>
            </w:pPr>
          </w:p>
        </w:tc>
        <w:tc>
          <w:tcPr>
            <w:tcW w:w="1900" w:type="dxa"/>
            <w:vMerge w:val="continue"/>
            <w:tcBorders>
              <w:top w:val="outset" w:color="000000" w:sz="6" w:space="0"/>
              <w:left w:val="outset" w:color="000000" w:sz="6" w:space="0"/>
              <w:bottom w:val="outset" w:color="000000" w:sz="6" w:space="0"/>
              <w:right w:val="outset" w:color="000000" w:sz="6" w:space="0"/>
            </w:tcBorders>
            <w:shd w:val="clear"/>
            <w:vAlign w:val="center"/>
          </w:tcPr>
          <w:p w14:paraId="29BFA0EE">
            <w:pPr>
              <w:snapToGrid w:val="0"/>
              <w:rPr>
                <w:rFonts w:hint="eastAsia" w:ascii="宋体"/>
                <w:sz w:val="24"/>
                <w:szCs w:val="24"/>
              </w:rPr>
            </w:pPr>
          </w:p>
        </w:tc>
        <w:tc>
          <w:tcPr>
            <w:tcW w:w="2680" w:type="dxa"/>
            <w:tcBorders>
              <w:top w:val="outset" w:color="000000" w:sz="6" w:space="0"/>
              <w:left w:val="outset" w:color="000000" w:sz="6" w:space="0"/>
              <w:bottom w:val="outset" w:color="000000" w:sz="6" w:space="0"/>
              <w:right w:val="outset" w:color="000000" w:sz="6" w:space="0"/>
            </w:tcBorders>
            <w:shd w:val="clear"/>
            <w:vAlign w:val="center"/>
          </w:tcPr>
          <w:p w14:paraId="1A82BC56">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设计为多边形者，按巨形计算，巨形的边长以设计中……尺寸为准。</w:t>
            </w:r>
          </w:p>
        </w:tc>
        <w:tc>
          <w:tcPr>
            <w:tcW w:w="2680" w:type="dxa"/>
            <w:tcBorders>
              <w:top w:val="outset" w:color="000000" w:sz="6" w:space="0"/>
              <w:left w:val="outset" w:color="000000" w:sz="6" w:space="0"/>
              <w:bottom w:val="outset" w:color="000000" w:sz="6" w:space="0"/>
              <w:right w:val="outset" w:color="000000" w:sz="6" w:space="0"/>
            </w:tcBorders>
            <w:shd w:val="clear"/>
            <w:vAlign w:val="center"/>
          </w:tcPr>
          <w:p w14:paraId="0437E673">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设计为多边形者，按矩形计算，矩形的边长以设计中……尺寸为准。</w:t>
            </w:r>
          </w:p>
        </w:tc>
      </w:tr>
    </w:tbl>
    <w:p w14:paraId="621AAB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E57CC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080F0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7EDC0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A0718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07E754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22EE24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2011年吐鲁番地区单位估价表（实体项目）勘误</w:t>
      </w:r>
    </w:p>
    <w:p w14:paraId="18F702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第四章 混凝土及钢筋混凝土工程</w:t>
      </w:r>
    </w:p>
    <w:tbl>
      <w:tblPr>
        <w:tblW w:w="12015" w:type="dxa"/>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1121"/>
        <w:gridCol w:w="1639"/>
        <w:gridCol w:w="2577"/>
        <w:gridCol w:w="1054"/>
        <w:gridCol w:w="1406"/>
        <w:gridCol w:w="1406"/>
        <w:gridCol w:w="1406"/>
        <w:gridCol w:w="1406"/>
      </w:tblGrid>
      <w:tr w14:paraId="7120EF64">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rPr>
          <w:trHeight w:val="885" w:hRule="atLeast"/>
          <w:jc w:val="center"/>
        </w:trPr>
        <w:tc>
          <w:tcPr>
            <w:tcW w:w="1121" w:type="dxa"/>
            <w:tcBorders>
              <w:top w:val="outset" w:color="000000" w:sz="6" w:space="0"/>
              <w:left w:val="outset" w:color="000000" w:sz="6" w:space="0"/>
              <w:bottom w:val="outset" w:color="000000" w:sz="6" w:space="0"/>
              <w:right w:val="outset" w:color="000000" w:sz="6" w:space="0"/>
            </w:tcBorders>
            <w:shd w:val="clear"/>
            <w:vAlign w:val="bottom"/>
          </w:tcPr>
          <w:p w14:paraId="1EADF7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序号</w:t>
            </w:r>
          </w:p>
        </w:tc>
        <w:tc>
          <w:tcPr>
            <w:tcW w:w="1639" w:type="dxa"/>
            <w:tcBorders>
              <w:top w:val="outset" w:color="000000" w:sz="6" w:space="0"/>
              <w:left w:val="outset" w:color="000000" w:sz="6" w:space="0"/>
              <w:bottom w:val="outset" w:color="000000" w:sz="6" w:space="0"/>
              <w:right w:val="outset" w:color="000000" w:sz="6" w:space="0"/>
            </w:tcBorders>
            <w:shd w:val="clear"/>
            <w:vAlign w:val="bottom"/>
          </w:tcPr>
          <w:p w14:paraId="5CD345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定额编号</w:t>
            </w:r>
          </w:p>
        </w:tc>
        <w:tc>
          <w:tcPr>
            <w:tcW w:w="2577" w:type="dxa"/>
            <w:tcBorders>
              <w:top w:val="outset" w:color="000000" w:sz="6" w:space="0"/>
              <w:left w:val="outset" w:color="000000" w:sz="6" w:space="0"/>
              <w:bottom w:val="outset" w:color="000000" w:sz="6" w:space="0"/>
              <w:right w:val="outset" w:color="000000" w:sz="6" w:space="0"/>
            </w:tcBorders>
            <w:shd w:val="clear"/>
            <w:vAlign w:val="bottom"/>
          </w:tcPr>
          <w:p w14:paraId="6478C1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项目名称</w:t>
            </w:r>
          </w:p>
        </w:tc>
        <w:tc>
          <w:tcPr>
            <w:tcW w:w="1054" w:type="dxa"/>
            <w:tcBorders>
              <w:top w:val="outset" w:color="000000" w:sz="6" w:space="0"/>
              <w:left w:val="outset" w:color="000000" w:sz="6" w:space="0"/>
              <w:bottom w:val="outset" w:color="000000" w:sz="6" w:space="0"/>
              <w:right w:val="outset" w:color="000000" w:sz="6" w:space="0"/>
            </w:tcBorders>
            <w:shd w:val="clear"/>
            <w:vAlign w:val="bottom"/>
          </w:tcPr>
          <w:p w14:paraId="4FF5EA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单位</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08F117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基价</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10EDC8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人工费</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0ECBB0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材料费</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56B3E0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机械费</w:t>
            </w:r>
          </w:p>
        </w:tc>
      </w:tr>
      <w:tr w14:paraId="2139A7A9">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rPr>
          <w:trHeight w:val="885" w:hRule="atLeast"/>
          <w:jc w:val="center"/>
        </w:trPr>
        <w:tc>
          <w:tcPr>
            <w:tcW w:w="1121" w:type="dxa"/>
            <w:tcBorders>
              <w:top w:val="outset" w:color="000000" w:sz="6" w:space="0"/>
              <w:left w:val="outset" w:color="000000" w:sz="6" w:space="0"/>
              <w:bottom w:val="outset" w:color="000000" w:sz="6" w:space="0"/>
              <w:right w:val="outset" w:color="000000" w:sz="6" w:space="0"/>
            </w:tcBorders>
            <w:shd w:val="clear"/>
            <w:vAlign w:val="bottom"/>
          </w:tcPr>
          <w:p w14:paraId="5700F3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3448</w:t>
            </w:r>
          </w:p>
        </w:tc>
        <w:tc>
          <w:tcPr>
            <w:tcW w:w="1639" w:type="dxa"/>
            <w:tcBorders>
              <w:top w:val="outset" w:color="000000" w:sz="6" w:space="0"/>
              <w:left w:val="outset" w:color="000000" w:sz="6" w:space="0"/>
              <w:bottom w:val="outset" w:color="000000" w:sz="6" w:space="0"/>
              <w:right w:val="outset" w:color="000000" w:sz="6" w:space="0"/>
            </w:tcBorders>
            <w:shd w:val="clear"/>
            <w:vAlign w:val="bottom"/>
          </w:tcPr>
          <w:p w14:paraId="06247D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4-669</w:t>
            </w:r>
          </w:p>
        </w:tc>
        <w:tc>
          <w:tcPr>
            <w:tcW w:w="2577" w:type="dxa"/>
            <w:tcBorders>
              <w:top w:val="outset" w:color="000000" w:sz="6" w:space="0"/>
              <w:left w:val="outset" w:color="000000" w:sz="6" w:space="0"/>
              <w:bottom w:val="outset" w:color="000000" w:sz="6" w:space="0"/>
              <w:right w:val="outset" w:color="000000" w:sz="6" w:space="0"/>
            </w:tcBorders>
            <w:shd w:val="clear"/>
            <w:vAlign w:val="bottom"/>
          </w:tcPr>
          <w:p w14:paraId="599DDB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sz w:val="21"/>
                <w:szCs w:val="21"/>
              </w:rPr>
            </w:pPr>
            <w:r>
              <w:rPr>
                <w:rFonts w:asciiTheme="minorHAnsi" w:hAnsiTheme="minorHAnsi" w:eastAsiaTheme="minorEastAsia" w:cstheme="minorBidi"/>
                <w:kern w:val="0"/>
                <w:sz w:val="21"/>
                <w:szCs w:val="21"/>
                <w:bdr w:val="none" w:color="auto" w:sz="0" w:space="0"/>
                <w:lang w:val="en-US" w:eastAsia="zh-CN" w:bidi="ar"/>
              </w:rPr>
              <w:t>氧气压力焊</w:t>
            </w:r>
          </w:p>
        </w:tc>
        <w:tc>
          <w:tcPr>
            <w:tcW w:w="1054" w:type="dxa"/>
            <w:tcBorders>
              <w:top w:val="outset" w:color="000000" w:sz="6" w:space="0"/>
              <w:left w:val="outset" w:color="000000" w:sz="6" w:space="0"/>
              <w:bottom w:val="outset" w:color="000000" w:sz="6" w:space="0"/>
              <w:right w:val="outset" w:color="000000" w:sz="6" w:space="0"/>
            </w:tcBorders>
            <w:shd w:val="clear"/>
            <w:vAlign w:val="bottom"/>
          </w:tcPr>
          <w:p w14:paraId="12BFC8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sz w:val="21"/>
                <w:szCs w:val="21"/>
              </w:rPr>
            </w:pPr>
            <w:r>
              <w:rPr>
                <w:rFonts w:asciiTheme="minorHAnsi" w:hAnsiTheme="minorHAnsi" w:eastAsiaTheme="minorEastAsia" w:cstheme="minorBidi"/>
                <w:kern w:val="0"/>
                <w:sz w:val="21"/>
                <w:szCs w:val="21"/>
                <w:bdr w:val="none" w:color="auto" w:sz="0" w:space="0"/>
                <w:lang w:val="en-US" w:eastAsia="zh-CN" w:bidi="ar"/>
              </w:rPr>
              <w:t>10个</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746974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61.65</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282E7D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5.44</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694C53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25.46</w:t>
            </w:r>
          </w:p>
        </w:tc>
        <w:tc>
          <w:tcPr>
            <w:tcW w:w="1406" w:type="dxa"/>
            <w:tcBorders>
              <w:top w:val="outset" w:color="000000" w:sz="6" w:space="0"/>
              <w:left w:val="outset" w:color="000000" w:sz="6" w:space="0"/>
              <w:bottom w:val="outset" w:color="000000" w:sz="6" w:space="0"/>
              <w:right w:val="outset" w:color="000000" w:sz="6" w:space="0"/>
            </w:tcBorders>
            <w:shd w:val="clear"/>
            <w:vAlign w:val="bottom"/>
          </w:tcPr>
          <w:p w14:paraId="367BC1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right"/>
              <w:rPr>
                <w:sz w:val="21"/>
                <w:szCs w:val="21"/>
              </w:rPr>
            </w:pPr>
            <w:r>
              <w:rPr>
                <w:rFonts w:asciiTheme="minorHAnsi" w:hAnsiTheme="minorHAnsi" w:eastAsiaTheme="minorEastAsia" w:cstheme="minorBidi"/>
                <w:kern w:val="0"/>
                <w:sz w:val="21"/>
                <w:szCs w:val="21"/>
                <w:bdr w:val="none" w:color="auto" w:sz="0" w:space="0"/>
                <w:lang w:val="en-US" w:eastAsia="zh-CN" w:bidi="ar"/>
              </w:rPr>
              <w:t>30.75</w:t>
            </w:r>
          </w:p>
        </w:tc>
      </w:tr>
    </w:tbl>
    <w:p w14:paraId="177415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四、本通知由吐鲁番地区建设工程造价管理站负责解释</w:t>
      </w:r>
    </w:p>
    <w:p w14:paraId="640B06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7984C2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"http://www.xjzj.com/Article/UploadFiles/201209/2012090517025371.rar"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附件：吐鲁番地区2012年07月份建设工程价格信息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EBF26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05998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二〇一二年八月二十七日</w:t>
      </w:r>
    </w:p>
    <w:p w14:paraId="1DED3C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F5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2026-07-16T10:28:58Z</dcterms:created>
  <dc:creator>Administrator</dc:creator>
  <cp:lastModifiedBy>一叶知秋</cp:lastModifiedBy>
  <dcterms:modified xsi:type="dcterms:W3CDTF">2026-07-16T10:31:31Z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EC67F1C844294BD6956FB7E1F8D1CEE9_12</vt:lpwstr>
  </property>
</Properties>
</file>