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8977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关于发布吐鲁番地区2012年5月份建设工程价格信息的通知</w:t>
      </w:r>
      <w:bookmarkStart w:id="0" w:name="_GoBack"/>
      <w:bookmarkEnd w:id="0"/>
    </w:p>
    <w:p w14:paraId="6810D9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吐地住建[2012]181号</w:t>
      </w:r>
    </w:p>
    <w:p w14:paraId="0FA033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两县一市建设局、有关建设、设计、施工、造价咨询中介机构：</w:t>
      </w:r>
    </w:p>
    <w:p w14:paraId="287CAB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4"/>
          <w:szCs w:val="24"/>
          <w:bdr w:val="none" w:color="auto" w:sz="0" w:space="0"/>
        </w:rPr>
        <w:t>为做好吐鲁番地区2012年5月份建安工程、市政工程及房屋修缮工程（预）结算工作，我局建设工程造价管理站根据吐鲁番地区人工、机械及建材市场价格变化情况，编制了《吐鲁番地区2012年5月份建设工程价格信息》，现予以发布，作为建设工程计价的参考。并就有关事项通知如下：</w:t>
      </w:r>
    </w:p>
    <w:p w14:paraId="2A0DA0A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一、建设工程定额计价价格信息</w:t>
      </w:r>
    </w:p>
    <w:p w14:paraId="443F29C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(一)定额内人工费单价的调整</w:t>
      </w:r>
    </w:p>
    <w:p w14:paraId="67DA61A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1、2011年10月1  日后招、投标的（执行2011年新单位估价表）建筑、装饰装修、安装、抗震加固工程结算时定额内人工费单价调整：每工日上调2.41元，只计税金。</w:t>
      </w:r>
    </w:p>
    <w:p w14:paraId="61005C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编制投资估算、设计概算、招标标底、招标控制价时，人工费单价应按上限66元/工日计算，其差价部分只计取税金，编制投标报价时，投标人可按照市场价格自主确定人工费单价，但不得低于本估价人工费单价下限标准。</w:t>
      </w:r>
    </w:p>
    <w:p w14:paraId="27ECFA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2、2011年9月30日前招、投标的建筑、安装、市政工程、房屋修缮工程、人工调整及机上人工调整和定额外签证用工单价调整仍按吐地建【2011】146号文件执行。</w:t>
      </w:r>
    </w:p>
    <w:p w14:paraId="33CA29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(二)定额内材料价格的调整</w:t>
      </w:r>
    </w:p>
    <w:p w14:paraId="0E7CC3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1、建筑、装饰装修、安装、抗震加固工程材料价格可参考本文“附件”中所列价格信息进行调整，未发布的材料价格信息，应参考市场材料价格进行调整。</w:t>
      </w:r>
    </w:p>
    <w:p w14:paraId="6745B1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2、市政工程材料价格参考本文“附件”所列价格信息与定额内材料供应价找差，未列入“附件”的材料，可依据甲、乙双方认定的发票供应价与定额内供应价找差。价差不参与取费，只计税金。</w:t>
      </w:r>
    </w:p>
    <w:p w14:paraId="1B2EB3C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3、房屋修缮工程主材参考本文“附件”所列价格信息与相应定额内材料供应价找差，未列入“附件”的材料，可依据甲、乙双方认定的发票供应价与定额内供应价找差。价差不参与取费，只计税金。</w:t>
      </w:r>
    </w:p>
    <w:p w14:paraId="0E8C5A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4、本次“附件”所列价格信息均为市场供应价，与相应定额内供应价找差，价差不参与取费，只计税金。</w:t>
      </w:r>
    </w:p>
    <w:p w14:paraId="15E19FB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鉴于目前建筑市场材料价格变动幅度较大，若发包方与承包方共同认可，其价格可依据甲、乙双方认可的材料价格进行计算，并在合同中约定。</w:t>
      </w:r>
    </w:p>
    <w:p w14:paraId="4EF056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(三)定额内机械费的调整</w:t>
      </w:r>
    </w:p>
    <w:p w14:paraId="460BB27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1、建筑、安装、市政工程参照“附件”中所列信息价进行调整。</w:t>
      </w:r>
    </w:p>
    <w:p w14:paraId="1622F5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2、房屋修缮工程定额内机械费的调整，在1999年房屋修缮工程预算定额基础上，以定额内机械费加中小型机械费为计算基数上调5.86%，调整部分不参与取费，只计税金。</w:t>
      </w:r>
    </w:p>
    <w:p w14:paraId="2B5A691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二、费用定额的管理与调整</w:t>
      </w:r>
    </w:p>
    <w:p w14:paraId="66C811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0E0CDF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2、市政、房屋修缮工程费用定额的调整，应按照新建造[2003]1号、新建造[2003]3号、新建造[2003]4号文件规定的有关费用标准执行。</w:t>
      </w:r>
    </w:p>
    <w:p w14:paraId="23065EC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3、关于费用定额中“工程定额测定费”的调整，按照原自治区建设厅、发展和改革委员会《关于调整自治区建筑安装、市政、园林、修缮等工程费用定额及工程量清单计价规费标准的通知》（新建造[2009]1号）规定执行。</w:t>
      </w:r>
    </w:p>
    <w:p w14:paraId="7E4D54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2012年5月份新开工项目可参考本文件[附件]。在本通知下发前已办理竣工结算的工程不参照本文件[附件]。三、本通知由吐鲁番地区建设工程造价管理站负责解释</w:t>
      </w:r>
    </w:p>
    <w:p w14:paraId="1551880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70"/>
        <w:jc w:val="left"/>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请下载：</w:t>
      </w:r>
    </w:p>
    <w:p w14:paraId="6D6D7C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70"/>
        <w:jc w:val="left"/>
        <w:rPr>
          <w:sz w:val="21"/>
          <w:szCs w:val="21"/>
        </w:rPr>
      </w:pP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"http://www.xjzj.com/Article/UploadFiles/201209/2012090516534841.rar"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6"/>
          <w:rFonts w:hint="eastAsia" w:ascii="宋体" w:hAnsi="宋体" w:eastAsia="宋体" w:cs="宋体"/>
          <w:b w:val="0"/>
          <w:bCs w:val="0"/>
          <w:i w:val="0"/>
          <w:iCs w:val="0"/>
          <w:caps w:val="0"/>
          <w:color w:val="FF0000"/>
          <w:spacing w:val="0"/>
          <w:sz w:val="24"/>
          <w:szCs w:val="24"/>
          <w:u w:val="none"/>
          <w:bdr w:val="none" w:color="auto" w:sz="0" w:space="0"/>
        </w:rPr>
        <w:t>附件：吐鲁番地区2012年5月份建设工程价格信息</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r>
        <w:rPr>
          <w:rFonts w:hint="eastAsia" w:ascii="宋体" w:hAnsi="宋体" w:eastAsia="宋体" w:cs="宋体"/>
          <w:b w:val="0"/>
          <w:bCs w:val="0"/>
          <w:i w:val="0"/>
          <w:iCs w:val="0"/>
          <w:caps w:val="0"/>
          <w:color w:val="FF0000"/>
          <w:spacing w:val="0"/>
          <w:kern w:val="0"/>
          <w:sz w:val="24"/>
          <w:szCs w:val="24"/>
          <w:u w:val="single"/>
          <w:bdr w:val="none" w:color="auto" w:sz="0" w:space="0"/>
          <w:lang w:val="en-US" w:eastAsia="zh-CN" w:bidi="ar"/>
        </w:rPr>
        <w:t> </w:t>
      </w:r>
    </w:p>
    <w:p w14:paraId="2EBD28F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hanging="1"/>
        <w:jc w:val="center"/>
        <w:rPr>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                      </w:t>
      </w:r>
    </w:p>
    <w:p w14:paraId="6985D0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4"/>
          <w:szCs w:val="24"/>
          <w:bdr w:val="none" w:color="auto" w:sz="0" w:space="0"/>
          <w:lang w:val="en-US" w:eastAsia="zh-CN" w:bidi="ar"/>
        </w:rPr>
        <w:t>                                                                                二〇一二年六月十八日</w:t>
      </w:r>
    </w:p>
    <w:p w14:paraId="3EA95C5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33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2026-07-16T10:27:54Z</dcterms:created>
  <dc:creator>Administrator</dc:creator>
  <cp:lastModifiedBy>一叶知秋</cp:lastModifiedBy>
  <dcterms:modified xsi:type="dcterms:W3CDTF">2026-07-16T10:28:31Z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65C640DF17F94952BC8602E7F9F896BA_12</vt:lpwstr>
  </property>
</Properties>
</file>