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BF3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关于发布吐鲁番地区2012年4月份建设工程价格信息的通知</w:t>
      </w:r>
    </w:p>
    <w:p w14:paraId="52F625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吐地住建[2012]129号</w:t>
      </w:r>
      <w:bookmarkStart w:id="0" w:name="_GoBack"/>
      <w:bookmarkEnd w:id="0"/>
    </w:p>
    <w:p w14:paraId="517731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两县一市建设局、有关建设、设计、施工、造价咨询中介机构：</w:t>
      </w:r>
    </w:p>
    <w:p w14:paraId="63D889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2012年4月份建安工程、市政工程及房屋修缮工程（预）结算工作，我局建设工程造价管理站根据吐鲁番地区人工、机械及建材市场价格变化情况，编制了《吐鲁番地区2012年4月份建设工程价格信息》，现予以发布，作为建设工程计价的参考。并就有关事项通知如下：</w:t>
      </w:r>
    </w:p>
    <w:p w14:paraId="5A1BD4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一、建设工程定额计价价格信息</w:t>
      </w:r>
    </w:p>
    <w:p w14:paraId="79E8EA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(一)定额内人工费单价的调整</w:t>
      </w:r>
    </w:p>
    <w:p w14:paraId="018092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1、2011年10月1  日后招、投标的（执行2011年新单位估价表）建筑、装饰装修、安装、抗震加固工程结算时定额内人工费单价调整：每工日上调2.41元，只计税金。</w:t>
      </w:r>
    </w:p>
    <w:p w14:paraId="4A0431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编制投资估算、设计概算、招标标底、招标控制价时，人工费单价应按上限66元/工日计算，其差价部分只计取税金，编制投标报价时，投标人可按照市场价格自主确定人工费单价，但不得低于本估价人工费单价下限标准。</w:t>
      </w:r>
    </w:p>
    <w:p w14:paraId="4BFAAB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2、2011年9月30日前招、投标的建筑、安装、市政工程、房屋修缮工程、人工调整及机上人工调整和定额外签证用工单价调整仍按吐地建【2011】146号文件执行。</w:t>
      </w:r>
    </w:p>
    <w:p w14:paraId="38E432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(二)定额内材料价格的调整</w:t>
      </w:r>
    </w:p>
    <w:p w14:paraId="4B8605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1、建筑、装饰装修、安装、抗震加固工程材料价格可参考本文“附件”中所列价格信息进行调整，未发布的材料价格信息，应参考市场材料价格进行调整。</w:t>
      </w:r>
    </w:p>
    <w:p w14:paraId="21ABC5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2、市政工程材料价格参考本文“附件”所列价格信息与定额内材料供应价找差，未列入“附件”的材料，可依据甲、乙双方认定的发票供应价与定额内供应价找差。价差不参与取费，只计税金。</w:t>
      </w:r>
    </w:p>
    <w:p w14:paraId="35AB38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3、房屋修缮工程主材参考本文“附件”所列价格信息与相应定额内材料供应价找差，未列入“附件”的材料，可依据甲、乙双方认定的发票供应价与定额内供应价找差。价差不参与取费，只计税金。</w:t>
      </w:r>
    </w:p>
    <w:p w14:paraId="359D99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4、本次“附件”所列价格信息均为市场供应价，与相应定额内供应价找差，价差不参与取费，只计税金。</w:t>
      </w:r>
    </w:p>
    <w:p w14:paraId="3BFB4F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鉴于目前建筑市场材料价格变动幅度较大，若发包方与承包方共同认可，其价格可依据甲、乙双方认可的材料价格进行计算，并在合同中约定。</w:t>
      </w:r>
    </w:p>
    <w:p w14:paraId="175CE0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7B452D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1、市政工程参照“附件”中所列信息价进行调整。</w:t>
      </w:r>
    </w:p>
    <w:p w14:paraId="6BFF69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2、房屋修缮工程定额内机械费的调整，在1999年房屋修缮工程预算定额基础上，以定额内机械费加中小型机械费为计算基数上调6.08%，调整部分不参与取费，只计税金。</w:t>
      </w:r>
    </w:p>
    <w:p w14:paraId="622623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二、费用定额的管理与调整</w:t>
      </w:r>
    </w:p>
    <w:p w14:paraId="745525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137596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2、市政、房屋修缮工程费用定额的调整，应按照新建造[2003]1号、新建造[2003]3号、新建造[2003]4号文件规定的有关费用标准执行。</w:t>
      </w:r>
    </w:p>
    <w:p w14:paraId="107E01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关于费用定额中“工程定额测定费”的调整，按照原自治区建设厅、发展和改革委员会《关于调整自治区建筑安装、市政、园林、修缮等工程费用定额及工程量清单计价规费标准的通知》（新建造[2009]1号）规定执行。</w:t>
      </w:r>
    </w:p>
    <w:p w14:paraId="1EA9C1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2012年4月份新开工项目可参考本文件[附件]。在本通知下发前已办理竣工结算的工程不参照本文件[附件]。</w:t>
      </w:r>
    </w:p>
    <w:p w14:paraId="7A851A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三、建筑、安装、装饰装修定额及估价表勘误</w:t>
      </w:r>
    </w:p>
    <w:p w14:paraId="4193ED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1、2002年全国统一建筑装饰装修工程消耗量定额勘误表</w:t>
      </w:r>
    </w:p>
    <w:tbl>
      <w:tblPr>
        <w:tblpPr w:vertAnchor="text" w:tblpXSpec="left"/>
        <w:tblW w:w="0" w:type="auto"/>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1208"/>
        <w:gridCol w:w="1996"/>
        <w:gridCol w:w="1100"/>
        <w:gridCol w:w="2006"/>
        <w:gridCol w:w="2004"/>
      </w:tblGrid>
      <w:tr w14:paraId="145A810B">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215" w:type="dxa"/>
            <w:tcBorders>
              <w:top w:val="outset" w:color="000000" w:sz="6" w:space="0"/>
              <w:left w:val="outset" w:color="000000" w:sz="6" w:space="0"/>
              <w:bottom w:val="outset" w:color="000000" w:sz="6" w:space="0"/>
              <w:right w:val="outset" w:color="000000" w:sz="6" w:space="0"/>
            </w:tcBorders>
            <w:shd w:val="clear"/>
            <w:vAlign w:val="top"/>
          </w:tcPr>
          <w:p w14:paraId="203FA3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定额编号</w:t>
            </w:r>
          </w:p>
        </w:tc>
        <w:tc>
          <w:tcPr>
            <w:tcW w:w="2025" w:type="dxa"/>
            <w:tcBorders>
              <w:top w:val="outset" w:color="000000" w:sz="6" w:space="0"/>
              <w:left w:val="outset" w:color="000000" w:sz="6" w:space="0"/>
              <w:bottom w:val="outset" w:color="000000" w:sz="6" w:space="0"/>
              <w:right w:val="outset" w:color="000000" w:sz="6" w:space="0"/>
            </w:tcBorders>
            <w:shd w:val="clear"/>
            <w:vAlign w:val="top"/>
          </w:tcPr>
          <w:p w14:paraId="585C1B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名称</w:t>
            </w:r>
          </w:p>
        </w:tc>
        <w:tc>
          <w:tcPr>
            <w:tcW w:w="1110" w:type="dxa"/>
            <w:tcBorders>
              <w:top w:val="outset" w:color="000000" w:sz="6" w:space="0"/>
              <w:left w:val="outset" w:color="000000" w:sz="6" w:space="0"/>
              <w:bottom w:val="outset" w:color="000000" w:sz="6" w:space="0"/>
              <w:right w:val="outset" w:color="000000" w:sz="6" w:space="0"/>
            </w:tcBorders>
            <w:shd w:val="clear"/>
            <w:vAlign w:val="top"/>
          </w:tcPr>
          <w:p w14:paraId="374201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单位</w:t>
            </w:r>
          </w:p>
        </w:tc>
        <w:tc>
          <w:tcPr>
            <w:tcW w:w="2025" w:type="dxa"/>
            <w:tcBorders>
              <w:top w:val="outset" w:color="000000" w:sz="6" w:space="0"/>
              <w:left w:val="outset" w:color="000000" w:sz="6" w:space="0"/>
              <w:bottom w:val="outset" w:color="000000" w:sz="6" w:space="0"/>
              <w:right w:val="outset" w:color="000000" w:sz="6" w:space="0"/>
            </w:tcBorders>
            <w:shd w:val="clear"/>
            <w:vAlign w:val="top"/>
          </w:tcPr>
          <w:p w14:paraId="764FEE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误</w:t>
            </w:r>
          </w:p>
        </w:tc>
        <w:tc>
          <w:tcPr>
            <w:tcW w:w="2025" w:type="dxa"/>
            <w:tcBorders>
              <w:top w:val="outset" w:color="000000" w:sz="6" w:space="0"/>
              <w:left w:val="outset" w:color="000000" w:sz="6" w:space="0"/>
              <w:bottom w:val="outset" w:color="000000" w:sz="6" w:space="0"/>
              <w:right w:val="outset" w:color="000000" w:sz="6" w:space="0"/>
            </w:tcBorders>
            <w:shd w:val="clear"/>
            <w:vAlign w:val="top"/>
          </w:tcPr>
          <w:p w14:paraId="6C83F2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正</w:t>
            </w:r>
          </w:p>
        </w:tc>
      </w:tr>
      <w:tr w14:paraId="1D6AE154">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215" w:type="dxa"/>
            <w:vMerge w:val="restart"/>
            <w:tcBorders>
              <w:top w:val="outset" w:color="000000" w:sz="6" w:space="0"/>
              <w:left w:val="outset" w:color="000000" w:sz="6" w:space="0"/>
              <w:bottom w:val="outset" w:color="000000" w:sz="6" w:space="0"/>
              <w:right w:val="outset" w:color="000000" w:sz="6" w:space="0"/>
            </w:tcBorders>
            <w:shd w:val="clear"/>
            <w:vAlign w:val="center"/>
          </w:tcPr>
          <w:p w14:paraId="6C8B3B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6-196</w:t>
            </w:r>
          </w:p>
        </w:tc>
        <w:tc>
          <w:tcPr>
            <w:tcW w:w="2025" w:type="dxa"/>
            <w:tcBorders>
              <w:top w:val="outset" w:color="000000" w:sz="6" w:space="0"/>
              <w:left w:val="outset" w:color="000000" w:sz="6" w:space="0"/>
              <w:bottom w:val="outset" w:color="000000" w:sz="6" w:space="0"/>
              <w:right w:val="outset" w:color="000000" w:sz="6" w:space="0"/>
            </w:tcBorders>
            <w:shd w:val="clear"/>
            <w:vAlign w:val="top"/>
          </w:tcPr>
          <w:p w14:paraId="55E5FF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综合工日</w:t>
            </w:r>
          </w:p>
        </w:tc>
        <w:tc>
          <w:tcPr>
            <w:tcW w:w="1110" w:type="dxa"/>
            <w:tcBorders>
              <w:top w:val="outset" w:color="000000" w:sz="6" w:space="0"/>
              <w:left w:val="outset" w:color="000000" w:sz="6" w:space="0"/>
              <w:bottom w:val="outset" w:color="000000" w:sz="6" w:space="0"/>
              <w:right w:val="outset" w:color="000000" w:sz="6" w:space="0"/>
            </w:tcBorders>
            <w:shd w:val="clear"/>
            <w:vAlign w:val="top"/>
          </w:tcPr>
          <w:p w14:paraId="5A0846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工日</w:t>
            </w:r>
          </w:p>
        </w:tc>
        <w:tc>
          <w:tcPr>
            <w:tcW w:w="2025" w:type="dxa"/>
            <w:tcBorders>
              <w:top w:val="outset" w:color="000000" w:sz="6" w:space="0"/>
              <w:left w:val="outset" w:color="000000" w:sz="6" w:space="0"/>
              <w:bottom w:val="outset" w:color="000000" w:sz="6" w:space="0"/>
              <w:right w:val="outset" w:color="000000" w:sz="6" w:space="0"/>
            </w:tcBorders>
            <w:shd w:val="clear"/>
            <w:vAlign w:val="center"/>
          </w:tcPr>
          <w:p w14:paraId="75C38E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0.0338</w:t>
            </w:r>
          </w:p>
        </w:tc>
        <w:tc>
          <w:tcPr>
            <w:tcW w:w="2025" w:type="dxa"/>
            <w:tcBorders>
              <w:top w:val="outset" w:color="000000" w:sz="6" w:space="0"/>
              <w:left w:val="outset" w:color="000000" w:sz="6" w:space="0"/>
              <w:bottom w:val="outset" w:color="000000" w:sz="6" w:space="0"/>
              <w:right w:val="outset" w:color="000000" w:sz="6" w:space="0"/>
            </w:tcBorders>
            <w:shd w:val="clear"/>
            <w:vAlign w:val="center"/>
          </w:tcPr>
          <w:p w14:paraId="48F052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0.338</w:t>
            </w:r>
          </w:p>
        </w:tc>
      </w:tr>
      <w:tr w14:paraId="071686A1">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215" w:type="dxa"/>
            <w:vMerge w:val="continue"/>
            <w:tcBorders>
              <w:top w:val="outset" w:color="000000" w:sz="6" w:space="0"/>
              <w:left w:val="outset" w:color="000000" w:sz="6" w:space="0"/>
              <w:bottom w:val="outset" w:color="000000" w:sz="6" w:space="0"/>
              <w:right w:val="outset" w:color="000000" w:sz="6" w:space="0"/>
            </w:tcBorders>
            <w:shd w:val="clear"/>
            <w:vAlign w:val="center"/>
          </w:tcPr>
          <w:p w14:paraId="1B2AC46B">
            <w:pPr>
              <w:rPr>
                <w:rFonts w:hint="eastAsia" w:ascii="宋体"/>
                <w:sz w:val="24"/>
                <w:szCs w:val="24"/>
              </w:rPr>
            </w:pPr>
          </w:p>
        </w:tc>
        <w:tc>
          <w:tcPr>
            <w:tcW w:w="2025" w:type="dxa"/>
            <w:tcBorders>
              <w:top w:val="outset" w:color="000000" w:sz="6" w:space="0"/>
              <w:left w:val="outset" w:color="000000" w:sz="6" w:space="0"/>
              <w:bottom w:val="outset" w:color="000000" w:sz="6" w:space="0"/>
              <w:right w:val="outset" w:color="000000" w:sz="6" w:space="0"/>
            </w:tcBorders>
            <w:shd w:val="clear"/>
            <w:vAlign w:val="top"/>
          </w:tcPr>
          <w:p w14:paraId="5B4724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自卸汽车6t</w:t>
            </w:r>
          </w:p>
        </w:tc>
        <w:tc>
          <w:tcPr>
            <w:tcW w:w="1110" w:type="dxa"/>
            <w:tcBorders>
              <w:top w:val="outset" w:color="000000" w:sz="6" w:space="0"/>
              <w:left w:val="outset" w:color="000000" w:sz="6" w:space="0"/>
              <w:bottom w:val="outset" w:color="000000" w:sz="6" w:space="0"/>
              <w:right w:val="outset" w:color="000000" w:sz="6" w:space="0"/>
            </w:tcBorders>
            <w:shd w:val="clear"/>
            <w:vAlign w:val="top"/>
          </w:tcPr>
          <w:p w14:paraId="388D78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台班</w:t>
            </w:r>
          </w:p>
        </w:tc>
        <w:tc>
          <w:tcPr>
            <w:tcW w:w="2025" w:type="dxa"/>
            <w:tcBorders>
              <w:top w:val="outset" w:color="000000" w:sz="6" w:space="0"/>
              <w:left w:val="outset" w:color="000000" w:sz="6" w:space="0"/>
              <w:bottom w:val="outset" w:color="000000" w:sz="6" w:space="0"/>
              <w:right w:val="outset" w:color="000000" w:sz="6" w:space="0"/>
            </w:tcBorders>
            <w:shd w:val="clear"/>
            <w:vAlign w:val="center"/>
          </w:tcPr>
          <w:p w14:paraId="78ADD2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0.0037</w:t>
            </w:r>
          </w:p>
        </w:tc>
        <w:tc>
          <w:tcPr>
            <w:tcW w:w="2025" w:type="dxa"/>
            <w:tcBorders>
              <w:top w:val="outset" w:color="000000" w:sz="6" w:space="0"/>
              <w:left w:val="outset" w:color="000000" w:sz="6" w:space="0"/>
              <w:bottom w:val="outset" w:color="000000" w:sz="6" w:space="0"/>
              <w:right w:val="outset" w:color="000000" w:sz="6" w:space="0"/>
            </w:tcBorders>
            <w:shd w:val="clear"/>
            <w:vAlign w:val="center"/>
          </w:tcPr>
          <w:p w14:paraId="2E789A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0.037</w:t>
            </w:r>
          </w:p>
        </w:tc>
      </w:tr>
      <w:tr w14:paraId="54FF982C">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215" w:type="dxa"/>
            <w:tcBorders>
              <w:top w:val="outset" w:color="000000" w:sz="6" w:space="0"/>
              <w:left w:val="outset" w:color="000000" w:sz="6" w:space="0"/>
              <w:bottom w:val="outset" w:color="000000" w:sz="6" w:space="0"/>
              <w:right w:val="outset" w:color="000000" w:sz="6" w:space="0"/>
            </w:tcBorders>
            <w:shd w:val="clear"/>
            <w:vAlign w:val="center"/>
          </w:tcPr>
          <w:p w14:paraId="4E5FDC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6-197</w:t>
            </w:r>
          </w:p>
        </w:tc>
        <w:tc>
          <w:tcPr>
            <w:tcW w:w="2025" w:type="dxa"/>
            <w:tcBorders>
              <w:top w:val="outset" w:color="000000" w:sz="6" w:space="0"/>
              <w:left w:val="outset" w:color="000000" w:sz="6" w:space="0"/>
              <w:bottom w:val="outset" w:color="000000" w:sz="6" w:space="0"/>
              <w:right w:val="outset" w:color="000000" w:sz="6" w:space="0"/>
            </w:tcBorders>
            <w:shd w:val="clear"/>
            <w:vAlign w:val="top"/>
          </w:tcPr>
          <w:p w14:paraId="0FC202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自卸汽车6t</w:t>
            </w:r>
          </w:p>
        </w:tc>
        <w:tc>
          <w:tcPr>
            <w:tcW w:w="1110" w:type="dxa"/>
            <w:tcBorders>
              <w:top w:val="outset" w:color="000000" w:sz="6" w:space="0"/>
              <w:left w:val="outset" w:color="000000" w:sz="6" w:space="0"/>
              <w:bottom w:val="outset" w:color="000000" w:sz="6" w:space="0"/>
              <w:right w:val="outset" w:color="000000" w:sz="6" w:space="0"/>
            </w:tcBorders>
            <w:shd w:val="clear"/>
            <w:vAlign w:val="top"/>
          </w:tcPr>
          <w:p w14:paraId="386B51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台班</w:t>
            </w:r>
          </w:p>
        </w:tc>
        <w:tc>
          <w:tcPr>
            <w:tcW w:w="2025" w:type="dxa"/>
            <w:tcBorders>
              <w:top w:val="outset" w:color="000000" w:sz="6" w:space="0"/>
              <w:left w:val="outset" w:color="000000" w:sz="6" w:space="0"/>
              <w:bottom w:val="outset" w:color="000000" w:sz="6" w:space="0"/>
              <w:right w:val="outset" w:color="000000" w:sz="6" w:space="0"/>
            </w:tcBorders>
            <w:shd w:val="clear"/>
            <w:vAlign w:val="center"/>
          </w:tcPr>
          <w:p w14:paraId="370B63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0.0004</w:t>
            </w:r>
          </w:p>
        </w:tc>
        <w:tc>
          <w:tcPr>
            <w:tcW w:w="2025" w:type="dxa"/>
            <w:tcBorders>
              <w:top w:val="outset" w:color="000000" w:sz="6" w:space="0"/>
              <w:left w:val="outset" w:color="000000" w:sz="6" w:space="0"/>
              <w:bottom w:val="outset" w:color="000000" w:sz="6" w:space="0"/>
              <w:right w:val="outset" w:color="000000" w:sz="6" w:space="0"/>
            </w:tcBorders>
            <w:shd w:val="clear"/>
            <w:vAlign w:val="center"/>
          </w:tcPr>
          <w:p w14:paraId="68BB94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0.004</w:t>
            </w:r>
          </w:p>
        </w:tc>
      </w:tr>
      <w:tr w14:paraId="42BDCA3A">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215" w:type="dxa"/>
            <w:tcBorders>
              <w:top w:val="outset" w:color="000000" w:sz="6" w:space="0"/>
              <w:left w:val="outset" w:color="000000" w:sz="6" w:space="0"/>
              <w:bottom w:val="outset" w:color="000000" w:sz="6" w:space="0"/>
              <w:right w:val="outset" w:color="000000" w:sz="6" w:space="0"/>
            </w:tcBorders>
            <w:shd w:val="clear"/>
            <w:vAlign w:val="center"/>
          </w:tcPr>
          <w:p w14:paraId="3BD23E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6-205</w:t>
            </w:r>
          </w:p>
        </w:tc>
        <w:tc>
          <w:tcPr>
            <w:tcW w:w="2025" w:type="dxa"/>
            <w:tcBorders>
              <w:top w:val="outset" w:color="000000" w:sz="6" w:space="0"/>
              <w:left w:val="outset" w:color="000000" w:sz="6" w:space="0"/>
              <w:bottom w:val="outset" w:color="000000" w:sz="6" w:space="0"/>
              <w:right w:val="outset" w:color="000000" w:sz="6" w:space="0"/>
            </w:tcBorders>
            <w:shd w:val="clear"/>
            <w:vAlign w:val="top"/>
          </w:tcPr>
          <w:p w14:paraId="7E6A1C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不锈钢无缝钢管</w:t>
            </w:r>
          </w:p>
        </w:tc>
        <w:tc>
          <w:tcPr>
            <w:tcW w:w="1110" w:type="dxa"/>
            <w:tcBorders>
              <w:top w:val="outset" w:color="000000" w:sz="6" w:space="0"/>
              <w:left w:val="outset" w:color="000000" w:sz="6" w:space="0"/>
              <w:bottom w:val="outset" w:color="000000" w:sz="6" w:space="0"/>
              <w:right w:val="outset" w:color="000000" w:sz="6" w:space="0"/>
            </w:tcBorders>
            <w:shd w:val="clear"/>
            <w:vAlign w:val="top"/>
          </w:tcPr>
          <w:p w14:paraId="0845FA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kg</w:t>
            </w:r>
          </w:p>
        </w:tc>
        <w:tc>
          <w:tcPr>
            <w:tcW w:w="2025" w:type="dxa"/>
            <w:tcBorders>
              <w:top w:val="outset" w:color="000000" w:sz="6" w:space="0"/>
              <w:left w:val="outset" w:color="000000" w:sz="6" w:space="0"/>
              <w:bottom w:val="outset" w:color="000000" w:sz="6" w:space="0"/>
              <w:right w:val="outset" w:color="000000" w:sz="6" w:space="0"/>
            </w:tcBorders>
            <w:shd w:val="clear"/>
            <w:vAlign w:val="center"/>
          </w:tcPr>
          <w:p w14:paraId="52AF7C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14.5054</w:t>
            </w:r>
          </w:p>
        </w:tc>
        <w:tc>
          <w:tcPr>
            <w:tcW w:w="2025" w:type="dxa"/>
            <w:tcBorders>
              <w:top w:val="outset" w:color="000000" w:sz="6" w:space="0"/>
              <w:left w:val="outset" w:color="000000" w:sz="6" w:space="0"/>
              <w:bottom w:val="outset" w:color="000000" w:sz="6" w:space="0"/>
              <w:right w:val="outset" w:color="000000" w:sz="6" w:space="0"/>
            </w:tcBorders>
            <w:shd w:val="clear"/>
            <w:vAlign w:val="center"/>
          </w:tcPr>
          <w:p w14:paraId="503EB6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1.4505</w:t>
            </w:r>
          </w:p>
        </w:tc>
      </w:tr>
    </w:tbl>
    <w:p w14:paraId="277257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371CDD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322A1B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51F793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27BD73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597C70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9173D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FEF67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2、全国统一建筑装饰装修工程消耗量定额2011年吐鲁番地区单位估价表勘误表</w:t>
      </w:r>
    </w:p>
    <w:p w14:paraId="1D1F23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tbl>
      <w:tblPr>
        <w:tblW w:w="0" w:type="auto"/>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862"/>
        <w:gridCol w:w="964"/>
        <w:gridCol w:w="1979"/>
        <w:gridCol w:w="713"/>
        <w:gridCol w:w="1022"/>
        <w:gridCol w:w="915"/>
        <w:gridCol w:w="944"/>
        <w:gridCol w:w="915"/>
      </w:tblGrid>
      <w:tr w14:paraId="5FA2E001">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690" w:type="dxa"/>
            <w:tcBorders>
              <w:top w:val="outset" w:color="000000" w:sz="6" w:space="0"/>
              <w:left w:val="outset" w:color="000000" w:sz="6" w:space="0"/>
              <w:bottom w:val="outset" w:color="000000" w:sz="6" w:space="0"/>
              <w:right w:val="outset" w:color="000000" w:sz="6" w:space="0"/>
            </w:tcBorders>
            <w:shd w:val="clear"/>
            <w:vAlign w:val="center"/>
          </w:tcPr>
          <w:p w14:paraId="0A515D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序号</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3A6F58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定额编号</w:t>
            </w:r>
          </w:p>
        </w:tc>
        <w:tc>
          <w:tcPr>
            <w:tcW w:w="3285" w:type="dxa"/>
            <w:tcBorders>
              <w:top w:val="outset" w:color="000000" w:sz="6" w:space="0"/>
              <w:left w:val="outset" w:color="000000" w:sz="6" w:space="0"/>
              <w:bottom w:val="outset" w:color="000000" w:sz="6" w:space="0"/>
              <w:right w:val="outset" w:color="000000" w:sz="6" w:space="0"/>
            </w:tcBorders>
            <w:shd w:val="clear"/>
            <w:vAlign w:val="center"/>
          </w:tcPr>
          <w:p w14:paraId="4E38C9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项  目  名  称</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59D66E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单位</w:t>
            </w:r>
          </w:p>
        </w:tc>
        <w:tc>
          <w:tcPr>
            <w:tcW w:w="930" w:type="dxa"/>
            <w:tcBorders>
              <w:top w:val="outset" w:color="000000" w:sz="6" w:space="0"/>
              <w:left w:val="outset" w:color="000000" w:sz="6" w:space="0"/>
              <w:bottom w:val="outset" w:color="000000" w:sz="6" w:space="0"/>
              <w:right w:val="outset" w:color="000000" w:sz="6" w:space="0"/>
            </w:tcBorders>
            <w:shd w:val="clear"/>
            <w:vAlign w:val="center"/>
          </w:tcPr>
          <w:p w14:paraId="243B26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基 价</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10B6A7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人工费</w:t>
            </w:r>
          </w:p>
        </w:tc>
        <w:tc>
          <w:tcPr>
            <w:tcW w:w="1035" w:type="dxa"/>
            <w:tcBorders>
              <w:top w:val="outset" w:color="000000" w:sz="6" w:space="0"/>
              <w:left w:val="outset" w:color="000000" w:sz="6" w:space="0"/>
              <w:bottom w:val="outset" w:color="000000" w:sz="6" w:space="0"/>
              <w:right w:val="outset" w:color="000000" w:sz="6" w:space="0"/>
            </w:tcBorders>
            <w:shd w:val="clear"/>
            <w:vAlign w:val="center"/>
          </w:tcPr>
          <w:p w14:paraId="1E609A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材料费</w:t>
            </w:r>
          </w:p>
        </w:tc>
        <w:tc>
          <w:tcPr>
            <w:tcW w:w="810" w:type="dxa"/>
            <w:tcBorders>
              <w:top w:val="outset" w:color="000000" w:sz="6" w:space="0"/>
              <w:left w:val="outset" w:color="000000" w:sz="6" w:space="0"/>
              <w:bottom w:val="outset" w:color="000000" w:sz="6" w:space="0"/>
              <w:right w:val="outset" w:color="000000" w:sz="6" w:space="0"/>
            </w:tcBorders>
            <w:shd w:val="clear"/>
            <w:vAlign w:val="center"/>
          </w:tcPr>
          <w:p w14:paraId="4182D7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机械费</w:t>
            </w:r>
          </w:p>
        </w:tc>
      </w:tr>
      <w:tr w14:paraId="2BCE7534">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690" w:type="dxa"/>
            <w:tcBorders>
              <w:top w:val="outset" w:color="000000" w:sz="6" w:space="0"/>
              <w:left w:val="outset" w:color="000000" w:sz="6" w:space="0"/>
              <w:bottom w:val="outset" w:color="000000" w:sz="6" w:space="0"/>
              <w:right w:val="outset" w:color="000000" w:sz="6" w:space="0"/>
            </w:tcBorders>
            <w:shd w:val="clear"/>
            <w:vAlign w:val="center"/>
          </w:tcPr>
          <w:p w14:paraId="579C6C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1420</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699399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6-196</w:t>
            </w:r>
          </w:p>
        </w:tc>
        <w:tc>
          <w:tcPr>
            <w:tcW w:w="3285" w:type="dxa"/>
            <w:tcBorders>
              <w:top w:val="outset" w:color="000000" w:sz="6" w:space="0"/>
              <w:left w:val="outset" w:color="000000" w:sz="6" w:space="0"/>
              <w:bottom w:val="outset" w:color="000000" w:sz="6" w:space="0"/>
              <w:right w:val="outset" w:color="000000" w:sz="6" w:space="0"/>
            </w:tcBorders>
            <w:shd w:val="clear"/>
            <w:vAlign w:val="center"/>
          </w:tcPr>
          <w:p w14:paraId="1379DC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汽车运建筑垃圾 运距在1000m以内</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56E796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m3</w:t>
            </w:r>
          </w:p>
        </w:tc>
        <w:tc>
          <w:tcPr>
            <w:tcW w:w="930" w:type="dxa"/>
            <w:tcBorders>
              <w:top w:val="outset" w:color="000000" w:sz="6" w:space="0"/>
              <w:left w:val="outset" w:color="000000" w:sz="6" w:space="0"/>
              <w:bottom w:val="outset" w:color="000000" w:sz="6" w:space="0"/>
              <w:right w:val="outset" w:color="000000" w:sz="6" w:space="0"/>
            </w:tcBorders>
            <w:shd w:val="clear"/>
            <w:vAlign w:val="center"/>
          </w:tcPr>
          <w:p w14:paraId="1B5CD6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asciiTheme="minorHAnsi" w:hAnsiTheme="minorHAnsi" w:eastAsiaTheme="minorEastAsia" w:cstheme="minorBidi"/>
                <w:kern w:val="0"/>
                <w:sz w:val="21"/>
                <w:szCs w:val="21"/>
                <w:bdr w:val="none" w:color="auto" w:sz="0" w:space="0"/>
                <w:lang w:val="en-US" w:eastAsia="zh-CN" w:bidi="ar"/>
              </w:rPr>
              <w:t>38.61</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68D70B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asciiTheme="minorHAnsi" w:hAnsiTheme="minorHAnsi" w:eastAsiaTheme="minorEastAsia" w:cstheme="minorBidi"/>
                <w:kern w:val="0"/>
                <w:sz w:val="21"/>
                <w:szCs w:val="21"/>
                <w:bdr w:val="none" w:color="auto" w:sz="0" w:space="0"/>
                <w:lang w:val="en-US" w:eastAsia="zh-CN" w:bidi="ar"/>
              </w:rPr>
              <w:t>20.24</w:t>
            </w:r>
          </w:p>
        </w:tc>
        <w:tc>
          <w:tcPr>
            <w:tcW w:w="1035" w:type="dxa"/>
            <w:tcBorders>
              <w:top w:val="outset" w:color="000000" w:sz="6" w:space="0"/>
              <w:left w:val="outset" w:color="000000" w:sz="6" w:space="0"/>
              <w:bottom w:val="outset" w:color="000000" w:sz="6" w:space="0"/>
              <w:right w:val="outset" w:color="000000" w:sz="6" w:space="0"/>
            </w:tcBorders>
            <w:shd w:val="clear"/>
            <w:vAlign w:val="center"/>
          </w:tcPr>
          <w:p w14:paraId="2EBCE5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p>
        </w:tc>
        <w:tc>
          <w:tcPr>
            <w:tcW w:w="810" w:type="dxa"/>
            <w:tcBorders>
              <w:top w:val="outset" w:color="000000" w:sz="6" w:space="0"/>
              <w:left w:val="outset" w:color="000000" w:sz="6" w:space="0"/>
              <w:bottom w:val="outset" w:color="000000" w:sz="6" w:space="0"/>
              <w:right w:val="outset" w:color="000000" w:sz="6" w:space="0"/>
            </w:tcBorders>
            <w:shd w:val="clear"/>
            <w:vAlign w:val="center"/>
          </w:tcPr>
          <w:p w14:paraId="3D0389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asciiTheme="minorHAnsi" w:hAnsiTheme="minorHAnsi" w:eastAsiaTheme="minorEastAsia" w:cstheme="minorBidi"/>
                <w:kern w:val="0"/>
                <w:sz w:val="21"/>
                <w:szCs w:val="21"/>
                <w:bdr w:val="none" w:color="auto" w:sz="0" w:space="0"/>
                <w:lang w:val="en-US" w:eastAsia="zh-CN" w:bidi="ar"/>
              </w:rPr>
              <w:t>18.37</w:t>
            </w:r>
          </w:p>
        </w:tc>
      </w:tr>
      <w:tr w14:paraId="79C6DCFD">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690" w:type="dxa"/>
            <w:tcBorders>
              <w:top w:val="outset" w:color="000000" w:sz="6" w:space="0"/>
              <w:left w:val="outset" w:color="000000" w:sz="6" w:space="0"/>
              <w:bottom w:val="outset" w:color="000000" w:sz="6" w:space="0"/>
              <w:right w:val="outset" w:color="000000" w:sz="6" w:space="0"/>
            </w:tcBorders>
            <w:shd w:val="clear"/>
            <w:vAlign w:val="center"/>
          </w:tcPr>
          <w:p w14:paraId="379810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1421</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07A74F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6-197</w:t>
            </w:r>
          </w:p>
        </w:tc>
        <w:tc>
          <w:tcPr>
            <w:tcW w:w="3285" w:type="dxa"/>
            <w:tcBorders>
              <w:top w:val="outset" w:color="000000" w:sz="6" w:space="0"/>
              <w:left w:val="outset" w:color="000000" w:sz="6" w:space="0"/>
              <w:bottom w:val="outset" w:color="000000" w:sz="6" w:space="0"/>
              <w:right w:val="outset" w:color="000000" w:sz="6" w:space="0"/>
            </w:tcBorders>
            <w:shd w:val="clear"/>
            <w:vAlign w:val="center"/>
          </w:tcPr>
          <w:p w14:paraId="160FD7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汽车运建筑垃圾 每增加运距1000m以内</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2DB52C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m3</w:t>
            </w:r>
          </w:p>
        </w:tc>
        <w:tc>
          <w:tcPr>
            <w:tcW w:w="930" w:type="dxa"/>
            <w:tcBorders>
              <w:top w:val="outset" w:color="000000" w:sz="6" w:space="0"/>
              <w:left w:val="outset" w:color="000000" w:sz="6" w:space="0"/>
              <w:bottom w:val="outset" w:color="000000" w:sz="6" w:space="0"/>
              <w:right w:val="outset" w:color="000000" w:sz="6" w:space="0"/>
            </w:tcBorders>
            <w:shd w:val="clear"/>
            <w:vAlign w:val="center"/>
          </w:tcPr>
          <w:p w14:paraId="145B05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asciiTheme="minorHAnsi" w:hAnsiTheme="minorHAnsi" w:eastAsiaTheme="minorEastAsia" w:cstheme="minorBidi"/>
                <w:kern w:val="0"/>
                <w:sz w:val="21"/>
                <w:szCs w:val="21"/>
                <w:bdr w:val="none" w:color="auto" w:sz="0" w:space="0"/>
                <w:lang w:val="en-US" w:eastAsia="zh-CN" w:bidi="ar"/>
              </w:rPr>
              <w:t>1.99</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09343C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p>
        </w:tc>
        <w:tc>
          <w:tcPr>
            <w:tcW w:w="1035" w:type="dxa"/>
            <w:tcBorders>
              <w:top w:val="outset" w:color="000000" w:sz="6" w:space="0"/>
              <w:left w:val="outset" w:color="000000" w:sz="6" w:space="0"/>
              <w:bottom w:val="outset" w:color="000000" w:sz="6" w:space="0"/>
              <w:right w:val="outset" w:color="000000" w:sz="6" w:space="0"/>
            </w:tcBorders>
            <w:shd w:val="clear"/>
            <w:vAlign w:val="center"/>
          </w:tcPr>
          <w:p w14:paraId="69CE3C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p>
        </w:tc>
        <w:tc>
          <w:tcPr>
            <w:tcW w:w="810" w:type="dxa"/>
            <w:tcBorders>
              <w:top w:val="outset" w:color="000000" w:sz="6" w:space="0"/>
              <w:left w:val="outset" w:color="000000" w:sz="6" w:space="0"/>
              <w:bottom w:val="outset" w:color="000000" w:sz="6" w:space="0"/>
              <w:right w:val="outset" w:color="000000" w:sz="6" w:space="0"/>
            </w:tcBorders>
            <w:shd w:val="clear"/>
            <w:vAlign w:val="center"/>
          </w:tcPr>
          <w:p w14:paraId="0B3504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asciiTheme="minorHAnsi" w:hAnsiTheme="minorHAnsi" w:eastAsiaTheme="minorEastAsia" w:cstheme="minorBidi"/>
                <w:kern w:val="0"/>
                <w:sz w:val="21"/>
                <w:szCs w:val="21"/>
                <w:bdr w:val="none" w:color="auto" w:sz="0" w:space="0"/>
                <w:lang w:val="en-US" w:eastAsia="zh-CN" w:bidi="ar"/>
              </w:rPr>
              <w:t>1.99</w:t>
            </w:r>
          </w:p>
        </w:tc>
      </w:tr>
      <w:tr w14:paraId="2C87DEA0">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690" w:type="dxa"/>
            <w:tcBorders>
              <w:top w:val="outset" w:color="000000" w:sz="6" w:space="0"/>
              <w:left w:val="outset" w:color="000000" w:sz="6" w:space="0"/>
              <w:bottom w:val="outset" w:color="000000" w:sz="6" w:space="0"/>
              <w:right w:val="outset" w:color="000000" w:sz="6" w:space="0"/>
            </w:tcBorders>
            <w:shd w:val="clear"/>
            <w:vAlign w:val="center"/>
          </w:tcPr>
          <w:p w14:paraId="11F696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1429</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5E7EAD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6-205</w:t>
            </w:r>
          </w:p>
        </w:tc>
        <w:tc>
          <w:tcPr>
            <w:tcW w:w="3285" w:type="dxa"/>
            <w:tcBorders>
              <w:top w:val="outset" w:color="000000" w:sz="6" w:space="0"/>
              <w:left w:val="outset" w:color="000000" w:sz="6" w:space="0"/>
              <w:bottom w:val="outset" w:color="000000" w:sz="6" w:space="0"/>
              <w:right w:val="outset" w:color="000000" w:sz="6" w:space="0"/>
            </w:tcBorders>
            <w:shd w:val="clear"/>
            <w:vAlign w:val="center"/>
          </w:tcPr>
          <w:p w14:paraId="32FE38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不锈钢旗杆</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0778E7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kg</w:t>
            </w:r>
          </w:p>
        </w:tc>
        <w:tc>
          <w:tcPr>
            <w:tcW w:w="930" w:type="dxa"/>
            <w:tcBorders>
              <w:top w:val="outset" w:color="000000" w:sz="6" w:space="0"/>
              <w:left w:val="outset" w:color="000000" w:sz="6" w:space="0"/>
              <w:bottom w:val="outset" w:color="000000" w:sz="6" w:space="0"/>
              <w:right w:val="outset" w:color="000000" w:sz="6" w:space="0"/>
            </w:tcBorders>
            <w:shd w:val="clear"/>
            <w:vAlign w:val="center"/>
          </w:tcPr>
          <w:p w14:paraId="2181DE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asciiTheme="minorHAnsi" w:hAnsiTheme="minorHAnsi" w:eastAsiaTheme="minorEastAsia" w:cstheme="minorBidi"/>
                <w:kern w:val="0"/>
                <w:sz w:val="21"/>
                <w:szCs w:val="21"/>
                <w:bdr w:val="none" w:color="auto" w:sz="0" w:space="0"/>
                <w:lang w:val="en-US" w:eastAsia="zh-CN" w:bidi="ar"/>
              </w:rPr>
              <w:t>132.43</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0BAE88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asciiTheme="minorHAnsi" w:hAnsiTheme="minorHAnsi" w:eastAsiaTheme="minorEastAsia" w:cstheme="minorBidi"/>
                <w:kern w:val="0"/>
                <w:sz w:val="21"/>
                <w:szCs w:val="21"/>
                <w:bdr w:val="none" w:color="auto" w:sz="0" w:space="0"/>
                <w:lang w:val="en-US" w:eastAsia="zh-CN" w:bidi="ar"/>
              </w:rPr>
              <w:t>51.19</w:t>
            </w:r>
          </w:p>
        </w:tc>
        <w:tc>
          <w:tcPr>
            <w:tcW w:w="1035" w:type="dxa"/>
            <w:tcBorders>
              <w:top w:val="outset" w:color="000000" w:sz="6" w:space="0"/>
              <w:left w:val="outset" w:color="000000" w:sz="6" w:space="0"/>
              <w:bottom w:val="outset" w:color="000000" w:sz="6" w:space="0"/>
              <w:right w:val="outset" w:color="000000" w:sz="6" w:space="0"/>
            </w:tcBorders>
            <w:shd w:val="clear"/>
            <w:vAlign w:val="center"/>
          </w:tcPr>
          <w:p w14:paraId="3E56F3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asciiTheme="minorHAnsi" w:hAnsiTheme="minorHAnsi" w:eastAsiaTheme="minorEastAsia" w:cstheme="minorBidi"/>
                <w:kern w:val="0"/>
                <w:sz w:val="21"/>
                <w:szCs w:val="21"/>
                <w:bdr w:val="none" w:color="auto" w:sz="0" w:space="0"/>
                <w:lang w:val="en-US" w:eastAsia="zh-CN" w:bidi="ar"/>
              </w:rPr>
              <w:t>63.10</w:t>
            </w:r>
          </w:p>
        </w:tc>
        <w:tc>
          <w:tcPr>
            <w:tcW w:w="810" w:type="dxa"/>
            <w:tcBorders>
              <w:top w:val="outset" w:color="000000" w:sz="6" w:space="0"/>
              <w:left w:val="outset" w:color="000000" w:sz="6" w:space="0"/>
              <w:bottom w:val="outset" w:color="000000" w:sz="6" w:space="0"/>
              <w:right w:val="outset" w:color="000000" w:sz="6" w:space="0"/>
            </w:tcBorders>
            <w:shd w:val="clear"/>
            <w:vAlign w:val="center"/>
          </w:tcPr>
          <w:p w14:paraId="373DE5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asciiTheme="minorHAnsi" w:hAnsiTheme="minorHAnsi" w:eastAsiaTheme="minorEastAsia" w:cstheme="minorBidi"/>
                <w:kern w:val="0"/>
                <w:sz w:val="21"/>
                <w:szCs w:val="21"/>
                <w:bdr w:val="none" w:color="auto" w:sz="0" w:space="0"/>
                <w:lang w:val="en-US" w:eastAsia="zh-CN" w:bidi="ar"/>
              </w:rPr>
              <w:t>18.13</w:t>
            </w:r>
          </w:p>
        </w:tc>
      </w:tr>
    </w:tbl>
    <w:p w14:paraId="7EC1ED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3、全国统一建筑装饰装修工程消耗量定额2011年吐鲁番地区单位估计表勘误表</w:t>
      </w:r>
    </w:p>
    <w:tbl>
      <w:tblPr>
        <w:tblpPr w:vertAnchor="text" w:tblpXSpec="left"/>
        <w:tblW w:w="11955" w:type="dxa"/>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1951"/>
        <w:gridCol w:w="1830"/>
        <w:gridCol w:w="2928"/>
        <w:gridCol w:w="5246"/>
      </w:tblGrid>
      <w:tr w14:paraId="756570DE">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800" w:type="pct"/>
            <w:tcBorders>
              <w:top w:val="outset" w:color="000000" w:sz="6" w:space="0"/>
              <w:left w:val="outset" w:color="000000" w:sz="6" w:space="0"/>
              <w:bottom w:val="outset" w:color="000000" w:sz="6" w:space="0"/>
              <w:right w:val="outset" w:color="000000" w:sz="6" w:space="0"/>
            </w:tcBorders>
            <w:shd w:val="clear"/>
            <w:vAlign w:val="top"/>
          </w:tcPr>
          <w:p w14:paraId="7FE82D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定额编号</w:t>
            </w:r>
          </w:p>
        </w:tc>
        <w:tc>
          <w:tcPr>
            <w:tcW w:w="750" w:type="pct"/>
            <w:tcBorders>
              <w:top w:val="outset" w:color="000000" w:sz="6" w:space="0"/>
              <w:left w:val="outset" w:color="000000" w:sz="6" w:space="0"/>
              <w:bottom w:val="outset" w:color="000000" w:sz="6" w:space="0"/>
              <w:right w:val="outset" w:color="000000" w:sz="6" w:space="0"/>
            </w:tcBorders>
            <w:shd w:val="clear"/>
            <w:vAlign w:val="top"/>
          </w:tcPr>
          <w:p w14:paraId="0F59B3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名  称</w:t>
            </w:r>
          </w:p>
        </w:tc>
        <w:tc>
          <w:tcPr>
            <w:tcW w:w="1200" w:type="pct"/>
            <w:tcBorders>
              <w:top w:val="outset" w:color="000000" w:sz="6" w:space="0"/>
              <w:left w:val="outset" w:color="000000" w:sz="6" w:space="0"/>
              <w:bottom w:val="outset" w:color="000000" w:sz="6" w:space="0"/>
              <w:right w:val="outset" w:color="000000" w:sz="6" w:space="0"/>
            </w:tcBorders>
            <w:shd w:val="clear"/>
            <w:vAlign w:val="top"/>
          </w:tcPr>
          <w:p w14:paraId="31A8C4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误</w:t>
            </w:r>
          </w:p>
        </w:tc>
        <w:tc>
          <w:tcPr>
            <w:tcW w:w="2150" w:type="pct"/>
            <w:tcBorders>
              <w:top w:val="outset" w:color="000000" w:sz="6" w:space="0"/>
              <w:left w:val="outset" w:color="000000" w:sz="6" w:space="0"/>
              <w:bottom w:val="outset" w:color="000000" w:sz="6" w:space="0"/>
              <w:right w:val="outset" w:color="000000" w:sz="6" w:space="0"/>
            </w:tcBorders>
            <w:shd w:val="clear"/>
            <w:vAlign w:val="top"/>
          </w:tcPr>
          <w:p w14:paraId="2C2B35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正</w:t>
            </w:r>
          </w:p>
        </w:tc>
      </w:tr>
      <w:tr w14:paraId="4F608860">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800" w:type="pct"/>
            <w:tcBorders>
              <w:top w:val="outset" w:color="000000" w:sz="6" w:space="0"/>
              <w:left w:val="outset" w:color="000000" w:sz="6" w:space="0"/>
              <w:bottom w:val="outset" w:color="000000" w:sz="6" w:space="0"/>
              <w:right w:val="outset" w:color="000000" w:sz="6" w:space="0"/>
            </w:tcBorders>
            <w:shd w:val="clear"/>
            <w:vAlign w:val="center"/>
          </w:tcPr>
          <w:p w14:paraId="3D8570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5-231</w:t>
            </w:r>
          </w:p>
        </w:tc>
        <w:tc>
          <w:tcPr>
            <w:tcW w:w="750" w:type="pct"/>
            <w:tcBorders>
              <w:top w:val="outset" w:color="000000" w:sz="6" w:space="0"/>
              <w:left w:val="outset" w:color="000000" w:sz="6" w:space="0"/>
              <w:bottom w:val="outset" w:color="000000" w:sz="6" w:space="0"/>
              <w:right w:val="outset" w:color="000000" w:sz="6" w:space="0"/>
            </w:tcBorders>
            <w:shd w:val="clear"/>
            <w:vAlign w:val="center"/>
          </w:tcPr>
          <w:p w14:paraId="08A8F9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1200" w:type="pct"/>
            <w:tcBorders>
              <w:top w:val="outset" w:color="000000" w:sz="6" w:space="0"/>
              <w:left w:val="outset" w:color="000000" w:sz="6" w:space="0"/>
              <w:bottom w:val="outset" w:color="000000" w:sz="6" w:space="0"/>
              <w:right w:val="outset" w:color="000000" w:sz="6" w:space="0"/>
            </w:tcBorders>
            <w:shd w:val="clear"/>
            <w:vAlign w:val="center"/>
          </w:tcPr>
          <w:p w14:paraId="39AD16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外墙JH801涂料</w:t>
            </w:r>
          </w:p>
        </w:tc>
        <w:tc>
          <w:tcPr>
            <w:tcW w:w="2150" w:type="pct"/>
            <w:tcBorders>
              <w:top w:val="outset" w:color="000000" w:sz="6" w:space="0"/>
              <w:left w:val="outset" w:color="000000" w:sz="6" w:space="0"/>
              <w:bottom w:val="outset" w:color="000000" w:sz="6" w:space="0"/>
              <w:right w:val="outset" w:color="000000" w:sz="6" w:space="0"/>
            </w:tcBorders>
            <w:shd w:val="clear"/>
            <w:vAlign w:val="center"/>
          </w:tcPr>
          <w:p w14:paraId="3593D0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喷（刷）刮涂料 仿瓷涂料二遍</w:t>
            </w:r>
          </w:p>
        </w:tc>
      </w:tr>
    </w:tbl>
    <w:p w14:paraId="5E45FC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362864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42D223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280FE0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64D3D6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4、2010年新疆维吾尔自治区建筑消耗量定额（实体项目）上册勘误表</w:t>
      </w:r>
    </w:p>
    <w:tbl>
      <w:tblPr>
        <w:tblpPr w:vertAnchor="text" w:tblpXSpec="left"/>
        <w:tblW w:w="0" w:type="auto"/>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1520"/>
        <w:gridCol w:w="2156"/>
        <w:gridCol w:w="2319"/>
        <w:gridCol w:w="2319"/>
      </w:tblGrid>
      <w:tr w14:paraId="13E06EF1">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530" w:type="dxa"/>
            <w:tcBorders>
              <w:top w:val="outset" w:color="000000" w:sz="6" w:space="0"/>
              <w:left w:val="outset" w:color="000000" w:sz="6" w:space="0"/>
              <w:bottom w:val="outset" w:color="000000" w:sz="6" w:space="0"/>
              <w:right w:val="outset" w:color="000000" w:sz="6" w:space="0"/>
            </w:tcBorders>
            <w:shd w:val="clear"/>
            <w:vAlign w:val="top"/>
          </w:tcPr>
          <w:p w14:paraId="3DC762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定额编号</w:t>
            </w:r>
          </w:p>
        </w:tc>
        <w:tc>
          <w:tcPr>
            <w:tcW w:w="2175" w:type="dxa"/>
            <w:tcBorders>
              <w:top w:val="outset" w:color="000000" w:sz="6" w:space="0"/>
              <w:left w:val="outset" w:color="000000" w:sz="6" w:space="0"/>
              <w:bottom w:val="outset" w:color="000000" w:sz="6" w:space="0"/>
              <w:right w:val="outset" w:color="000000" w:sz="6" w:space="0"/>
            </w:tcBorders>
            <w:shd w:val="clear"/>
            <w:vAlign w:val="top"/>
          </w:tcPr>
          <w:p w14:paraId="2FA763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项目</w:t>
            </w:r>
          </w:p>
        </w:tc>
        <w:tc>
          <w:tcPr>
            <w:tcW w:w="2340" w:type="dxa"/>
            <w:tcBorders>
              <w:top w:val="outset" w:color="000000" w:sz="6" w:space="0"/>
              <w:left w:val="outset" w:color="000000" w:sz="6" w:space="0"/>
              <w:bottom w:val="outset" w:color="000000" w:sz="6" w:space="0"/>
              <w:right w:val="outset" w:color="000000" w:sz="6" w:space="0"/>
            </w:tcBorders>
            <w:shd w:val="clear"/>
            <w:vAlign w:val="top"/>
          </w:tcPr>
          <w:p w14:paraId="034FE8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误</w:t>
            </w:r>
          </w:p>
        </w:tc>
        <w:tc>
          <w:tcPr>
            <w:tcW w:w="2340" w:type="dxa"/>
            <w:tcBorders>
              <w:top w:val="outset" w:color="000000" w:sz="6" w:space="0"/>
              <w:left w:val="outset" w:color="000000" w:sz="6" w:space="0"/>
              <w:bottom w:val="outset" w:color="000000" w:sz="6" w:space="0"/>
              <w:right w:val="outset" w:color="000000" w:sz="6" w:space="0"/>
            </w:tcBorders>
            <w:shd w:val="clear"/>
            <w:vAlign w:val="top"/>
          </w:tcPr>
          <w:p w14:paraId="077C32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正</w:t>
            </w:r>
          </w:p>
        </w:tc>
      </w:tr>
      <w:tr w14:paraId="73DBD5E4">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530" w:type="dxa"/>
            <w:tcBorders>
              <w:top w:val="outset" w:color="000000" w:sz="6" w:space="0"/>
              <w:left w:val="outset" w:color="000000" w:sz="6" w:space="0"/>
              <w:bottom w:val="outset" w:color="000000" w:sz="6" w:space="0"/>
              <w:right w:val="outset" w:color="000000" w:sz="6" w:space="0"/>
            </w:tcBorders>
            <w:shd w:val="clear"/>
            <w:vAlign w:val="center"/>
          </w:tcPr>
          <w:p w14:paraId="476902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9-55</w:t>
            </w:r>
          </w:p>
        </w:tc>
        <w:tc>
          <w:tcPr>
            <w:tcW w:w="2175" w:type="dxa"/>
            <w:tcBorders>
              <w:top w:val="outset" w:color="000000" w:sz="6" w:space="0"/>
              <w:left w:val="outset" w:color="000000" w:sz="6" w:space="0"/>
              <w:bottom w:val="outset" w:color="000000" w:sz="6" w:space="0"/>
              <w:right w:val="outset" w:color="000000" w:sz="6" w:space="0"/>
            </w:tcBorders>
            <w:shd w:val="clear"/>
            <w:vAlign w:val="center"/>
          </w:tcPr>
          <w:p w14:paraId="7C39E5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毛面花岗岩</w:t>
            </w:r>
          </w:p>
        </w:tc>
        <w:tc>
          <w:tcPr>
            <w:tcW w:w="2340" w:type="dxa"/>
            <w:tcBorders>
              <w:top w:val="outset" w:color="000000" w:sz="6" w:space="0"/>
              <w:left w:val="outset" w:color="000000" w:sz="6" w:space="0"/>
              <w:bottom w:val="outset" w:color="000000" w:sz="6" w:space="0"/>
              <w:right w:val="outset" w:color="000000" w:sz="6" w:space="0"/>
            </w:tcBorders>
            <w:shd w:val="clear"/>
            <w:vAlign w:val="center"/>
          </w:tcPr>
          <w:p w14:paraId="0B5DB9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台阶</w:t>
            </w:r>
          </w:p>
        </w:tc>
        <w:tc>
          <w:tcPr>
            <w:tcW w:w="2340" w:type="dxa"/>
            <w:tcBorders>
              <w:top w:val="outset" w:color="000000" w:sz="6" w:space="0"/>
              <w:left w:val="outset" w:color="000000" w:sz="6" w:space="0"/>
              <w:bottom w:val="outset" w:color="000000" w:sz="6" w:space="0"/>
              <w:right w:val="outset" w:color="000000" w:sz="6" w:space="0"/>
            </w:tcBorders>
            <w:shd w:val="clear"/>
            <w:vAlign w:val="center"/>
          </w:tcPr>
          <w:p w14:paraId="29CF4C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地面</w:t>
            </w:r>
          </w:p>
        </w:tc>
      </w:tr>
    </w:tbl>
    <w:p w14:paraId="66F68D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2313112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5E20A4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EB466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四、本通知由吐鲁番地区建设工程造价管理站负责解释</w:t>
      </w:r>
    </w:p>
    <w:p w14:paraId="452C35A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请下载</w:t>
      </w:r>
    </w:p>
    <w:p w14:paraId="0BFED2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"http://www.xjzj.com/Article/UploadFiles/201205/2012052819090413.zip"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附件：吐鲁番地区2012年4月份建设工程价格信息</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7AE469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5083E9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A2829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二〇一二年五月二十日</w:t>
      </w:r>
    </w:p>
    <w:p w14:paraId="39CA944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A84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2026-07-16T10:27:14Z</dcterms:created>
  <dc:creator>Administrator</dc:creator>
  <cp:lastModifiedBy>一叶知秋</cp:lastModifiedBy>
  <dcterms:modified xsi:type="dcterms:W3CDTF">2026-07-16T10:27:26Z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C15E4601A4044A1595762650052336E2_12</vt:lpwstr>
  </property>
</Properties>
</file>