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8CF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关于发布吐鲁番地区2012年3月份建</w:t>
      </w:r>
      <w:bookmarkStart w:id="0" w:name="_GoBack"/>
      <w:bookmarkEnd w:id="0"/>
      <w:r>
        <w:rPr>
          <w:rFonts w:hint="default" w:ascii="Verdana" w:hAnsi="Verdana" w:eastAsia="宋体" w:cs="Verdana"/>
          <w:b/>
          <w:bCs/>
          <w:i w:val="0"/>
          <w:iCs w:val="0"/>
          <w:caps w:val="0"/>
          <w:color w:val="000000"/>
          <w:spacing w:val="0"/>
          <w:kern w:val="0"/>
          <w:sz w:val="33"/>
          <w:szCs w:val="33"/>
          <w:bdr w:val="none" w:color="auto" w:sz="0" w:space="0"/>
          <w:lang w:val="en-US" w:eastAsia="zh-CN" w:bidi="ar"/>
        </w:rPr>
        <w:t>设工程价格信息的通知</w:t>
      </w:r>
    </w:p>
    <w:p w14:paraId="58BB16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吐地住建[2012]91号</w:t>
      </w:r>
    </w:p>
    <w:p w14:paraId="7BDD1D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两县一市建设局、有关建设、设计、施工、造价咨询中介机构：</w:t>
      </w:r>
    </w:p>
    <w:p w14:paraId="5D4811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吐鲁番地区2012年3月份建安工程、市政工程及房屋修缮工程（预）结算工作，我局建设工程造价管理站根据吐鲁番地区人工、机械及建材市场价格变化情况，编制了《吐鲁番地区2012年3月份建设工程价格信息》，现予以发布，作为建设工程计价的参考。并就有关事项通知如下：</w:t>
      </w:r>
    </w:p>
    <w:p w14:paraId="7C5325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一、建设工程定额计价价格信息</w:t>
      </w:r>
    </w:p>
    <w:p w14:paraId="11BF17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(一)定额内人工费单价的调整</w:t>
      </w:r>
    </w:p>
    <w:p w14:paraId="75921A3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1、2011年10月1  日后招、投标的（执行2011年新单位估价表）建筑、装饰装修、安装、抗震加固工程结算时定额内人工费单价调整：每工日上调2.41元，只计税金。</w:t>
      </w:r>
    </w:p>
    <w:p w14:paraId="2A83F0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编制投资估算、设计概算、招标标底、招标控制价时，人工费单价应按上限66元/工日计算，其差价部分只计取税金，编制投标报价时，投标人可按照市场价格自主确定人工费单价，但不得低于本估价人工费单价下限标准。</w:t>
      </w:r>
    </w:p>
    <w:p w14:paraId="17A251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2、2011年9月30日前招、投标的建筑、安装、市政工程、房屋修缮工程、人工调整及机上人工调整和定额外签证用工单价调整仍按吐地建【2011】146号文件执行。</w:t>
      </w:r>
    </w:p>
    <w:p w14:paraId="6CC46C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(二)定额内材料价格的调整</w:t>
      </w:r>
    </w:p>
    <w:p w14:paraId="5B5F5D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1、建筑、装饰装修、安装、抗震加固工程材料价格可参考本文“附件”中所列价格信息进行调整，未发布的材料价格信息，应参考市场材料价格进行调整。</w:t>
      </w:r>
    </w:p>
    <w:p w14:paraId="2A5D7B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2、市政工程材料价格参考本文“附件”所列价格信息与定额内材料供应价找差，未列入“附件”的材料，可依据甲、乙双方认定的发票供应价与定额内供应价找差。价差不参与取费，只计税金。</w:t>
      </w:r>
    </w:p>
    <w:p w14:paraId="1B26D7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3、房屋修缮工程主材参考本文“附件”所列价格信息与相应定额内材料供应价找差，未列入“附件”的材料，可依据甲、乙双方认定的发票供应价与定额内供应价找差。价差不参与取费，只计税金。</w:t>
      </w:r>
    </w:p>
    <w:p w14:paraId="7DD3F2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4、本次“附件”所列价格信息均为市场供应价，与相应定额内供应价找差，价差不参与取费，只计税金。</w:t>
      </w:r>
    </w:p>
    <w:p w14:paraId="789A56B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鉴于目前建筑市场材料价格变动幅度较大，若发包方与承包方共同认可，其价格可依据甲、乙双方认可的材料价格进行计算，并在合同中约定。</w:t>
      </w:r>
    </w:p>
    <w:p w14:paraId="6CD836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(三)定额内机械费的调整</w:t>
      </w:r>
    </w:p>
    <w:p w14:paraId="3CE9FB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1、市政工程参照“附件”中所列信息价进行调整。</w:t>
      </w:r>
    </w:p>
    <w:p w14:paraId="2A03F5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2、房屋修缮工程定额内机械费的调整，在1999年房屋修缮工程预算定额基础上，以定额内机械费加中小型机械费为计算基数上调6.08%，调整部分不参与取费，只计税金。</w:t>
      </w:r>
    </w:p>
    <w:p w14:paraId="30A2E8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二、费用定额的管理与调整</w:t>
      </w:r>
    </w:p>
    <w:p w14:paraId="21BE56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2C2197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2、市政、房屋修缮工程费用定额的调整，应按照新建造[2003]1号、新建造[2003]3号、新建造[2003]4号文件规定的有关费用标准执行。</w:t>
      </w:r>
    </w:p>
    <w:p w14:paraId="4747A0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关于费用定额中“工程定额测定费”的调整，按照原自治区建设厅、发展和改革委员会《关于调整自治区建筑安装、市政、园林、修缮等工程费用定额及工程量清单计价规费标准的通知》（新建造[2009]1号）规定执行。</w:t>
      </w:r>
    </w:p>
    <w:p w14:paraId="01B9DE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2012年3月份新开工项目可参考本文件[附件]。在本通知下发前已办理竣工结算的工程不参照本文件[附件]。</w:t>
      </w:r>
    </w:p>
    <w:p w14:paraId="66C83F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五、本结算办法由吐鲁番地区建设工程造价管理站负责解释</w:t>
      </w:r>
    </w:p>
    <w:p w14:paraId="224B59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w:t>
      </w:r>
    </w:p>
    <w:p w14:paraId="2BDD05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"http://www.xjzj.com/Article/UploadFiles/201204/2012041917090956.zip"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请下载：吐鲁番地区2012年3月份建设工程材料信息价</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p>
    <w:p w14:paraId="081F4FA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1664033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6540D32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二〇一二年四月十六日</w:t>
      </w:r>
    </w:p>
    <w:p w14:paraId="11ABA08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4C95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2026-07-16T10:26:53Z</dcterms:created>
  <dc:creator>Administrator</dc:creator>
  <cp:lastModifiedBy>一叶知秋</cp:lastModifiedBy>
  <dcterms:modified xsi:type="dcterms:W3CDTF">2026-07-16T10:27:04Z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2366C543F796458A8454CADD2C6D5B98_12</vt:lpwstr>
  </property>
</Properties>
</file>