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FBA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关于发布吐鲁番地区2012年11月份建设工程价格信息</w:t>
      </w:r>
      <w:bookmarkStart w:id="0" w:name="_GoBack"/>
      <w:bookmarkEnd w:id="0"/>
      <w:r>
        <w:rPr>
          <w:rFonts w:hint="default" w:ascii="Verdana" w:hAnsi="Verdana" w:eastAsia="宋体" w:cs="Verdana"/>
          <w:b/>
          <w:bCs/>
          <w:i w:val="0"/>
          <w:iCs w:val="0"/>
          <w:caps w:val="0"/>
          <w:color w:val="000000"/>
          <w:spacing w:val="0"/>
          <w:kern w:val="0"/>
          <w:sz w:val="33"/>
          <w:szCs w:val="33"/>
          <w:bdr w:val="none" w:color="auto" w:sz="0" w:space="0"/>
          <w:lang w:val="en-US" w:eastAsia="zh-CN" w:bidi="ar"/>
        </w:rPr>
        <w:t>的通知</w:t>
      </w:r>
    </w:p>
    <w:p w14:paraId="263C99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吐地住建[2012]326号</w:t>
      </w:r>
    </w:p>
    <w:p w14:paraId="5AE64B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356AAA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2012年11月份建安工程、市政工程及房屋修缮工程（预）结算工作，根据自治区工程造价管理总站的有关文件精神，我局建设工程造价管理站根据吐鲁番地区人工、机械及建材市场价格变化情况，编制了《吐鲁番地区2012年11月份建设工程价格信息》，现予以发布，作为建设工程计价的参考。并就有关事项通知如下：</w:t>
      </w:r>
    </w:p>
    <w:p w14:paraId="7910D6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一、建设工程定额计价价格信息</w:t>
      </w:r>
    </w:p>
    <w:p w14:paraId="4E14D6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(一)定额内人工费单价的调整</w:t>
      </w:r>
    </w:p>
    <w:p w14:paraId="61130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1、2012年11月1 日后招、投标的（执行2011年新单位估价表）建筑、安装、装饰装修、抗震加固工程在编制投资估算、设计概算、招标标底、招标控制价和结算时，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26B42E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2、2012年11月1日后招、投标的市政工程(执行吐鲁番2002年旧估价表)市政工程定额内人工费单价调整内容按吐地住建[2012] 316号文件中有关规定执行。</w:t>
      </w:r>
    </w:p>
    <w:p w14:paraId="422A0D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3、2012年11月1日后招、投标的房修工程（执行乌鲁木齐1999年旧估价表)、仿古建筑与园林工程（执行乌鲁木齐1998年旧估价表) 定额内人工费单价调整内容按吐地住建[2012] 316号文件中有关规定执行。</w:t>
      </w:r>
    </w:p>
    <w:p w14:paraId="45D3DC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4、仿古建筑与园林工程、市政、房修定额外签证用工单价调整为87.12元/工日（含税）。</w:t>
      </w:r>
    </w:p>
    <w:p w14:paraId="5CE58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(二)定额内材料价格的调整</w:t>
      </w:r>
    </w:p>
    <w:p w14:paraId="0A7195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35339D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2、市政工程材料价格参考本文“附件”所列价格信息与定额内材料供应价找差，未列入“附件”的材料，可依据甲、乙双方认定的发票供应价与定额内供应价找差。价差不参与取费，只计税金。</w:t>
      </w:r>
    </w:p>
    <w:p w14:paraId="5FFFD8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3、房屋修缮工程主材参考本文“附件”所列价格信息与相应定额内材料供应价找差，未列入“附件”的材料，可依据甲、乙双方认定的发票供应价与定额内供应价找差。价差不参与取费，只计税金。</w:t>
      </w:r>
    </w:p>
    <w:p w14:paraId="39AF6C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4、本次“附件”所列价格信息均为市场供应价，与相应定额内供应价找差，价差不参与取费，只计税金。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EB96D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(三)定额内机械费的调整</w:t>
      </w:r>
    </w:p>
    <w:p w14:paraId="51EF92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D6910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740E57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Style w:val="6"/>
          <w:rFonts w:hint="eastAsia" w:ascii="宋体" w:hAnsi="宋体" w:eastAsia="宋体" w:cs="宋体"/>
          <w:i w:val="0"/>
          <w:iCs w:val="0"/>
          <w:caps w:val="0"/>
          <w:color w:val="505050"/>
          <w:spacing w:val="0"/>
          <w:sz w:val="21"/>
          <w:szCs w:val="21"/>
          <w:bdr w:val="none" w:color="auto" w:sz="0" w:space="0"/>
        </w:rPr>
        <w:t>二、费用定额的管理与调整</w:t>
      </w:r>
    </w:p>
    <w:p w14:paraId="76C18E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68195A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2、市政、房屋修缮工程费用定额的调整，应按照新建造[2003]1号、新建造[2003]3号、新建造[2003]4号文件规定的有关费用标准执行。</w:t>
      </w:r>
    </w:p>
    <w:p w14:paraId="2B57C5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1488BB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2012年11月份新开工项目可参考本文件[附件]。在本通知下发前已办理竣工结算的工程不参照本文件[附件]。</w:t>
      </w:r>
    </w:p>
    <w:p w14:paraId="770EBF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7B9034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附件：吐鲁番地区2012年11月份建设工程价格信息</w:t>
      </w:r>
    </w:p>
    <w:p w14:paraId="25862F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二〇一二年十二月二十六日</w:t>
      </w:r>
    </w:p>
    <w:p w14:paraId="0BD022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B74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2026-07-16T10:36:47Z</dcterms:created>
  <dc:creator>Administrator</dc:creator>
  <cp:lastModifiedBy>一叶知秋</cp:lastModifiedBy>
  <dcterms:modified xsi:type="dcterms:W3CDTF">2026-07-16T10:36:56Z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37B77D5B04BD4E44BAA7BEE4A65658A1_12</vt:lpwstr>
  </property>
</Properties>
</file>