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关于发布伊宁地区2012年9月份建设工程价格信息的通知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伊州住建造〔2012〕25号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州直各县（市）住建局，霍尔果斯、都拉塔口岸建设局，中央及自治区驻伊各单位，州直各设计、施工、咨询企业：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局编制了《伊宁地区2012年9月份建设工程价格信息》，现予以发布，作为建设工程计价的参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一、建设工程工程量清单计价价格信息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    </w:t>
      </w:r>
      <w:r>
        <w:rPr>
          <w:rFonts w:hint="eastAsia" w:ascii="宋体" w:hAnsi="宋体" w:eastAsia="宋体" w:cs="宋体"/>
          <w:b/>
          <w:bCs/>
          <w:i w:val="0"/>
          <w:iCs w:val="0"/>
          <w:caps w:val="0"/>
          <w:color w:val="505050"/>
          <w:spacing w:val="0"/>
          <w:kern w:val="0"/>
          <w:sz w:val="24"/>
          <w:szCs w:val="24"/>
          <w:lang w:val="en-US" w:eastAsia="zh-CN" w:bidi="ar"/>
        </w:rPr>
        <w:t>（一）市场人工单价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79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建设工程市场人工单价信息可按招标文件和施工合同中约定办法执行。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    </w:t>
      </w:r>
      <w:r>
        <w:rPr>
          <w:rFonts w:hint="eastAsia" w:ascii="宋体" w:hAnsi="宋体" w:eastAsia="宋体" w:cs="宋体"/>
          <w:b/>
          <w:bCs/>
          <w:i w:val="0"/>
          <w:iCs w:val="0"/>
          <w:caps w:val="0"/>
          <w:color w:val="505050"/>
          <w:spacing w:val="0"/>
          <w:kern w:val="0"/>
          <w:sz w:val="24"/>
          <w:szCs w:val="24"/>
          <w:lang w:val="en-US" w:eastAsia="zh-CN" w:bidi="ar"/>
        </w:rPr>
        <w:t>（二）材料价格信息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材料价格信息可参照《伊宁地区2012年9月份建设工程价格信息》（附件）调整。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5"/>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（三）机械台班价格信息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9月份材料价格信息中的燃料动力单价自行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二、建设工程定额计价价格信息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（一）定额内人工费单价的调整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（二）定额内材料价格的调整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5．本附件中发布的“价格信息”均为市场供应价, 未发布的材料价格信息，应参照市场供应价与定额内供应价进行找差，价差部分只计税金。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6．鉴于目前建筑市场材料价格变动幅度较大，若发包方与承包方共同认可，其价格可依据甲、乙双方认可的材料价格进行计算，并在合同中约定。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（三）定额内机械费调整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1．仿古建筑及园林工程定额内机械费的调整，在1997年仿古建筑及园林工程预算定额基础上，以定额内机械费为计算基数上调18.28%，调整部分不参与取费，只计税金。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2．房屋修缮工程定额内机械费的调整，《新疆维吾尔自治区房屋修缮工程预算定额2000年伊宁地区单位估价汇总表》的基础上，以定额内机械费加中小型机械费为计算基数上调5.96%，调整部分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三、费用定额的调整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(一)建筑安装工程费用定额按新建总造字【2010】5号文的相关规定执行。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(二)市政、仿古建筑及园林、房屋修缮工程费用定额的调整，应按照新建造[2003]1号、新建造[2003]3号、新建造[2003]4号文件规定的有关费用标准执行。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三)关于费用定额中“工程定额测定费”的调整，按照原自治区建设厅、发展和改革委员会《关于调整自治区建筑安装、市政、园林、修缮等工程费用定额及工程量清单计价规费标准的通知》（新建造[2009]1号）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四、混凝土、砂浆配合比调整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五、凡已完成招投标的工程项目，仍按原约定执行；已办理竣工结算的工程项目不再做调整。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六、本次建设工程价格信息的执行日期：2012年9月1日至2012年9月3</w:t>
      </w:r>
      <w:r>
        <w:rPr>
          <w:rFonts w:hint="eastAsia" w:eastAsia="宋体" w:cs="宋体"/>
          <w:b/>
          <w:bCs/>
          <w:i w:val="0"/>
          <w:iCs w:val="0"/>
          <w:caps w:val="0"/>
          <w:color w:val="505050"/>
          <w:spacing w:val="0"/>
          <w:kern w:val="0"/>
          <w:sz w:val="24"/>
          <w:szCs w:val="24"/>
          <w:lang w:val="en-US" w:eastAsia="zh-CN" w:bidi="ar"/>
        </w:rPr>
        <w:t>0</w:t>
      </w:r>
      <w:r>
        <w:rPr>
          <w:rFonts w:hint="eastAsia" w:ascii="宋体" w:hAnsi="宋体" w:eastAsia="宋体" w:cs="宋体"/>
          <w:b/>
          <w:bCs/>
          <w:i w:val="0"/>
          <w:iCs w:val="0"/>
          <w:caps w:val="0"/>
          <w:color w:val="505050"/>
          <w:spacing w:val="0"/>
          <w:kern w:val="0"/>
          <w:sz w:val="24"/>
          <w:szCs w:val="24"/>
          <w:lang w:val="en-US" w:eastAsia="zh-CN" w:bidi="ar"/>
        </w:rPr>
        <w:t>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七、本通知由我局工程造价管理站负责解释。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lang w:val="en-US" w:eastAsia="zh-CN" w:bidi="ar"/>
        </w:rPr>
        <w:t>八、请州直各县、口岸建设局，根据本通知要求，做好每年两次（上半年、下半年）建设工程价格信息的发布工作，并报我局审批后执行。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九、2010年新疆建筑消耗量定额（实体项目）勘误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第四章混凝土及钢筋混凝土工程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p>
    <w:tbl>
      <w:tblPr>
        <w:tblStyle w:val="36"/>
        <w:tblW w:w="864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1066"/>
        <w:gridCol w:w="4343"/>
        <w:gridCol w:w="1082"/>
        <w:gridCol w:w="1067"/>
        <w:gridCol w:w="1082"/>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6491" w:type="dxa"/>
            <w:gridSpan w:val="3"/>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214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计量单位：10个</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6491" w:type="dxa"/>
            <w:gridSpan w:val="3"/>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定额编号</w:t>
            </w:r>
          </w:p>
        </w:tc>
        <w:tc>
          <w:tcPr>
            <w:tcW w:w="214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4-669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6491" w:type="dxa"/>
            <w:gridSpan w:val="3"/>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项目</w:t>
            </w:r>
          </w:p>
        </w:tc>
        <w:tc>
          <w:tcPr>
            <w:tcW w:w="214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氧气压力焊</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540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名  称</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单位</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误</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人工</w:t>
            </w:r>
          </w:p>
        </w:tc>
        <w:tc>
          <w:tcPr>
            <w:tcW w:w="4343"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综合工日</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工日</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2.5</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材料</w:t>
            </w:r>
          </w:p>
        </w:tc>
        <w:tc>
          <w:tcPr>
            <w:tcW w:w="4343" w:type="dxa"/>
            <w:vMerge w:val="restart"/>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石棉垫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液压油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乙炔气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其他材料费占材料费</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Kg</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m3</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0.5</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1.68</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Kg</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1.3</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m3</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0.5</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1.62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机械</w:t>
            </w:r>
          </w:p>
        </w:tc>
        <w:tc>
          <w:tcPr>
            <w:tcW w:w="4343" w:type="dxa"/>
            <w:vMerge w:val="restart"/>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安装综合机械占材料费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台式砂轮机Φ250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气压焊机</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台班</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0.14</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6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343"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台班</w:t>
            </w:r>
          </w:p>
        </w:tc>
        <w:tc>
          <w:tcPr>
            <w:tcW w:w="106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0.42</w:t>
            </w:r>
          </w:p>
        </w:tc>
      </w:tr>
    </w:tbl>
    <w:p>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r>
        <w:rPr>
          <w:rFonts w:hint="eastAsia" w:ascii="宋体" w:hAnsi="宋体" w:eastAsia="宋体" w:cs="宋体"/>
          <w:i w:val="0"/>
          <w:iCs w:val="0"/>
          <w:caps w:val="0"/>
          <w:color w:val="505050"/>
          <w:spacing w:val="0"/>
          <w:kern w:val="0"/>
          <w:sz w:val="24"/>
          <w:szCs w:val="24"/>
          <w:lang w:val="en-US" w:eastAsia="zh-CN" w:bidi="ar"/>
        </w:rPr>
        <w:t>第六章金属结构工程</w:t>
      </w:r>
    </w:p>
    <w:tbl>
      <w:tblPr>
        <w:tblStyle w:val="36"/>
        <w:tblW w:w="864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2245"/>
        <w:gridCol w:w="1604"/>
        <w:gridCol w:w="2485"/>
        <w:gridCol w:w="2306"/>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2245"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工程量计算规则</w:t>
            </w:r>
          </w:p>
        </w:tc>
        <w:tc>
          <w:tcPr>
            <w:tcW w:w="1604"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 P555页 十三、金属结构中所用钢板</w:t>
            </w:r>
          </w:p>
        </w:tc>
        <w:tc>
          <w:tcPr>
            <w:tcW w:w="2485"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误</w:t>
            </w:r>
          </w:p>
        </w:tc>
        <w:tc>
          <w:tcPr>
            <w:tcW w:w="2306"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245"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1604"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2485"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设计为多边形者，按巨形计算，巨形的边长以设计中……尺寸为准。</w:t>
            </w:r>
          </w:p>
        </w:tc>
        <w:tc>
          <w:tcPr>
            <w:tcW w:w="2306"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设计为多边形者，按矩形计算，矩形的边长以设计中……尺寸为准。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十、2011年伊宁地区单位估价表勘误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1、全国统一建筑装饰装修工程消耗量定额2011年伊宁地区单位估计表</w:t>
      </w:r>
    </w:p>
    <w:tbl>
      <w:tblPr>
        <w:tblStyle w:val="36"/>
        <w:tblpPr w:vertAnchor="text" w:tblpXSpec="left"/>
        <w:tblW w:w="852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1350"/>
        <w:gridCol w:w="1575"/>
        <w:gridCol w:w="2445"/>
        <w:gridCol w:w="315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135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定额编号</w:t>
            </w:r>
          </w:p>
        </w:tc>
        <w:tc>
          <w:tcPr>
            <w:tcW w:w="1575"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名  称</w:t>
            </w:r>
          </w:p>
        </w:tc>
        <w:tc>
          <w:tcPr>
            <w:tcW w:w="2445"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误</w:t>
            </w:r>
          </w:p>
        </w:tc>
        <w:tc>
          <w:tcPr>
            <w:tcW w:w="315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35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5-231</w:t>
            </w:r>
          </w:p>
        </w:tc>
        <w:tc>
          <w:tcPr>
            <w:tcW w:w="1575" w:type="dxa"/>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2445"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外墙JH801涂料</w:t>
            </w:r>
          </w:p>
        </w:tc>
        <w:tc>
          <w:tcPr>
            <w:tcW w:w="315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kern w:val="0"/>
                <w:sz w:val="24"/>
                <w:szCs w:val="24"/>
                <w:lang w:val="en-US" w:eastAsia="zh-CN" w:bidi="ar"/>
              </w:rPr>
              <w:t>喷（刷）刮涂料 仿瓷涂料二遍</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tbl>
      <w:tblPr>
        <w:tblStyle w:val="36"/>
        <w:tblpPr w:vertAnchor="text" w:tblpXSpec="left"/>
        <w:tblW w:w="864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916"/>
        <w:gridCol w:w="1133"/>
        <w:gridCol w:w="1722"/>
        <w:gridCol w:w="754"/>
        <w:gridCol w:w="1036"/>
        <w:gridCol w:w="1007"/>
        <w:gridCol w:w="1036"/>
        <w:gridCol w:w="1036"/>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91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序号</w:t>
            </w:r>
          </w:p>
        </w:tc>
        <w:tc>
          <w:tcPr>
            <w:tcW w:w="1133"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定额编号</w:t>
            </w:r>
          </w:p>
        </w:tc>
        <w:tc>
          <w:tcPr>
            <w:tcW w:w="172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项目名称</w:t>
            </w:r>
          </w:p>
        </w:tc>
        <w:tc>
          <w:tcPr>
            <w:tcW w:w="754"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单位</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基价</w:t>
            </w:r>
          </w:p>
        </w:tc>
        <w:tc>
          <w:tcPr>
            <w:tcW w:w="100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人工费</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材料费</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机械费</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91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3448</w:t>
            </w:r>
          </w:p>
        </w:tc>
        <w:tc>
          <w:tcPr>
            <w:tcW w:w="1133"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4-669</w:t>
            </w:r>
          </w:p>
        </w:tc>
        <w:tc>
          <w:tcPr>
            <w:tcW w:w="172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氧气压力焊</w:t>
            </w:r>
          </w:p>
        </w:tc>
        <w:tc>
          <w:tcPr>
            <w:tcW w:w="754"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10个</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76.18</w:t>
            </w:r>
          </w:p>
        </w:tc>
        <w:tc>
          <w:tcPr>
            <w:tcW w:w="1007"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5.15</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38.94</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32.09</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default" w:ascii="Verdana" w:hAnsi="Verdana" w:cs="Verdana" w:eastAsiaTheme="minorEastAsia"/>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请下载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附件：伊宁地区2012年9月建设工程价格信息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                                       </w:t>
      </w:r>
      <w:bookmarkStart w:id="0" w:name="_GoBack"/>
      <w:bookmarkEnd w:id="0"/>
      <w:r>
        <w:rPr>
          <w:rFonts w:hint="eastAsia" w:ascii="宋体" w:hAnsi="宋体" w:eastAsia="宋体" w:cs="宋体"/>
          <w:i w:val="0"/>
          <w:iCs w:val="0"/>
          <w:caps w:val="0"/>
          <w:color w:val="505050"/>
          <w:spacing w:val="0"/>
          <w:kern w:val="0"/>
          <w:sz w:val="24"/>
          <w:szCs w:val="24"/>
          <w:lang w:val="en-US" w:eastAsia="zh-CN" w:bidi="ar"/>
        </w:rPr>
        <w:t>伊犁州住房和城乡建设局办公室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480"/>
        <w:jc w:val="left"/>
        <w:rPr>
          <w:sz w:val="21"/>
          <w:szCs w:val="21"/>
        </w:rPr>
      </w:pPr>
      <w:r>
        <w:rPr>
          <w:rFonts w:hint="eastAsia" w:ascii="宋体" w:hAnsi="宋体" w:eastAsia="宋体" w:cs="宋体"/>
          <w:i w:val="0"/>
          <w:iCs w:val="0"/>
          <w:caps w:val="0"/>
          <w:color w:val="505050"/>
          <w:spacing w:val="0"/>
          <w:kern w:val="0"/>
          <w:sz w:val="24"/>
          <w:szCs w:val="24"/>
          <w:lang w:val="en-US" w:eastAsia="zh-CN" w:bidi="ar"/>
        </w:rPr>
        <w:t>                                                        二〇一二年十月</w:t>
      </w:r>
    </w:p>
    <w:p/>
    <w:sectPr>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MS Mincho">
    <w:panose1 w:val="02020609040205080304"/>
    <w:charset w:val="86"/>
    <w:family w:val="auto"/>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ourier">
    <w:panose1 w:val="020604090202050204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73778E6"/>
    <w:rsid w:val="5A665509"/>
    <w:rsid w:val="685106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uiPriority="99" w:semiHidden="0" w:name="List Bullet"/>
    <w:lsdException w:qFormat="1" w:uiPriority="99" w:semiHidden="0" w:name="List Number"/>
    <w:lsdException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2">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1"/>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2"/>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3"/>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4"/>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5"/>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6"/>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3">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List Number 2"/>
    <w:basedOn w:val="1"/>
    <w:unhideWhenUsed/>
    <w:qFormat/>
    <w:uiPriority w:val="99"/>
    <w:pPr>
      <w:numPr>
        <w:ilvl w:val="0"/>
        <w:numId w:val="1"/>
      </w:numPr>
      <w:contextualSpacing/>
    </w:pPr>
  </w:style>
  <w:style w:type="paragraph" w:styleId="13">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4">
    <w:name w:val="Strong"/>
    <w:basedOn w:val="33"/>
    <w:qFormat/>
    <w:uiPriority w:val="22"/>
    <w:rPr>
      <w:b/>
      <w:bCs/>
    </w:rPr>
  </w:style>
  <w:style w:type="character" w:styleId="35">
    <w:name w:val="Emphasis"/>
    <w:basedOn w:val="33"/>
    <w:qFormat/>
    <w:uiPriority w:val="20"/>
    <w:rPr>
      <w:i/>
      <w:iCs/>
    </w:rPr>
  </w:style>
  <w:style w:type="table" w:styleId="37">
    <w:name w:val="Table Grid"/>
    <w:basedOn w:val="3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8">
    <w:name w:val="Light Shading"/>
    <w:basedOn w:val="36"/>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9">
    <w:name w:val="Light Shading Accent 1"/>
    <w:basedOn w:val="36"/>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40">
    <w:name w:val="Light Shading Accent 2"/>
    <w:basedOn w:val="36"/>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1">
    <w:name w:val="Light Shading Accent 3"/>
    <w:basedOn w:val="36"/>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2">
    <w:name w:val="Light Shading Accent 4"/>
    <w:basedOn w:val="36"/>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3">
    <w:name w:val="Light Shading Accent 5"/>
    <w:basedOn w:val="36"/>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4">
    <w:name w:val="Light Shading Accent 6"/>
    <w:basedOn w:val="36"/>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5">
    <w:name w:val="Light List"/>
    <w:basedOn w:val="36"/>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36"/>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36"/>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36"/>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36"/>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36"/>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36"/>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36"/>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36"/>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36"/>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36"/>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36"/>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36"/>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36"/>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36"/>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60">
    <w:name w:val="Medium Shading 1 Accent 1"/>
    <w:basedOn w:val="36"/>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1">
    <w:name w:val="Medium Shading 1 Accent 2"/>
    <w:basedOn w:val="36"/>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2">
    <w:name w:val="Medium Shading 1 Accent 3"/>
    <w:basedOn w:val="36"/>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3">
    <w:name w:val="Medium Shading 1 Accent 4"/>
    <w:basedOn w:val="36"/>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4">
    <w:name w:val="Medium Shading 1 Accent 5"/>
    <w:basedOn w:val="36"/>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5">
    <w:name w:val="Medium Shading 1 Accent 6"/>
    <w:basedOn w:val="36"/>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6">
    <w:name w:val="Medium Shading 2"/>
    <w:basedOn w:val="36"/>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36"/>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36"/>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3">
    <w:name w:val="Medium List 1"/>
    <w:basedOn w:val="36"/>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4">
    <w:name w:val="Medium List 1 Accent 1"/>
    <w:basedOn w:val="36"/>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5">
    <w:name w:val="Medium List 1 Accent 2"/>
    <w:basedOn w:val="36"/>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6">
    <w:name w:val="Medium List 1 Accent 3"/>
    <w:basedOn w:val="36"/>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7">
    <w:name w:val="Medium List 1 Accent 4"/>
    <w:basedOn w:val="36"/>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8">
    <w:name w:val="Medium List 1 Accent 5"/>
    <w:basedOn w:val="36"/>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9">
    <w:name w:val="Medium List 1 Accent 6"/>
    <w:basedOn w:val="36"/>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80">
    <w:name w:val="Medium List 2"/>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1"/>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2"/>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3"/>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4"/>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5"/>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List 2 Accent 6"/>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7">
    <w:name w:val="Medium Grid 1"/>
    <w:basedOn w:val="36"/>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8">
    <w:name w:val="Medium Grid 1 Accent 1"/>
    <w:basedOn w:val="36"/>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9">
    <w:name w:val="Medium Grid 1 Accent 2"/>
    <w:basedOn w:val="36"/>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90">
    <w:name w:val="Medium Grid 1 Accent 3"/>
    <w:basedOn w:val="36"/>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1">
    <w:name w:val="Medium Grid 1 Accent 4"/>
    <w:basedOn w:val="36"/>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2">
    <w:name w:val="Medium Grid 1 Accent 5"/>
    <w:basedOn w:val="36"/>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3">
    <w:name w:val="Medium Grid 1 Accent 6"/>
    <w:basedOn w:val="36"/>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4">
    <w:name w:val="Medium Grid 2"/>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5">
    <w:name w:val="Medium Grid 2 Accent 1"/>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6">
    <w:name w:val="Medium Grid 2 Accent 2"/>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7">
    <w:name w:val="Medium Grid 2 Accent 3"/>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8">
    <w:name w:val="Medium Grid 2 Accent 4"/>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9">
    <w:name w:val="Medium Grid 2 Accent 5"/>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100">
    <w:name w:val="Medium Grid 2 Accent 6"/>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1">
    <w:name w:val="Medium Grid 3"/>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36"/>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36"/>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9">
    <w:name w:val="Colorful Shading Accent 4"/>
    <w:basedOn w:val="36"/>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36"/>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36"/>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3">
    <w:name w:val="Colorful List Accent 1"/>
    <w:basedOn w:val="36"/>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4">
    <w:name w:val="Colorful List Accent 2"/>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5">
    <w:name w:val="Colorful List Accent 3"/>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6">
    <w:name w:val="Colorful List Accent 4"/>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7">
    <w:name w:val="Colorful List Accent 5"/>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8">
    <w:name w:val="Colorful List Accent 6"/>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9">
    <w:name w:val="Colorful Grid"/>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30">
    <w:name w:val="Colorful Grid Accent 1"/>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1">
    <w:name w:val="Colorful Grid Accent 2"/>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2">
    <w:name w:val="Colorful Grid Accent 3"/>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3">
    <w:name w:val="Colorful Grid Accent 4"/>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4">
    <w:name w:val="Colorful Grid Accent 5"/>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5">
    <w:name w:val="Colorful Grid Accent 6"/>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6">
    <w:name w:val="Header Char"/>
    <w:basedOn w:val="33"/>
    <w:link w:val="25"/>
    <w:qFormat/>
    <w:uiPriority w:val="99"/>
  </w:style>
  <w:style w:type="character" w:customStyle="1" w:styleId="137">
    <w:name w:val="Footer Char"/>
    <w:basedOn w:val="33"/>
    <w:link w:val="24"/>
    <w:uiPriority w:val="99"/>
  </w:style>
  <w:style w:type="paragraph" w:customStyle="1"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33"/>
    <w:link w:val="2"/>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33"/>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3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customStyle="1" w:styleId="144">
    <w:name w:val="List Paragraph"/>
    <w:basedOn w:val="1"/>
    <w:qFormat/>
    <w:uiPriority w:val="34"/>
    <w:pPr>
      <w:ind w:left="720"/>
      <w:contextualSpacing/>
    </w:pPr>
  </w:style>
  <w:style w:type="character" w:customStyle="1" w:styleId="145">
    <w:name w:val="Body Text Char"/>
    <w:basedOn w:val="33"/>
    <w:link w:val="19"/>
    <w:uiPriority w:val="99"/>
  </w:style>
  <w:style w:type="character" w:customStyle="1" w:styleId="146">
    <w:name w:val="Body Text 2 Char"/>
    <w:basedOn w:val="33"/>
    <w:link w:val="28"/>
    <w:uiPriority w:val="99"/>
  </w:style>
  <w:style w:type="character" w:customStyle="1" w:styleId="147">
    <w:name w:val="Body Text 3 Char"/>
    <w:basedOn w:val="33"/>
    <w:link w:val="17"/>
    <w:uiPriority w:val="99"/>
    <w:rPr>
      <w:sz w:val="16"/>
      <w:szCs w:val="16"/>
    </w:rPr>
  </w:style>
  <w:style w:type="character" w:customStyle="1" w:styleId="148">
    <w:name w:val="Macro Text Char"/>
    <w:basedOn w:val="33"/>
    <w:link w:val="13"/>
    <w:uiPriority w:val="99"/>
    <w:rPr>
      <w:rFonts w:ascii="Courier" w:hAnsi="Courier"/>
      <w:sz w:val="20"/>
      <w:szCs w:val="20"/>
    </w:rPr>
  </w:style>
  <w:style w:type="paragraph" w:customStyle="1"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33"/>
    <w:link w:val="149"/>
    <w:uiPriority w:val="29"/>
    <w:rPr>
      <w:i/>
      <w:iCs/>
      <w:color w:val="000000" w:themeColor="text1"/>
      <w14:textFill>
        <w14:solidFill>
          <w14:schemeClr w14:val="tx1"/>
        </w14:solidFill>
      </w14:textFill>
    </w:rPr>
  </w:style>
  <w:style w:type="character" w:customStyle="1" w:styleId="151">
    <w:name w:val="Heading 4 Char"/>
    <w:basedOn w:val="33"/>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33"/>
    <w:link w:val="6"/>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33"/>
    <w:link w:val="7"/>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33"/>
    <w:link w:val="8"/>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33"/>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33"/>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customStyle="1"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33"/>
    <w:link w:val="157"/>
    <w:uiPriority w:val="30"/>
    <w:rPr>
      <w:b/>
      <w:bCs/>
      <w:i/>
      <w:iCs/>
      <w:color w:val="4F81BD" w:themeColor="accent1"/>
      <w14:textFill>
        <w14:solidFill>
          <w14:schemeClr w14:val="accent1"/>
        </w14:solidFill>
      </w14:textFill>
    </w:rPr>
  </w:style>
  <w:style w:type="character" w:customStyle="1" w:styleId="159">
    <w:name w:val="Subtle Emphasis"/>
    <w:basedOn w:val="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33"/>
    <w:qFormat/>
    <w:uiPriority w:val="21"/>
    <w:rPr>
      <w:b/>
      <w:bCs/>
      <w:i/>
      <w:iCs/>
      <w:color w:val="4F81BD" w:themeColor="accent1"/>
      <w14:textFill>
        <w14:solidFill>
          <w14:schemeClr w14:val="accent1"/>
        </w14:solidFill>
      </w14:textFill>
    </w:rPr>
  </w:style>
  <w:style w:type="character" w:customStyle="1" w:styleId="161">
    <w:name w:val="Subtle Reference"/>
    <w:basedOn w:val="33"/>
    <w:qFormat/>
    <w:uiPriority w:val="31"/>
    <w:rPr>
      <w:smallCaps/>
      <w:color w:val="C0504D" w:themeColor="accent2"/>
      <w:u w:val="single"/>
      <w14:textFill>
        <w14:solidFill>
          <w14:schemeClr w14:val="accent2"/>
        </w14:solidFill>
      </w14:textFill>
    </w:rPr>
  </w:style>
  <w:style w:type="character" w:customStyle="1" w:styleId="162">
    <w:name w:val="Intense Reference"/>
    <w:basedOn w:val="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33"/>
    <w:qFormat/>
    <w:uiPriority w:val="33"/>
    <w:rPr>
      <w:b/>
      <w:bCs/>
      <w:smallCaps/>
      <w:spacing w:val="5"/>
    </w:rPr>
  </w:style>
  <w:style w:type="paragraph" w:customStyle="1" w:styleId="164">
    <w:name w:val="TOC Heading"/>
    <w:basedOn w:val="2"/>
    <w:next w:val="1"/>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924</Words>
  <Characters>1024</Characters>
  <Lines>0</Lines>
  <Paragraphs>0</Paragraphs>
  <ScaleCrop>false</ScaleCrop>
  <LinksUpToDate>false</LinksUpToDate>
  <CharactersWithSpaces>1025</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2026-08-11T09:27:04Z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2052-10.8.0.6206</vt:lpwstr>
  </property>
  <property fmtid="{D5CDD505-2E9C-101B-9397-08002B2CF9AE}" pid="4" name="ICV">
    <vt:lpwstr>9B21DD81FF04494D8599FE96ED002461_12</vt:lpwstr>
  </property>
</Properties>
</file>