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7DD12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关于发布伊宁地区2012年8月份建设工程价格信息的通知</w:t>
      </w:r>
    </w:p>
    <w:p w14:paraId="49E5C42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color w:val="505050"/>
        </w:rPr>
      </w:pPr>
      <w:r>
        <w:rPr>
          <w:rFonts w:hint="eastAsia" w:ascii="宋体" w:hAnsi="宋体" w:eastAsia="宋体" w:cs="宋体"/>
          <w:i w:val="0"/>
          <w:iCs w:val="0"/>
          <w:caps w:val="0"/>
          <w:color w:val="505050"/>
          <w:spacing w:val="0"/>
          <w:kern w:val="0"/>
          <w:sz w:val="24"/>
          <w:szCs w:val="24"/>
          <w:bdr w:val="none" w:color="auto" w:sz="0" w:space="0"/>
          <w:shd w:val="clear" w:fill="FFFFFF"/>
          <w:lang w:val="en-US" w:eastAsia="zh-CN" w:bidi="ar"/>
        </w:rPr>
        <w:t>州直各县（市）住建局，霍尔果斯、都拉塔口岸建设局，中央及自治区驻伊各单位，州直各设计、施工、咨询企业：</w:t>
      </w:r>
    </w:p>
    <w:p w14:paraId="43AE114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80"/>
        <w:jc w:val="left"/>
        <w:rPr>
          <w:color w:val="505050"/>
        </w:rPr>
      </w:pPr>
      <w:r>
        <w:rPr>
          <w:rFonts w:hint="eastAsia" w:ascii="宋体" w:hAnsi="宋体" w:eastAsia="宋体" w:cs="宋体"/>
          <w:i w:val="0"/>
          <w:iCs w:val="0"/>
          <w:caps w:val="0"/>
          <w:color w:val="505050"/>
          <w:spacing w:val="0"/>
          <w:kern w:val="0"/>
          <w:sz w:val="24"/>
          <w:szCs w:val="24"/>
          <w:bdr w:val="none" w:color="auto" w:sz="0" w:space="0"/>
          <w:shd w:val="clear" w:fill="FFFFFF"/>
          <w:lang w:val="en-US" w:eastAsia="zh-CN" w:bidi="ar"/>
        </w:rPr>
        <w:t>为做好伊宁地区建设工程人工、材料、机械台班价格信息发布工作（本建设工程是指：建筑、装饰装修、安装、市政、仿古建筑及园林、房屋修缮及抗震加固工程），根据伊宁地区建筑市场价格变化情况，我局编制了《伊宁地区2012年8月份建设工程价格信息》，现予以发布，作为建设工程计价的参考。并就有关事项通知如下：</w:t>
      </w:r>
    </w:p>
    <w:p w14:paraId="0BDDB49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632"/>
        <w:jc w:val="left"/>
        <w:rPr>
          <w:color w:val="505050"/>
        </w:rPr>
      </w:pPr>
      <w:r>
        <w:rPr>
          <w:rFonts w:hint="eastAsia" w:ascii="宋体" w:hAnsi="宋体" w:eastAsia="宋体" w:cs="宋体"/>
          <w:b/>
          <w:bCs/>
          <w:i w:val="0"/>
          <w:iCs w:val="0"/>
          <w:caps w:val="0"/>
          <w:color w:val="505050"/>
          <w:spacing w:val="0"/>
          <w:kern w:val="0"/>
          <w:sz w:val="24"/>
          <w:szCs w:val="24"/>
          <w:bdr w:val="none" w:color="auto" w:sz="0" w:space="0"/>
          <w:shd w:val="clear" w:fill="FFFFFF"/>
          <w:lang w:val="en-US" w:eastAsia="zh-CN" w:bidi="ar"/>
        </w:rPr>
        <w:t>一、建设工程工程量清单计价价格信息</w:t>
      </w:r>
    </w:p>
    <w:p w14:paraId="729407E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color w:val="505050"/>
        </w:rPr>
      </w:pPr>
      <w:r>
        <w:rPr>
          <w:rFonts w:hint="eastAsia" w:ascii="宋体" w:hAnsi="宋体" w:eastAsia="宋体" w:cs="宋体"/>
          <w:i w:val="0"/>
          <w:iCs w:val="0"/>
          <w:caps w:val="0"/>
          <w:color w:val="505050"/>
          <w:spacing w:val="0"/>
          <w:kern w:val="0"/>
          <w:sz w:val="24"/>
          <w:szCs w:val="24"/>
          <w:bdr w:val="none" w:color="auto" w:sz="0" w:space="0"/>
          <w:shd w:val="clear" w:fill="FFFFFF"/>
          <w:lang w:val="en-US" w:eastAsia="zh-CN" w:bidi="ar"/>
        </w:rPr>
        <w:t>    </w:t>
      </w:r>
      <w:r>
        <w:rPr>
          <w:rFonts w:hint="eastAsia" w:ascii="宋体" w:hAnsi="宋体" w:eastAsia="宋体" w:cs="宋体"/>
          <w:b/>
          <w:bCs/>
          <w:i w:val="0"/>
          <w:iCs w:val="0"/>
          <w:caps w:val="0"/>
          <w:color w:val="505050"/>
          <w:spacing w:val="0"/>
          <w:kern w:val="0"/>
          <w:sz w:val="24"/>
          <w:szCs w:val="24"/>
          <w:bdr w:val="none" w:color="auto" w:sz="0" w:space="0"/>
          <w:shd w:val="clear" w:fill="FFFFFF"/>
          <w:lang w:val="en-US" w:eastAsia="zh-CN" w:bidi="ar"/>
        </w:rPr>
        <w:t>（一）市场人工单价</w:t>
      </w:r>
    </w:p>
    <w:p w14:paraId="3BBF7CF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790"/>
        <w:jc w:val="left"/>
        <w:rPr>
          <w:color w:val="505050"/>
        </w:rPr>
      </w:pPr>
      <w:r>
        <w:rPr>
          <w:rFonts w:hint="eastAsia" w:ascii="宋体" w:hAnsi="宋体" w:eastAsia="宋体" w:cs="宋体"/>
          <w:i w:val="0"/>
          <w:iCs w:val="0"/>
          <w:caps w:val="0"/>
          <w:color w:val="505050"/>
          <w:spacing w:val="0"/>
          <w:kern w:val="0"/>
          <w:sz w:val="24"/>
          <w:szCs w:val="24"/>
          <w:bdr w:val="none" w:color="auto" w:sz="0" w:space="0"/>
          <w:shd w:val="clear" w:fill="FFFFFF"/>
          <w:lang w:val="en-US" w:eastAsia="zh-CN" w:bidi="ar"/>
        </w:rPr>
        <w:t>建设工程市场人工单价信息可按招标文件和施工合同中约定办法执行。</w:t>
      </w:r>
    </w:p>
    <w:p w14:paraId="54CA34D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color w:val="505050"/>
        </w:rPr>
      </w:pPr>
      <w:r>
        <w:rPr>
          <w:rFonts w:hint="eastAsia" w:ascii="宋体" w:hAnsi="宋体" w:eastAsia="宋体" w:cs="宋体"/>
          <w:i w:val="0"/>
          <w:iCs w:val="0"/>
          <w:caps w:val="0"/>
          <w:color w:val="505050"/>
          <w:spacing w:val="0"/>
          <w:kern w:val="0"/>
          <w:sz w:val="24"/>
          <w:szCs w:val="24"/>
          <w:bdr w:val="none" w:color="auto" w:sz="0" w:space="0"/>
          <w:shd w:val="clear" w:fill="FFFFFF"/>
          <w:lang w:val="en-US" w:eastAsia="zh-CN" w:bidi="ar"/>
        </w:rPr>
        <w:t>    </w:t>
      </w:r>
      <w:r>
        <w:rPr>
          <w:rFonts w:hint="eastAsia" w:ascii="宋体" w:hAnsi="宋体" w:eastAsia="宋体" w:cs="宋体"/>
          <w:b/>
          <w:bCs/>
          <w:i w:val="0"/>
          <w:iCs w:val="0"/>
          <w:caps w:val="0"/>
          <w:color w:val="505050"/>
          <w:spacing w:val="0"/>
          <w:kern w:val="0"/>
          <w:sz w:val="24"/>
          <w:szCs w:val="24"/>
          <w:bdr w:val="none" w:color="auto" w:sz="0" w:space="0"/>
          <w:shd w:val="clear" w:fill="FFFFFF"/>
          <w:lang w:val="en-US" w:eastAsia="zh-CN" w:bidi="ar"/>
        </w:rPr>
        <w:t>（二）材料价格信息</w:t>
      </w:r>
    </w:p>
    <w:p w14:paraId="6AEC9E1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619"/>
        <w:jc w:val="left"/>
        <w:rPr>
          <w:color w:val="505050"/>
        </w:rPr>
      </w:pPr>
      <w:r>
        <w:rPr>
          <w:rFonts w:hint="eastAsia" w:ascii="宋体" w:hAnsi="宋体" w:eastAsia="宋体" w:cs="宋体"/>
          <w:i w:val="0"/>
          <w:iCs w:val="0"/>
          <w:caps w:val="0"/>
          <w:color w:val="505050"/>
          <w:spacing w:val="0"/>
          <w:kern w:val="0"/>
          <w:sz w:val="24"/>
          <w:szCs w:val="24"/>
          <w:bdr w:val="none" w:color="auto" w:sz="0" w:space="0"/>
          <w:shd w:val="clear" w:fill="FFFFFF"/>
          <w:lang w:val="en-US" w:eastAsia="zh-CN" w:bidi="ar"/>
        </w:rPr>
        <w:t>材料价格信息可参照《伊宁地区2012年8月份建设工程价格信息》（附件）调整。</w:t>
      </w:r>
    </w:p>
    <w:p w14:paraId="16E4A85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575"/>
        <w:jc w:val="left"/>
        <w:rPr>
          <w:color w:val="505050"/>
        </w:rPr>
      </w:pPr>
      <w:r>
        <w:rPr>
          <w:rFonts w:hint="eastAsia" w:ascii="宋体" w:hAnsi="宋体" w:eastAsia="宋体" w:cs="宋体"/>
          <w:b/>
          <w:bCs/>
          <w:i w:val="0"/>
          <w:iCs w:val="0"/>
          <w:caps w:val="0"/>
          <w:color w:val="505050"/>
          <w:spacing w:val="0"/>
          <w:kern w:val="0"/>
          <w:sz w:val="24"/>
          <w:szCs w:val="24"/>
          <w:bdr w:val="none" w:color="auto" w:sz="0" w:space="0"/>
          <w:shd w:val="clear" w:fill="FFFFFF"/>
          <w:lang w:val="en-US" w:eastAsia="zh-CN" w:bidi="ar"/>
        </w:rPr>
        <w:t>（三）机械台班价格信息</w:t>
      </w:r>
    </w:p>
    <w:p w14:paraId="6E84771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619"/>
        <w:jc w:val="left"/>
        <w:rPr>
          <w:color w:val="505050"/>
        </w:rPr>
      </w:pPr>
      <w:r>
        <w:rPr>
          <w:rFonts w:hint="eastAsia" w:ascii="宋体" w:hAnsi="宋体" w:eastAsia="宋体" w:cs="宋体"/>
          <w:i w:val="0"/>
          <w:iCs w:val="0"/>
          <w:caps w:val="0"/>
          <w:color w:val="505050"/>
          <w:spacing w:val="0"/>
          <w:kern w:val="0"/>
          <w:sz w:val="24"/>
          <w:szCs w:val="24"/>
          <w:bdr w:val="none" w:color="auto" w:sz="0" w:space="0"/>
          <w:shd w:val="clear" w:fill="FFFFFF"/>
          <w:lang w:val="en-US" w:eastAsia="zh-CN" w:bidi="ar"/>
        </w:rPr>
        <w:t>机械台班价格可参照新疆建设工程造价管理总站编制的《2003年新疆施工机械台班费用参考单价》（新建总造字﹝2003﹞52号）执行，机上人工成本、燃料动力单价可参照伊宁市建筑工种市场人工价格和伊宁地区2012年7月份材料价格信息中的燃料动力单价自行调整。</w:t>
      </w:r>
    </w:p>
    <w:p w14:paraId="61EEC79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82"/>
        <w:jc w:val="left"/>
        <w:rPr>
          <w:color w:val="505050"/>
        </w:rPr>
      </w:pPr>
      <w:r>
        <w:rPr>
          <w:rFonts w:hint="eastAsia" w:ascii="宋体" w:hAnsi="宋体" w:eastAsia="宋体" w:cs="宋体"/>
          <w:b/>
          <w:bCs/>
          <w:i w:val="0"/>
          <w:iCs w:val="0"/>
          <w:caps w:val="0"/>
          <w:color w:val="505050"/>
          <w:spacing w:val="0"/>
          <w:kern w:val="0"/>
          <w:sz w:val="24"/>
          <w:szCs w:val="24"/>
          <w:bdr w:val="none" w:color="auto" w:sz="0" w:space="0"/>
          <w:shd w:val="clear" w:fill="FFFFFF"/>
          <w:lang w:val="en-US" w:eastAsia="zh-CN" w:bidi="ar"/>
        </w:rPr>
        <w:t>二、建设工程定额计价价格信息</w:t>
      </w:r>
    </w:p>
    <w:p w14:paraId="709F2D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82"/>
        <w:jc w:val="left"/>
        <w:rPr>
          <w:color w:val="505050"/>
        </w:rPr>
      </w:pPr>
      <w:r>
        <w:rPr>
          <w:rFonts w:hint="eastAsia" w:ascii="宋体" w:hAnsi="宋体" w:eastAsia="宋体" w:cs="宋体"/>
          <w:b/>
          <w:bCs/>
          <w:i w:val="0"/>
          <w:iCs w:val="0"/>
          <w:caps w:val="0"/>
          <w:color w:val="505050"/>
          <w:spacing w:val="0"/>
          <w:kern w:val="0"/>
          <w:sz w:val="24"/>
          <w:szCs w:val="24"/>
          <w:bdr w:val="none" w:color="auto" w:sz="0" w:space="0"/>
          <w:shd w:val="clear" w:fill="FFFFFF"/>
          <w:lang w:val="en-US" w:eastAsia="zh-CN" w:bidi="ar"/>
        </w:rPr>
        <w:t>（一）定额内人工费单价的调整</w:t>
      </w:r>
    </w:p>
    <w:p w14:paraId="17B47DC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80"/>
        <w:jc w:val="left"/>
        <w:rPr>
          <w:color w:val="505050"/>
        </w:rPr>
      </w:pPr>
      <w:r>
        <w:rPr>
          <w:rFonts w:hint="eastAsia" w:ascii="宋体" w:hAnsi="宋体" w:eastAsia="宋体" w:cs="宋体"/>
          <w:i w:val="0"/>
          <w:iCs w:val="0"/>
          <w:caps w:val="0"/>
          <w:color w:val="505050"/>
          <w:spacing w:val="0"/>
          <w:kern w:val="0"/>
          <w:sz w:val="24"/>
          <w:szCs w:val="24"/>
          <w:bdr w:val="none" w:color="auto" w:sz="0" w:space="0"/>
          <w:shd w:val="clear" w:fill="FFFFFF"/>
          <w:lang w:val="en-US" w:eastAsia="zh-CN" w:bidi="ar"/>
        </w:rPr>
        <w:t>1．执行《全国统一市政工程预算定额2002年伊宁地区单位估价汇总表》、《新疆维吾尔自治区房屋修缮工程预算定额2000年伊宁地区单位估价汇总表》、《全国统一仿古建筑及园林工程预算定额1997年乌鲁木齐地区单位估价表》的建设工程，定额内人工费单价的调整按照原伊州建造[2011]08号。</w:t>
      </w:r>
    </w:p>
    <w:p w14:paraId="5C5EEA4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80"/>
        <w:jc w:val="left"/>
        <w:rPr>
          <w:color w:val="505050"/>
        </w:rPr>
      </w:pPr>
      <w:r>
        <w:rPr>
          <w:rFonts w:hint="eastAsia" w:ascii="宋体" w:hAnsi="宋体" w:eastAsia="宋体" w:cs="宋体"/>
          <w:i w:val="0"/>
          <w:iCs w:val="0"/>
          <w:caps w:val="0"/>
          <w:color w:val="505050"/>
          <w:spacing w:val="0"/>
          <w:kern w:val="0"/>
          <w:sz w:val="24"/>
          <w:szCs w:val="24"/>
          <w:bdr w:val="none" w:color="auto" w:sz="0" w:space="0"/>
          <w:shd w:val="clear" w:fill="FFFFFF"/>
          <w:lang w:val="en-US" w:eastAsia="zh-CN" w:bidi="ar"/>
        </w:rPr>
        <w:t>2．执行《新疆维吾尔自治区建筑工程消耗量定额、抗震加固工程计价定额及全国统一安装、装饰装修工程预算定额2011年伊宁地区单位估价表》的建设工程，按相应估价表规定计价。编制投资估算、设计概算、招标标底、招标控制价时，人工费单价应按上限61元/工日计算，其差价部分只计取税金，编制投标报价时，投标人可参照市场价格自主确定人工费单价，但不得低于定额内人工费单价。</w:t>
      </w:r>
    </w:p>
    <w:p w14:paraId="1BD1C5D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82"/>
        <w:jc w:val="left"/>
        <w:rPr>
          <w:color w:val="505050"/>
        </w:rPr>
      </w:pPr>
      <w:r>
        <w:rPr>
          <w:rFonts w:hint="eastAsia" w:ascii="宋体" w:hAnsi="宋体" w:eastAsia="宋体" w:cs="宋体"/>
          <w:b/>
          <w:bCs/>
          <w:i w:val="0"/>
          <w:iCs w:val="0"/>
          <w:caps w:val="0"/>
          <w:color w:val="505050"/>
          <w:spacing w:val="0"/>
          <w:kern w:val="0"/>
          <w:sz w:val="24"/>
          <w:szCs w:val="24"/>
          <w:bdr w:val="none" w:color="auto" w:sz="0" w:space="0"/>
          <w:shd w:val="clear" w:fill="FFFFFF"/>
          <w:lang w:val="en-US" w:eastAsia="zh-CN" w:bidi="ar"/>
        </w:rPr>
        <w:t>（二）定额内材料价格的调整</w:t>
      </w:r>
    </w:p>
    <w:p w14:paraId="305386D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80"/>
        <w:jc w:val="left"/>
        <w:rPr>
          <w:color w:val="505050"/>
        </w:rPr>
      </w:pPr>
      <w:r>
        <w:rPr>
          <w:rFonts w:hint="eastAsia" w:ascii="宋体" w:hAnsi="宋体" w:eastAsia="宋体" w:cs="宋体"/>
          <w:i w:val="0"/>
          <w:iCs w:val="0"/>
          <w:caps w:val="0"/>
          <w:color w:val="505050"/>
          <w:spacing w:val="0"/>
          <w:kern w:val="0"/>
          <w:sz w:val="24"/>
          <w:szCs w:val="24"/>
          <w:bdr w:val="none" w:color="auto" w:sz="0" w:space="0"/>
          <w:shd w:val="clear" w:fill="FFFFFF"/>
          <w:lang w:val="en-US" w:eastAsia="zh-CN" w:bidi="ar"/>
        </w:rPr>
        <w:t>1．建筑、装饰装修、安装、抗震加固工程材料价格可参照本文“附件”中所列价格信息进行调整，未发布的材料价格信息，应参照市场供应价格与定额内供应价进行找差，价差部分只计税金。</w:t>
      </w:r>
    </w:p>
    <w:p w14:paraId="050B0D2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80"/>
        <w:jc w:val="left"/>
        <w:rPr>
          <w:color w:val="505050"/>
        </w:rPr>
      </w:pPr>
      <w:r>
        <w:rPr>
          <w:rFonts w:hint="eastAsia" w:ascii="宋体" w:hAnsi="宋体" w:eastAsia="宋体" w:cs="宋体"/>
          <w:i w:val="0"/>
          <w:iCs w:val="0"/>
          <w:caps w:val="0"/>
          <w:color w:val="505050"/>
          <w:spacing w:val="0"/>
          <w:kern w:val="0"/>
          <w:sz w:val="24"/>
          <w:szCs w:val="24"/>
          <w:bdr w:val="none" w:color="auto" w:sz="0" w:space="0"/>
          <w:shd w:val="clear" w:fill="FFFFFF"/>
          <w:lang w:val="en-US" w:eastAsia="zh-CN" w:bidi="ar"/>
        </w:rPr>
        <w:t>2．市政工程材料价格按照本文“附件”所列价格信息与定额内材料供应价找差，未列入“附件”的材料，可依据甲、乙双方认定的发票供应价与定额内供应价找差。价差不参与取费，只计税金。</w:t>
      </w:r>
    </w:p>
    <w:p w14:paraId="34648D2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80"/>
        <w:jc w:val="left"/>
        <w:rPr>
          <w:color w:val="505050"/>
        </w:rPr>
      </w:pPr>
      <w:r>
        <w:rPr>
          <w:rFonts w:hint="eastAsia" w:ascii="宋体" w:hAnsi="宋体" w:eastAsia="宋体" w:cs="宋体"/>
          <w:i w:val="0"/>
          <w:iCs w:val="0"/>
          <w:caps w:val="0"/>
          <w:color w:val="505050"/>
          <w:spacing w:val="0"/>
          <w:kern w:val="0"/>
          <w:sz w:val="24"/>
          <w:szCs w:val="24"/>
          <w:bdr w:val="none" w:color="auto" w:sz="0" w:space="0"/>
          <w:shd w:val="clear" w:fill="FFFFFF"/>
          <w:lang w:val="en-US" w:eastAsia="zh-CN" w:bidi="ar"/>
        </w:rPr>
        <w:t>3．仿古建筑及园林、房屋修缮工程主材按照本文“附件”所列价格信息组成预算价与相应定额内材料预算价找差，未列入“附件”的材料，可依据甲、乙双方认定的发票供应价组成预算价与定额内预算价找差。价差不参与取费，只计税金。</w:t>
      </w:r>
    </w:p>
    <w:p w14:paraId="43828E6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80"/>
        <w:jc w:val="left"/>
        <w:rPr>
          <w:color w:val="505050"/>
        </w:rPr>
      </w:pPr>
      <w:r>
        <w:rPr>
          <w:rFonts w:hint="eastAsia" w:ascii="宋体" w:hAnsi="宋体" w:eastAsia="宋体" w:cs="宋体"/>
          <w:i w:val="0"/>
          <w:iCs w:val="0"/>
          <w:caps w:val="0"/>
          <w:color w:val="505050"/>
          <w:spacing w:val="0"/>
          <w:kern w:val="0"/>
          <w:sz w:val="24"/>
          <w:szCs w:val="24"/>
          <w:bdr w:val="none" w:color="auto" w:sz="0" w:space="0"/>
          <w:shd w:val="clear" w:fill="FFFFFF"/>
          <w:lang w:val="en-US" w:eastAsia="zh-CN" w:bidi="ar"/>
        </w:rPr>
        <w:t>4．市政工程若使用商品砼，应按照《新疆市政工程商品砼消耗量定额2003年乌鲁木齐地区参考单价》（新建总造字[2003]65号）执行，并根据本文“附件”所列商品砼价格信息与《新疆市政工程商品砼消耗量定额2003年乌鲁木齐地区参考单价》定额内商品砼预算价找差。价差不参与取费，只计税金。</w:t>
      </w:r>
    </w:p>
    <w:p w14:paraId="59FC7DF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80"/>
        <w:jc w:val="left"/>
        <w:rPr>
          <w:color w:val="505050"/>
        </w:rPr>
      </w:pPr>
      <w:r>
        <w:rPr>
          <w:rFonts w:hint="eastAsia" w:ascii="宋体" w:hAnsi="宋体" w:eastAsia="宋体" w:cs="宋体"/>
          <w:i w:val="0"/>
          <w:iCs w:val="0"/>
          <w:caps w:val="0"/>
          <w:color w:val="505050"/>
          <w:spacing w:val="0"/>
          <w:kern w:val="0"/>
          <w:sz w:val="24"/>
          <w:szCs w:val="24"/>
          <w:bdr w:val="none" w:color="auto" w:sz="0" w:space="0"/>
          <w:shd w:val="clear" w:fill="FFFFFF"/>
          <w:lang w:val="en-US" w:eastAsia="zh-CN" w:bidi="ar"/>
        </w:rPr>
        <w:t>5．本附件中发布的“价格信息”均为市场供应价, 未发布的材料价格信息，应参照市场供应价与定额内供应价进行找差，价差部分只计税金。</w:t>
      </w:r>
    </w:p>
    <w:p w14:paraId="62D1AFE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80"/>
        <w:jc w:val="left"/>
        <w:rPr>
          <w:color w:val="505050"/>
        </w:rPr>
      </w:pPr>
      <w:r>
        <w:rPr>
          <w:rFonts w:hint="eastAsia" w:ascii="宋体" w:hAnsi="宋体" w:eastAsia="宋体" w:cs="宋体"/>
          <w:i w:val="0"/>
          <w:iCs w:val="0"/>
          <w:caps w:val="0"/>
          <w:color w:val="505050"/>
          <w:spacing w:val="0"/>
          <w:kern w:val="0"/>
          <w:sz w:val="24"/>
          <w:szCs w:val="24"/>
          <w:bdr w:val="none" w:color="auto" w:sz="0" w:space="0"/>
          <w:shd w:val="clear" w:fill="FFFFFF"/>
          <w:lang w:val="en-US" w:eastAsia="zh-CN" w:bidi="ar"/>
        </w:rPr>
        <w:t>6．鉴于目前建筑市场材料价格变动幅度较大，若发包方与承包方共同认可，其价格可依据甲、乙双方认可的材料价格进行计算，并在合同中约定。</w:t>
      </w:r>
    </w:p>
    <w:p w14:paraId="31130DF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82"/>
        <w:jc w:val="left"/>
        <w:rPr>
          <w:color w:val="505050"/>
        </w:rPr>
      </w:pPr>
      <w:r>
        <w:rPr>
          <w:rFonts w:hint="eastAsia" w:ascii="宋体" w:hAnsi="宋体" w:eastAsia="宋体" w:cs="宋体"/>
          <w:b/>
          <w:bCs/>
          <w:i w:val="0"/>
          <w:iCs w:val="0"/>
          <w:caps w:val="0"/>
          <w:color w:val="505050"/>
          <w:spacing w:val="0"/>
          <w:kern w:val="0"/>
          <w:sz w:val="24"/>
          <w:szCs w:val="24"/>
          <w:bdr w:val="none" w:color="auto" w:sz="0" w:space="0"/>
          <w:shd w:val="clear" w:fill="FFFFFF"/>
          <w:lang w:val="en-US" w:eastAsia="zh-CN" w:bidi="ar"/>
        </w:rPr>
        <w:t>（三）定额内机械费调整</w:t>
      </w:r>
    </w:p>
    <w:p w14:paraId="0704EF8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80"/>
        <w:jc w:val="left"/>
        <w:rPr>
          <w:color w:val="505050"/>
        </w:rPr>
      </w:pPr>
      <w:r>
        <w:rPr>
          <w:rFonts w:hint="eastAsia" w:ascii="宋体" w:hAnsi="宋体" w:eastAsia="宋体" w:cs="宋体"/>
          <w:i w:val="0"/>
          <w:iCs w:val="0"/>
          <w:caps w:val="0"/>
          <w:color w:val="505050"/>
          <w:spacing w:val="0"/>
          <w:kern w:val="0"/>
          <w:sz w:val="24"/>
          <w:szCs w:val="24"/>
          <w:bdr w:val="none" w:color="auto" w:sz="0" w:space="0"/>
          <w:shd w:val="clear" w:fill="FFFFFF"/>
          <w:lang w:val="en-US" w:eastAsia="zh-CN" w:bidi="ar"/>
        </w:rPr>
        <w:t>1．仿古建筑及园林工程定额内机械费的调整，在1997年仿古建筑及园林工程预算定额基础上，以定额内机械费为计算基数上调18.28%，调整部分不参与取费，只计税金。</w:t>
      </w:r>
    </w:p>
    <w:p w14:paraId="714DD23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80"/>
        <w:jc w:val="left"/>
        <w:rPr>
          <w:color w:val="505050"/>
        </w:rPr>
      </w:pPr>
      <w:r>
        <w:rPr>
          <w:rFonts w:hint="eastAsia" w:ascii="宋体" w:hAnsi="宋体" w:eastAsia="宋体" w:cs="宋体"/>
          <w:i w:val="0"/>
          <w:iCs w:val="0"/>
          <w:caps w:val="0"/>
          <w:color w:val="505050"/>
          <w:spacing w:val="0"/>
          <w:kern w:val="0"/>
          <w:sz w:val="24"/>
          <w:szCs w:val="24"/>
          <w:bdr w:val="none" w:color="auto" w:sz="0" w:space="0"/>
          <w:shd w:val="clear" w:fill="FFFFFF"/>
          <w:lang w:val="en-US" w:eastAsia="zh-CN" w:bidi="ar"/>
        </w:rPr>
        <w:t>2．房屋修缮工程定额内机械费的调整，《新疆维吾尔自治区房屋修缮工程预算定额2000年伊宁地区单位估价汇总表》的基础上，以定额内机械费加中小型机械费为计算基数上调5.96%，调整部分不参与取费，只计税金。</w:t>
      </w:r>
    </w:p>
    <w:p w14:paraId="430A92A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82"/>
        <w:jc w:val="left"/>
        <w:rPr>
          <w:color w:val="505050"/>
        </w:rPr>
      </w:pPr>
      <w:r>
        <w:rPr>
          <w:rFonts w:hint="eastAsia" w:ascii="宋体" w:hAnsi="宋体" w:eastAsia="宋体" w:cs="宋体"/>
          <w:b/>
          <w:bCs/>
          <w:i w:val="0"/>
          <w:iCs w:val="0"/>
          <w:caps w:val="0"/>
          <w:color w:val="505050"/>
          <w:spacing w:val="0"/>
          <w:kern w:val="0"/>
          <w:sz w:val="24"/>
          <w:szCs w:val="24"/>
          <w:bdr w:val="none" w:color="auto" w:sz="0" w:space="0"/>
          <w:shd w:val="clear" w:fill="FFFFFF"/>
          <w:lang w:val="en-US" w:eastAsia="zh-CN" w:bidi="ar"/>
        </w:rPr>
        <w:t>三、费用定额的调整</w:t>
      </w:r>
    </w:p>
    <w:p w14:paraId="5EDC9A3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80"/>
        <w:jc w:val="left"/>
        <w:rPr>
          <w:color w:val="505050"/>
        </w:rPr>
      </w:pPr>
      <w:r>
        <w:rPr>
          <w:rFonts w:hint="eastAsia" w:ascii="宋体" w:hAnsi="宋体" w:eastAsia="宋体" w:cs="宋体"/>
          <w:i w:val="0"/>
          <w:iCs w:val="0"/>
          <w:caps w:val="0"/>
          <w:color w:val="505050"/>
          <w:spacing w:val="0"/>
          <w:kern w:val="0"/>
          <w:sz w:val="24"/>
          <w:szCs w:val="24"/>
          <w:bdr w:val="none" w:color="auto" w:sz="0" w:space="0"/>
          <w:shd w:val="clear" w:fill="FFFFFF"/>
          <w:lang w:val="en-US" w:eastAsia="zh-CN" w:bidi="ar"/>
        </w:rPr>
        <w:t>(一)建筑安装工程费用定额按新建总造字【2010】5号文的相关规定执行。</w:t>
      </w:r>
    </w:p>
    <w:p w14:paraId="67DCBB3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80"/>
        <w:jc w:val="left"/>
        <w:rPr>
          <w:color w:val="505050"/>
        </w:rPr>
      </w:pPr>
      <w:r>
        <w:rPr>
          <w:rFonts w:hint="eastAsia" w:ascii="宋体" w:hAnsi="宋体" w:eastAsia="宋体" w:cs="宋体"/>
          <w:i w:val="0"/>
          <w:iCs w:val="0"/>
          <w:caps w:val="0"/>
          <w:color w:val="505050"/>
          <w:spacing w:val="0"/>
          <w:kern w:val="0"/>
          <w:sz w:val="24"/>
          <w:szCs w:val="24"/>
          <w:bdr w:val="none" w:color="auto" w:sz="0" w:space="0"/>
          <w:shd w:val="clear" w:fill="FFFFFF"/>
          <w:lang w:val="en-US" w:eastAsia="zh-CN" w:bidi="ar"/>
        </w:rPr>
        <w:t>(二)市政、仿古建筑及园林、房屋修缮工程费用定额的调整，应按照新建造[2003]1号、新建造[2003]3号、新建造[2003]4号文件规定的有关费用标准执行。</w:t>
      </w:r>
    </w:p>
    <w:p w14:paraId="257E7E5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80"/>
        <w:jc w:val="left"/>
        <w:rPr>
          <w:color w:val="505050"/>
        </w:rPr>
      </w:pPr>
      <w:r>
        <w:rPr>
          <w:rFonts w:hint="eastAsia" w:ascii="宋体" w:hAnsi="宋体" w:eastAsia="宋体" w:cs="宋体"/>
          <w:i w:val="0"/>
          <w:iCs w:val="0"/>
          <w:caps w:val="0"/>
          <w:color w:val="505050"/>
          <w:spacing w:val="0"/>
          <w:kern w:val="0"/>
          <w:sz w:val="24"/>
          <w:szCs w:val="24"/>
          <w:bdr w:val="none" w:color="auto" w:sz="0" w:space="0"/>
          <w:shd w:val="clear" w:fill="FFFFFF"/>
          <w:lang w:val="en-US" w:eastAsia="zh-CN" w:bidi="ar"/>
        </w:rPr>
        <w:t>(三)关于费用定额中“工程定额测定费”的调整，按照原自治区建设厅、发展和改革委员会《关于调整自治区建筑安装、市政、园林、修缮等工程费用定额及工程量清单计价规费标准的通知》（新建造[2009]1号）规定执行。</w:t>
      </w:r>
    </w:p>
    <w:p w14:paraId="24E5FE8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82"/>
        <w:jc w:val="left"/>
        <w:rPr>
          <w:color w:val="505050"/>
        </w:rPr>
      </w:pPr>
      <w:r>
        <w:rPr>
          <w:rFonts w:hint="eastAsia" w:ascii="宋体" w:hAnsi="宋体" w:eastAsia="宋体" w:cs="宋体"/>
          <w:b/>
          <w:bCs/>
          <w:i w:val="0"/>
          <w:iCs w:val="0"/>
          <w:caps w:val="0"/>
          <w:color w:val="505050"/>
          <w:spacing w:val="0"/>
          <w:kern w:val="0"/>
          <w:sz w:val="24"/>
          <w:szCs w:val="24"/>
          <w:bdr w:val="none" w:color="auto" w:sz="0" w:space="0"/>
          <w:shd w:val="clear" w:fill="FFFFFF"/>
          <w:lang w:val="en-US" w:eastAsia="zh-CN" w:bidi="ar"/>
        </w:rPr>
        <w:t>四、混凝土、砂浆配合比调整</w:t>
      </w:r>
    </w:p>
    <w:p w14:paraId="465E0F8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80"/>
        <w:jc w:val="left"/>
        <w:rPr>
          <w:color w:val="505050"/>
        </w:rPr>
      </w:pPr>
      <w:r>
        <w:rPr>
          <w:rFonts w:hint="eastAsia" w:ascii="宋体" w:hAnsi="宋体" w:eastAsia="宋体" w:cs="宋体"/>
          <w:i w:val="0"/>
          <w:iCs w:val="0"/>
          <w:caps w:val="0"/>
          <w:color w:val="505050"/>
          <w:spacing w:val="0"/>
          <w:kern w:val="0"/>
          <w:sz w:val="24"/>
          <w:szCs w:val="24"/>
          <w:bdr w:val="none" w:color="auto" w:sz="0" w:space="0"/>
          <w:shd w:val="clear" w:fill="FFFFFF"/>
          <w:lang w:val="en-US" w:eastAsia="zh-CN" w:bidi="ar"/>
        </w:rPr>
        <w:t>市政、仿古建筑及园林、房屋修缮工程中的混凝土、砂浆配合比按照原自治区建设厅《关于发布〈二○○九年自治区建设工程定额混凝土砂浆配合比〉的通知》（新建造[2009]2号）执行。新旧混凝土砂浆配合比之间的量差计入工程直接费，参与取费；价差不参与取费，只计税金。</w:t>
      </w:r>
    </w:p>
    <w:p w14:paraId="2E0644C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660"/>
        <w:jc w:val="left"/>
        <w:rPr>
          <w:color w:val="505050"/>
        </w:rPr>
      </w:pPr>
      <w:r>
        <w:rPr>
          <w:rFonts w:hint="eastAsia" w:ascii="宋体" w:hAnsi="宋体" w:eastAsia="宋体" w:cs="宋体"/>
          <w:b/>
          <w:bCs/>
          <w:i w:val="0"/>
          <w:iCs w:val="0"/>
          <w:caps w:val="0"/>
          <w:color w:val="505050"/>
          <w:spacing w:val="0"/>
          <w:kern w:val="0"/>
          <w:sz w:val="24"/>
          <w:szCs w:val="24"/>
          <w:bdr w:val="none" w:color="auto" w:sz="0" w:space="0"/>
          <w:shd w:val="clear" w:fill="FFFFFF"/>
          <w:lang w:val="en-US" w:eastAsia="zh-CN" w:bidi="ar"/>
        </w:rPr>
        <w:t>五、凡已完成招投标的工程项目，仍按原约定执行；已办理竣工结算的工程项目不再做调整。</w:t>
      </w:r>
    </w:p>
    <w:p w14:paraId="604E146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82"/>
        <w:jc w:val="left"/>
        <w:rPr>
          <w:color w:val="505050"/>
        </w:rPr>
      </w:pPr>
      <w:r>
        <w:rPr>
          <w:rFonts w:hint="eastAsia" w:ascii="宋体" w:hAnsi="宋体" w:eastAsia="宋体" w:cs="宋体"/>
          <w:b/>
          <w:bCs/>
          <w:i w:val="0"/>
          <w:iCs w:val="0"/>
          <w:caps w:val="0"/>
          <w:color w:val="505050"/>
          <w:spacing w:val="0"/>
          <w:kern w:val="0"/>
          <w:sz w:val="24"/>
          <w:szCs w:val="24"/>
          <w:bdr w:val="none" w:color="auto" w:sz="0" w:space="0"/>
          <w:shd w:val="clear" w:fill="FFFFFF"/>
          <w:lang w:val="en-US" w:eastAsia="zh-CN" w:bidi="ar"/>
        </w:rPr>
        <w:t>六、本次建设工程价格信息的执行日期：2012年8月1日至2012年8月31日。</w:t>
      </w:r>
    </w:p>
    <w:p w14:paraId="7059A6E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82"/>
        <w:jc w:val="left"/>
        <w:rPr>
          <w:color w:val="505050"/>
        </w:rPr>
      </w:pPr>
      <w:r>
        <w:rPr>
          <w:rFonts w:hint="eastAsia" w:ascii="宋体" w:hAnsi="宋体" w:eastAsia="宋体" w:cs="宋体"/>
          <w:b/>
          <w:bCs/>
          <w:i w:val="0"/>
          <w:iCs w:val="0"/>
          <w:caps w:val="0"/>
          <w:color w:val="505050"/>
          <w:spacing w:val="0"/>
          <w:kern w:val="0"/>
          <w:sz w:val="24"/>
          <w:szCs w:val="24"/>
          <w:bdr w:val="none" w:color="auto" w:sz="0" w:space="0"/>
          <w:shd w:val="clear" w:fill="FFFFFF"/>
          <w:lang w:val="en-US" w:eastAsia="zh-CN" w:bidi="ar"/>
        </w:rPr>
        <w:t>七、本通知由我局工程造价管理站负责解释。</w:t>
      </w:r>
    </w:p>
    <w:p w14:paraId="3702ECD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82"/>
        <w:jc w:val="left"/>
        <w:rPr>
          <w:color w:val="505050"/>
        </w:rPr>
      </w:pPr>
      <w:r>
        <w:rPr>
          <w:rFonts w:hint="eastAsia" w:ascii="宋体" w:hAnsi="宋体" w:eastAsia="宋体" w:cs="宋体"/>
          <w:b/>
          <w:bCs/>
          <w:i w:val="0"/>
          <w:iCs w:val="0"/>
          <w:caps w:val="0"/>
          <w:color w:val="505050"/>
          <w:spacing w:val="0"/>
          <w:kern w:val="0"/>
          <w:sz w:val="24"/>
          <w:szCs w:val="24"/>
          <w:bdr w:val="none" w:color="auto" w:sz="0" w:space="0"/>
          <w:shd w:val="clear" w:fill="FFFFFF"/>
          <w:lang w:val="en-US" w:eastAsia="zh-CN" w:bidi="ar"/>
        </w:rPr>
        <w:t>八、请州直各县、口岸建设局，根据本通知要求，做好每年两次（上半年、下半年）建设工程价格信息的发布工作，并报我局审批后执行。</w:t>
      </w:r>
    </w:p>
    <w:p w14:paraId="44A7B8D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80"/>
        <w:jc w:val="left"/>
        <w:rPr>
          <w:color w:val="505050"/>
        </w:rPr>
      </w:pPr>
      <w:r>
        <w:rPr>
          <w:rFonts w:hint="eastAsia" w:ascii="宋体" w:hAnsi="宋体" w:eastAsia="宋体" w:cs="宋体"/>
          <w:i w:val="0"/>
          <w:iCs w:val="0"/>
          <w:caps w:val="0"/>
          <w:color w:val="505050"/>
          <w:spacing w:val="0"/>
          <w:kern w:val="0"/>
          <w:sz w:val="24"/>
          <w:szCs w:val="24"/>
          <w:bdr w:val="none" w:color="auto" w:sz="0" w:space="0"/>
          <w:shd w:val="clear" w:fill="FFFFFF"/>
          <w:lang w:val="en-US" w:eastAsia="zh-CN" w:bidi="ar"/>
        </w:rPr>
        <w:t>附件：伊宁地区2012年8月建设工程价格信息。</w:t>
      </w:r>
    </w:p>
    <w:p w14:paraId="1B4BF66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3720"/>
        <w:jc w:val="left"/>
        <w:rPr>
          <w:color w:val="505050"/>
        </w:rPr>
      </w:pPr>
      <w:r>
        <w:rPr>
          <w:rFonts w:hint="eastAsia" w:ascii="宋体" w:hAnsi="宋体" w:eastAsia="宋体" w:cs="宋体"/>
          <w:i w:val="0"/>
          <w:iCs w:val="0"/>
          <w:caps w:val="0"/>
          <w:color w:val="505050"/>
          <w:spacing w:val="0"/>
          <w:kern w:val="0"/>
          <w:sz w:val="24"/>
          <w:szCs w:val="24"/>
          <w:bdr w:val="none" w:color="auto" w:sz="0" w:space="0"/>
          <w:shd w:val="clear" w:fill="FFFFFF"/>
          <w:lang w:val="en-US" w:eastAsia="zh-CN" w:bidi="ar"/>
        </w:rPr>
        <w:t> </w:t>
      </w:r>
    </w:p>
    <w:p w14:paraId="59B3C3B2">
      <w:pPr>
        <w:pStyle w:val="3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right"/>
        <w:rPr>
          <w:color w:val="505050"/>
        </w:rPr>
      </w:pPr>
      <w:r>
        <w:rPr>
          <w:rFonts w:hint="eastAsia" w:ascii="宋体" w:hAnsi="宋体" w:eastAsia="宋体" w:cs="宋体"/>
          <w:i w:val="0"/>
          <w:iCs w:val="0"/>
          <w:caps w:val="0"/>
          <w:color w:val="505050"/>
          <w:spacing w:val="0"/>
          <w:sz w:val="24"/>
          <w:szCs w:val="24"/>
          <w:bdr w:val="none" w:color="auto" w:sz="0" w:space="0"/>
          <w:shd w:val="clear" w:fill="FFFFFF"/>
        </w:rPr>
        <w:t>伊犁州住房和城乡建设局办公室</w:t>
      </w:r>
    </w:p>
    <w:p w14:paraId="09049D46">
      <w:pPr>
        <w:pStyle w:val="3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right"/>
        <w:rPr>
          <w:color w:val="505050"/>
        </w:rPr>
      </w:pPr>
      <w:r>
        <w:rPr>
          <w:rFonts w:hint="eastAsia" w:ascii="宋体" w:hAnsi="宋体" w:eastAsia="宋体" w:cs="宋体"/>
          <w:i w:val="0"/>
          <w:iCs w:val="0"/>
          <w:caps w:val="0"/>
          <w:color w:val="505050"/>
          <w:spacing w:val="0"/>
          <w:sz w:val="24"/>
          <w:szCs w:val="24"/>
          <w:bdr w:val="none" w:color="auto" w:sz="0" w:space="0"/>
          <w:shd w:val="clear" w:fill="FFFFFF"/>
        </w:rPr>
        <w:t>二〇一二年九月</w:t>
      </w:r>
    </w:p>
    <w:p w14:paraId="42AE8997">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68D9776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Theme="minorEastAsia" w:cstheme="minorBidi"/>
      <w:sz w:val="22"/>
      <w:szCs w:val="22"/>
      <w:lang w:val="en-US" w:eastAsia="en-US" w:bidi="ar-SA"/>
    </w:rPr>
  </w:style>
  <w:style w:type="paragraph" w:styleId="3">
    <w:name w:val="heading 1"/>
    <w:basedOn w:val="1"/>
    <w:next w:val="1"/>
    <w:link w:val="139"/>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3">
    <w:name w:val="Default Paragraph Font"/>
    <w:semiHidden/>
    <w:unhideWhenUsed/>
    <w:uiPriority w:val="1"/>
  </w:style>
  <w:style w:type="table" w:default="1" w:styleId="33">
    <w:name w:val="Normal Table"/>
    <w:semiHidden/>
    <w:unhideWhenUsed/>
    <w:uiPriority w:val="99"/>
    <w:tblPr>
      <w:tblCellMar>
        <w:top w:w="0" w:type="dxa"/>
        <w:left w:w="108" w:type="dxa"/>
        <w:bottom w:w="0" w:type="dxa"/>
        <w:right w:w="108" w:type="dxa"/>
      </w:tblCellMar>
    </w:tblPr>
  </w:style>
  <w:style w:type="paragraph" w:styleId="2">
    <w:name w:val="macro"/>
    <w:link w:val="148"/>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7"/>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5"/>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7"/>
    <w:unhideWhenUsed/>
    <w:uiPriority w:val="99"/>
    <w:pPr>
      <w:tabs>
        <w:tab w:val="center" w:pos="4680"/>
        <w:tab w:val="right" w:pos="9360"/>
      </w:tabs>
      <w:spacing w:after="0" w:line="240" w:lineRule="auto"/>
    </w:pPr>
  </w:style>
  <w:style w:type="paragraph" w:styleId="25">
    <w:name w:val="header"/>
    <w:basedOn w:val="1"/>
    <w:link w:val="136"/>
    <w:unhideWhenUsed/>
    <w:uiPriority w:val="99"/>
    <w:pPr>
      <w:tabs>
        <w:tab w:val="center" w:pos="4680"/>
        <w:tab w:val="right" w:pos="9360"/>
      </w:tabs>
      <w:spacing w:after="0" w:line="240" w:lineRule="auto"/>
    </w:pPr>
  </w:style>
  <w:style w:type="paragraph" w:styleId="26">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6"/>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styleId="31">
    <w:name w:val="List Continue 3"/>
    <w:basedOn w:val="1"/>
    <w:unhideWhenUsed/>
    <w:uiPriority w:val="99"/>
    <w:pPr>
      <w:spacing w:after="120"/>
      <w:ind w:left="1080"/>
      <w:contextualSpacing/>
    </w:pPr>
  </w:style>
  <w:style w:type="paragraph" w:styleId="32">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4">
    <w:name w:val="Table Grid"/>
    <w:basedOn w:val="33"/>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5">
    <w:name w:val="Light Shading"/>
    <w:basedOn w:val="33"/>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1"/>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2"/>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3"/>
    <w:basedOn w:val="33"/>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5"/>
    <w:basedOn w:val="33"/>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6"/>
    <w:basedOn w:val="33"/>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List"/>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qFormat/>
    <w:uiPriority w:val="22"/>
    <w:rPr>
      <w:b/>
      <w:bCs/>
    </w:rPr>
  </w:style>
  <w:style w:type="character" w:styleId="135">
    <w:name w:val="Emphasis"/>
    <w:basedOn w:val="133"/>
    <w:qFormat/>
    <w:uiPriority w:val="20"/>
    <w:rPr>
      <w:i/>
      <w:iCs/>
    </w:rPr>
  </w:style>
  <w:style w:type="character" w:customStyle="1" w:styleId="136">
    <w:name w:val="Header Char"/>
    <w:basedOn w:val="133"/>
    <w:link w:val="25"/>
    <w:qFormat/>
    <w:uiPriority w:val="99"/>
  </w:style>
  <w:style w:type="character" w:customStyle="1" w:styleId="137">
    <w:name w:val="Footer Char"/>
    <w:basedOn w:val="133"/>
    <w:link w:val="24"/>
    <w:uiPriority w:val="99"/>
  </w:style>
  <w:style w:type="paragraph" w:styleId="13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9">
    <w:name w:val="Heading 1 Char"/>
    <w:basedOn w:val="133"/>
    <w:link w:val="3"/>
    <w:uiPriority w:val="9"/>
    <w:rPr>
      <w:rFonts w:asciiTheme="majorHAnsi" w:hAnsiTheme="majorHAnsi" w:eastAsiaTheme="majorEastAsia" w:cstheme="majorBidi"/>
      <w:b/>
      <w:bCs/>
      <w:color w:val="376092" w:themeColor="accent1" w:themeShade="BF"/>
      <w:sz w:val="28"/>
      <w:szCs w:val="28"/>
    </w:rPr>
  </w:style>
  <w:style w:type="character" w:customStyle="1" w:styleId="140">
    <w:name w:val="Heading 2 Char"/>
    <w:basedOn w:val="133"/>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Heading 3 Char"/>
    <w:basedOn w:val="133"/>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Title Char"/>
    <w:basedOn w:val="133"/>
    <w:link w:val="32"/>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Subtitle Char"/>
    <w:basedOn w:val="133"/>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Body Text Char"/>
    <w:basedOn w:val="133"/>
    <w:link w:val="19"/>
    <w:uiPriority w:val="99"/>
  </w:style>
  <w:style w:type="character" w:customStyle="1" w:styleId="146">
    <w:name w:val="Body Text 2 Char"/>
    <w:basedOn w:val="133"/>
    <w:link w:val="28"/>
    <w:uiPriority w:val="99"/>
  </w:style>
  <w:style w:type="character" w:customStyle="1" w:styleId="147">
    <w:name w:val="Body Text 3 Char"/>
    <w:basedOn w:val="133"/>
    <w:link w:val="17"/>
    <w:uiPriority w:val="99"/>
    <w:rPr>
      <w:sz w:val="16"/>
      <w:szCs w:val="16"/>
    </w:rPr>
  </w:style>
  <w:style w:type="character" w:customStyle="1" w:styleId="148">
    <w:name w:val="Macro Text Char"/>
    <w:basedOn w:val="133"/>
    <w:link w:val="2"/>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Quote Char"/>
    <w:basedOn w:val="133"/>
    <w:link w:val="149"/>
    <w:uiPriority w:val="29"/>
    <w:rPr>
      <w:i/>
      <w:iCs/>
      <w:color w:val="000000" w:themeColor="text1"/>
      <w14:textFill>
        <w14:solidFill>
          <w14:schemeClr w14:val="tx1"/>
        </w14:solidFill>
      </w14:textFill>
    </w:rPr>
  </w:style>
  <w:style w:type="character" w:customStyle="1" w:styleId="151">
    <w:name w:val="Heading 4 Char"/>
    <w:basedOn w:val="133"/>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Heading 5 Char"/>
    <w:basedOn w:val="133"/>
    <w:link w:val="7"/>
    <w:semiHidden/>
    <w:uiPriority w:val="9"/>
    <w:rPr>
      <w:rFonts w:asciiTheme="majorHAnsi" w:hAnsiTheme="majorHAnsi" w:eastAsiaTheme="majorEastAsia" w:cstheme="majorBidi"/>
      <w:color w:val="254061" w:themeColor="accent1" w:themeShade="80"/>
    </w:rPr>
  </w:style>
  <w:style w:type="character" w:customStyle="1" w:styleId="153">
    <w:name w:val="Heading 6 Char"/>
    <w:basedOn w:val="133"/>
    <w:link w:val="8"/>
    <w:semiHidden/>
    <w:uiPriority w:val="9"/>
    <w:rPr>
      <w:rFonts w:asciiTheme="majorHAnsi" w:hAnsiTheme="majorHAnsi" w:eastAsiaTheme="majorEastAsia" w:cstheme="majorBidi"/>
      <w:i/>
      <w:iCs/>
      <w:color w:val="254061" w:themeColor="accent1" w:themeShade="80"/>
    </w:rPr>
  </w:style>
  <w:style w:type="character" w:customStyle="1" w:styleId="154">
    <w:name w:val="Heading 7 Char"/>
    <w:basedOn w:val="133"/>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Heading 8 Char"/>
    <w:basedOn w:val="133"/>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Heading 9 Char"/>
    <w:basedOn w:val="133"/>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Intense Quote Char"/>
    <w:basedOn w:val="133"/>
    <w:link w:val="157"/>
    <w:uiPriority w:val="30"/>
    <w:rPr>
      <w:b/>
      <w:bCs/>
      <w:i/>
      <w:iCs/>
      <w:color w:val="4F81BD" w:themeColor="accent1"/>
      <w14:textFill>
        <w14:solidFill>
          <w14:schemeClr w14:val="accent1"/>
        </w14:solidFill>
      </w14:textFill>
    </w:rPr>
  </w:style>
  <w:style w:type="character" w:customStyle="1" w:styleId="159">
    <w:name w:val="Subtle Emphasis"/>
    <w:basedOn w:val="1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Intense Emphasis"/>
    <w:basedOn w:val="133"/>
    <w:qFormat/>
    <w:uiPriority w:val="21"/>
    <w:rPr>
      <w:b/>
      <w:bCs/>
      <w:i/>
      <w:iCs/>
      <w:color w:val="4F81BD" w:themeColor="accent1"/>
      <w14:textFill>
        <w14:solidFill>
          <w14:schemeClr w14:val="accent1"/>
        </w14:solidFill>
      </w14:textFill>
    </w:rPr>
  </w:style>
  <w:style w:type="character" w:customStyle="1" w:styleId="161">
    <w:name w:val="Subtle Reference"/>
    <w:basedOn w:val="133"/>
    <w:qFormat/>
    <w:uiPriority w:val="31"/>
    <w:rPr>
      <w:smallCaps/>
      <w:color w:val="C0504D" w:themeColor="accent2"/>
      <w:u w:val="single"/>
      <w14:textFill>
        <w14:solidFill>
          <w14:schemeClr w14:val="accent2"/>
        </w14:solidFill>
      </w14:textFill>
    </w:rPr>
  </w:style>
  <w:style w:type="character" w:customStyle="1" w:styleId="162">
    <w:name w:val="Intense Reference"/>
    <w:basedOn w:val="133"/>
    <w:qFormat/>
    <w:uiPriority w:val="32"/>
    <w:rPr>
      <w:b/>
      <w:bCs/>
      <w:smallCaps/>
      <w:color w:val="C0504D" w:themeColor="accent2"/>
      <w:spacing w:val="5"/>
      <w:u w:val="single"/>
      <w14:textFill>
        <w14:solidFill>
          <w14:schemeClr w14:val="accent2"/>
        </w14:solidFill>
      </w14:textFill>
    </w:rPr>
  </w:style>
  <w:style w:type="character" w:customStyle="1" w:styleId="163">
    <w:name w:val="Book Title"/>
    <w:basedOn w:val="133"/>
    <w:qFormat/>
    <w:uiPriority w:val="33"/>
    <w:rPr>
      <w:b/>
      <w:bCs/>
      <w:smallCaps/>
      <w:spacing w:val="5"/>
    </w:rPr>
  </w:style>
  <w:style w:type="paragraph" w:customStyle="1" w:styleId="164">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1137</Words>
  <Characters>1233</Characters>
  <Lines>0</Lines>
  <Paragraphs>0</Paragraphs>
  <TotalTime>0</TotalTime>
  <ScaleCrop>false</ScaleCrop>
  <LinksUpToDate>false</LinksUpToDate>
  <CharactersWithSpaces>1234</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yangl</cp:lastModifiedBy>
  <dcterms:modified xsi:type="dcterms:W3CDTF">2026-07-22T02:50:02Z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eyJoZGlkIjoiOGVhOTFkNTM5YjRlNGNkZmM0MDIwZjU5NmFkOTlhYjcifQ==</vt:lpwstr>
  </property>
  <property fmtid="{D5CDD505-2E9C-101B-9397-08002B2CF9AE}" pid="3" name="KSOProductBuildVer">
    <vt:lpwstr>2052-12.1.0.26391</vt:lpwstr>
  </property>
  <property fmtid="{D5CDD505-2E9C-101B-9397-08002B2CF9AE}" pid="4" name="ICV">
    <vt:lpwstr>C3648196F0204B32942B2232D71F3868_12</vt:lpwstr>
  </property>
</Properties>
</file>