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73716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关于发布阿勒泰地区各县（市）及北屯镇2015年第四季度建设工程价格信息的通知</w:t>
      </w:r>
    </w:p>
    <w:p w14:paraId="7AA1E8C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jc w:val="center"/>
        <w:rPr>
          <w:rFonts w:ascii="宋体" w:hAnsi="宋体" w:eastAsia="宋体" w:cs="宋体"/>
          <w:color w:val="505050"/>
          <w:sz w:val="18"/>
          <w:szCs w:val="18"/>
        </w:rPr>
      </w:pPr>
      <w:r>
        <w:rPr>
          <w:rFonts w:hint="eastAsia" w:ascii="宋体" w:hAnsi="宋体" w:eastAsia="宋体" w:cs="宋体"/>
          <w:i w:val="0"/>
          <w:iCs w:val="0"/>
          <w:caps w:val="0"/>
          <w:color w:val="505050"/>
          <w:spacing w:val="0"/>
          <w:sz w:val="18"/>
          <w:szCs w:val="18"/>
          <w:bdr w:val="none" w:color="auto" w:sz="0" w:space="0"/>
        </w:rPr>
        <w:t>阿地住建造字[2016]1号</w:t>
      </w:r>
    </w:p>
    <w:p w14:paraId="53B574F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br w:type="textWrapping"/>
      </w:r>
      <w:r>
        <w:rPr>
          <w:rFonts w:hint="eastAsia" w:ascii="宋体" w:hAnsi="宋体" w:eastAsia="宋体" w:cs="宋体"/>
          <w:i w:val="0"/>
          <w:iCs w:val="0"/>
          <w:caps w:val="0"/>
          <w:color w:val="505050"/>
          <w:spacing w:val="0"/>
          <w:sz w:val="21"/>
          <w:szCs w:val="21"/>
          <w:bdr w:val="none" w:color="auto" w:sz="0" w:space="0"/>
        </w:rPr>
        <w:t>各县（市、景区）住建局、设计、施工单位、有关建设单位：</w:t>
      </w:r>
    </w:p>
    <w:p w14:paraId="1B72FA8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为做好阿勒泰地区建设工程（包括：建筑、装饰装修、安装、市政、仿古建筑及园林、房屋修缮及抗震加固工程）人工、材料、机械台班价格信息发布工作，根据阿勒泰各县（市）及北屯镇建筑市场价格变化情况，地区工程造价管理站编制了《阿勒泰地区各县（市）及北屯镇2015年第四季度建设工程价格信息》，现予以发布，作为建设工程计价的参考依据，并就有关事项通知如下：</w:t>
      </w:r>
    </w:p>
    <w:p w14:paraId="3EB9EEA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一、根据目前建筑市场价格变化情况，执行现行建筑、装饰、安装、市政、仿古建筑及园林、抗震加固计价定额编制招标控制价时，建筑、装饰装修、安装工程人工单价分别按74.5元/工日、81.9元/工日、76.3元/工日执行，其价差部分只计取税金。 </w:t>
      </w:r>
    </w:p>
    <w:p w14:paraId="5ED733F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二、定额内材料价格的调整</w:t>
      </w:r>
    </w:p>
    <w:p w14:paraId="2002BFE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“附件”中“综合信息价”为预算价，使用时应与定额内预算价找差，未发布的材料价格信息，可按发承包双方认定价格与定额内预算价找差，以上价差部分只计税金。</w:t>
      </w:r>
    </w:p>
    <w:p w14:paraId="2AB9C26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鉴于目前建筑市场材料价格变动幅度较大，承发包双方也可依据双方认可的材料价格进行计算，并在合同中约定。</w:t>
      </w:r>
    </w:p>
    <w:p w14:paraId="5DC0EED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三、定额内机械费调整 </w:t>
      </w:r>
    </w:p>
    <w:p w14:paraId="02651FE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1、仿古建筑及园林工程定额内机械费的调整，在1997年仿古建筑及园林工程预算定额中以百分比计算的机械费为基数上调12.46%，调整部分不参与取费，只计税金。</w:t>
      </w:r>
    </w:p>
    <w:p w14:paraId="34C1358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2、房屋修缮工程定额内机械费的调整，在1999年房屋修缮工程预算定额基础上，以定额内机械费加中小型机械费为计算基数上调4.06%，调整部分不参与取费，只计税金。</w:t>
      </w:r>
    </w:p>
    <w:p w14:paraId="23819B3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四、本通知由我局建设工程造价管理站负责解释 。</w:t>
      </w:r>
    </w:p>
    <w:p w14:paraId="13BDA0E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p>
    <w:p w14:paraId="7C4EAAF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联系人：黎海琼         联系电话：0906—2125771</w:t>
      </w:r>
    </w:p>
    <w:p w14:paraId="51C99A0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p>
    <w:p w14:paraId="3A4769C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p>
    <w:p w14:paraId="1087CD5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附件：2015年第四季度阿勒泰地区各县（市）及北屯镇建设工程价格信息(附件可登陆阿勒泰地区住房和城乡建设局-标准定额栏目查询。</w:t>
      </w:r>
    </w:p>
    <w:p w14:paraId="58AD1CB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网址：http://jsj.xjalt.gov.cn</w:t>
      </w:r>
    </w:p>
    <w:p w14:paraId="671C607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p>
    <w:p w14:paraId="7CE8EB4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p>
    <w:p w14:paraId="165DFE1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p>
    <w:p w14:paraId="1C589F4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p>
    <w:p w14:paraId="26922ED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pPr>
      <w:r>
        <w:rPr>
          <w:rFonts w:hint="eastAsia" w:ascii="宋体" w:hAnsi="宋体" w:eastAsia="宋体" w:cs="宋体"/>
          <w:i w:val="0"/>
          <w:iCs w:val="0"/>
          <w:caps w:val="0"/>
          <w:color w:val="505050"/>
          <w:spacing w:val="0"/>
          <w:sz w:val="21"/>
          <w:szCs w:val="21"/>
          <w:bdr w:val="none" w:color="auto" w:sz="0" w:space="0"/>
        </w:rPr>
        <w:t>2016年1月12日</w:t>
      </w:r>
    </w:p>
    <w:p w14:paraId="41469F47">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2006368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2">
    <w:name w:val="macro"/>
    <w:link w:val="148"/>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7"/>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5"/>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7"/>
    <w:unhideWhenUsed/>
    <w:uiPriority w:val="99"/>
    <w:pPr>
      <w:tabs>
        <w:tab w:val="center" w:pos="4680"/>
        <w:tab w:val="right" w:pos="9360"/>
      </w:tabs>
      <w:spacing w:after="0" w:line="240" w:lineRule="auto"/>
    </w:pPr>
  </w:style>
  <w:style w:type="paragraph" w:styleId="25">
    <w:name w:val="header"/>
    <w:basedOn w:val="1"/>
    <w:link w:val="136"/>
    <w:unhideWhenUsed/>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6"/>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31">
    <w:name w:val="List Continue 3"/>
    <w:basedOn w:val="1"/>
    <w:unhideWhenUsed/>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5"/>
    <w:qFormat/>
    <w:uiPriority w:val="99"/>
  </w:style>
  <w:style w:type="character" w:customStyle="1" w:styleId="137">
    <w:name w:val="Footer Char"/>
    <w:basedOn w:val="133"/>
    <w:link w:val="24"/>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19"/>
    <w:uiPriority w:val="99"/>
  </w:style>
  <w:style w:type="character" w:customStyle="1" w:styleId="146">
    <w:name w:val="Body Text 2 Char"/>
    <w:basedOn w:val="133"/>
    <w:link w:val="28"/>
    <w:uiPriority w:val="99"/>
  </w:style>
  <w:style w:type="character" w:customStyle="1" w:styleId="147">
    <w:name w:val="Body Text 3 Char"/>
    <w:basedOn w:val="133"/>
    <w:link w:val="17"/>
    <w:uiPriority w:val="99"/>
    <w:rPr>
      <w:sz w:val="16"/>
      <w:szCs w:val="16"/>
    </w:rPr>
  </w:style>
  <w:style w:type="character" w:customStyle="1" w:styleId="148">
    <w:name w:val="Macro Text Char"/>
    <w:basedOn w:val="133"/>
    <w:link w:val="2"/>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uiPriority w:val="29"/>
    <w:rPr>
      <w:i/>
      <w:iCs/>
      <w:color w:val="000000" w:themeColor="text1"/>
      <w14:textFill>
        <w14:solidFill>
          <w14:schemeClr w14:val="tx1"/>
        </w14:solidFill>
      </w14:textFill>
    </w:rPr>
  </w:style>
  <w:style w:type="character" w:customStyle="1" w:styleId="151">
    <w:name w:val="Heading 4 Char"/>
    <w:basedOn w:val="133"/>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868</Words>
  <Characters>1018</Characters>
  <Lines>0</Lines>
  <Paragraphs>0</Paragraphs>
  <TotalTime>0</TotalTime>
  <ScaleCrop>false</ScaleCrop>
  <LinksUpToDate>false</LinksUpToDate>
  <CharactersWithSpaces>1030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2026-07-21T02:25:39Z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129B40AA7D2A461FA5882FC7B216788A_12</vt:lpwstr>
  </property>
</Properties>
</file>