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EF6" w:rsidRPr="00951EF6" w:rsidRDefault="00951EF6" w:rsidP="00951EF6">
      <w:pPr>
        <w:widowControl/>
        <w:jc w:val="center"/>
        <w:rPr>
          <w:rFonts w:ascii="Verdana" w:eastAsia="宋体" w:hAnsi="Verdana" w:cs="宋体"/>
          <w:b/>
          <w:bCs/>
          <w:color w:val="000000"/>
          <w:kern w:val="0"/>
          <w:sz w:val="33"/>
          <w:szCs w:val="33"/>
        </w:rPr>
      </w:pPr>
      <w:r w:rsidRPr="00951EF6">
        <w:rPr>
          <w:rFonts w:ascii="Verdana" w:eastAsia="宋体" w:hAnsi="Verdana" w:cs="宋体"/>
          <w:b/>
          <w:bCs/>
          <w:color w:val="000000"/>
          <w:kern w:val="0"/>
          <w:sz w:val="33"/>
          <w:szCs w:val="33"/>
        </w:rPr>
        <w:t>关于发布阿克苏地区</w:t>
      </w:r>
      <w:r w:rsidRPr="00951EF6">
        <w:rPr>
          <w:rFonts w:ascii="Verdana" w:eastAsia="宋体" w:hAnsi="Verdana" w:cs="宋体"/>
          <w:b/>
          <w:bCs/>
          <w:color w:val="000000"/>
          <w:kern w:val="0"/>
          <w:sz w:val="33"/>
          <w:szCs w:val="33"/>
        </w:rPr>
        <w:t>2015</w:t>
      </w:r>
      <w:r w:rsidRPr="00951EF6">
        <w:rPr>
          <w:rFonts w:ascii="Verdana" w:eastAsia="宋体" w:hAnsi="Verdana" w:cs="宋体"/>
          <w:b/>
          <w:bCs/>
          <w:color w:val="000000"/>
          <w:kern w:val="0"/>
          <w:sz w:val="33"/>
          <w:szCs w:val="33"/>
        </w:rPr>
        <w:t>年第二季度建设工程价格信息的通知</w:t>
      </w:r>
    </w:p>
    <w:p w:rsidR="00951EF6" w:rsidRPr="00951EF6" w:rsidRDefault="00951EF6" w:rsidP="00951EF6">
      <w:pPr>
        <w:widowControl/>
        <w:jc w:val="center"/>
        <w:outlineLvl w:val="1"/>
        <w:rPr>
          <w:rFonts w:ascii="微软雅黑" w:eastAsia="微软雅黑" w:hAnsi="微软雅黑" w:cs="宋体"/>
          <w:b/>
          <w:bCs/>
          <w:color w:val="505050"/>
          <w:kern w:val="0"/>
          <w:sz w:val="18"/>
          <w:szCs w:val="18"/>
        </w:rPr>
      </w:pPr>
      <w:r w:rsidRPr="00951EF6">
        <w:rPr>
          <w:rFonts w:ascii="微软雅黑" w:eastAsia="微软雅黑" w:hAnsi="微软雅黑" w:cs="宋体" w:hint="eastAsia"/>
          <w:b/>
          <w:bCs/>
          <w:color w:val="505050"/>
          <w:kern w:val="0"/>
          <w:sz w:val="18"/>
          <w:szCs w:val="18"/>
        </w:rPr>
        <w:t>阿地建字〔2015〕80号</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br/>
        <w:t>阿克苏纺织工业城开发区（管委会）规划建设局，库车经济技术开发区（管委会）规划建设环保局,各县（市）住房和城乡建设局，施工企业、造价咨询单位及各相关单位：</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为了做好阿克苏地区建设工程（包括：建筑、装饰装修、安装、市政、房屋修缮及抗震加固工程）人工、材料、机械台班价格信息发布工作，阿克苏地区造价管理站按照自治区有关规定，根据我地区建材市场及人工市场价格变化情况，测算编制了《阿克苏地区2015年第二季度建设工程价格信息》，现予以发布，并就有关事项通知如下：</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一、根据目前建筑市场价格变化情况，执行现行建筑、装饰、安装、市政、房屋修缮及抗震加固工程计价定额编制招标控制价时，人工费单价按《关于发布阿克苏地区2015年上半年建设工程定额市场人工单价信息的通知》阿地建字【2015】79号文件标准执行。</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二、根据目前建筑市场变化情况，在编制招标控制价时，材料价格可参照本文 “附件”中“综合信息价”为预算价（到工地价）与定额内预算价（到工地价）找差，未发布的材料价格信息，可按发承包双方认定价格（到工地价）与定额内预算价（到工地价）找差，以上价差部分只计税金。</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三、建设工程定额计价价格信息</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（一）关于定额内材料单价的调整</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1、建筑、安装、装饰、市政、抗震加固工程材料价格可参照 “附件”中所列价格信息进行调整，未发布市场价的材料价格信息，应参照市场价组成预算价与定额内预算价找差，价差部分只计税金，不计取工程费用。 </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lastRenderedPageBreak/>
        <w:t> 2、 沙雅县、新和县使用库木土拉电站附近（距新和18Km）砂石料和库车县条砖时，其超出定额运距部分所发生的运差，可扣除原定额短途运费，增加长途运费。运差只计取税金，不参与取费。</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3、 其余各县、农一师各团场除注明者外，均执行“附件”中所列价格信息进行调整，主要材料超出运距时，亦扣除短途运费增加长途运费，运差部分只计取税金。</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4、市政工程</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市政工程按《关于阿克苏地区执行&lt;新疆维吾尔自治区市政工程消耗量定额2012年乌鲁木齐地区单位估价汇总表、新疆维吾尔自治区市政工程费用定额（2012年）&gt;的通知》阿地建字[2015]42号文件执行。 </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5、房屋修缮工程</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（1）定额内主材按“附件”中所列价格信息与相应定额内材料预算价找差，未列入“附件”的其它主材可按发承包双方认定的发票供应价组成预算价与定额内预算价找差，价差部分不参与取费，只计取税金。</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（2） 未列入“附件”中的安装工程定额内主材和装饰部分主材可根据发承包双方认定的发票供应价组成预算价与定额内预算价找差，价差不参与取费，只计税金。</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3）仿古建筑及园林工程中的砼、砂浆配合比按照自治区建设厅《关于发布〈二00九年自治区建设工程定额混凝土砂浆配合比〉的通知》（新建造[2009]2号）执行。新旧混凝土砂浆配合比之间的量差计入工程直接费，参与取费，价差不参与取费，只计税金。</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6、鉴于目前建筑市场材料价格变动幅度较大，若发包人与承包方共同认可，其价格可依据发承包双方认可的发票供应价组成预算价与定额内预算价找差，价差部分不参与取费，只计取税金，并在合同内约定。</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lastRenderedPageBreak/>
        <w:t>（二）建筑、安装、装饰装修、抗震加固、市政工程的人工调整按照阿地建字[2015]79号文件规定调整。</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（三）房屋修缮的人工、机械按如下规定调整。</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1、人工按阿地建字[2015]79号文件规定执行,建筑人工单价75.04元/工日,安装、机械人工单价76.76元/工日,与原定额人工单价进行补差，价差部分只计取税金，不计取其他费用。</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2、机械费在99定额基础上以定额内机械费加中小型机械费为基数上调6.06%，调整部分不参与取费，只计取税金。</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四、凡进行招投标的工程结算应以中标价为计算基础，其价差调整应在合同中约定。</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五、有下列情况不执行本通知的规定</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（一）未使用《阿克苏地区2011年估价表》者。</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二）市政工程未按《关于阿克苏地区执行&lt;新疆维吾尔自治区市政工程消耗量定额2012年乌鲁木齐地区单位估价汇总表、新疆维吾尔自治区市政工程费用定额（2012年）&gt;的通知》阿地建字【2015】42号执行的项目。</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（三）通知下发之日已办理完结算的工程。</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六、本通知解释权属地区建设工程造价管理站。</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附件：1、阿克苏地区2015年第二季度建筑、安装、装饰装修、市政、房屋修缮及抗震加固工程材料价格信息</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        2、阿克苏地区2015年第二季度库车、沙雅、新和、拜城、温宿、阿瓦提、柯坪、乌什县建筑、安装、装饰装修、市政、房屋修缮及抗震加固工程材料价格信息</w:t>
      </w:r>
    </w:p>
    <w:p w:rsidR="00951EF6" w:rsidRPr="00951EF6" w:rsidRDefault="00951EF6" w:rsidP="00951EF6">
      <w:pPr>
        <w:widowControl/>
        <w:ind w:firstLine="480"/>
        <w:jc w:val="left"/>
        <w:rPr>
          <w:rFonts w:ascii="微软雅黑" w:eastAsia="微软雅黑" w:hAnsi="微软雅黑" w:cs="宋体" w:hint="eastAsia"/>
          <w:color w:val="505050"/>
          <w:kern w:val="0"/>
          <w:szCs w:val="21"/>
        </w:rPr>
      </w:pPr>
    </w:p>
    <w:p w:rsidR="00951EF6" w:rsidRPr="00951EF6" w:rsidRDefault="00951EF6" w:rsidP="00951EF6">
      <w:pPr>
        <w:widowControl/>
        <w:ind w:firstLine="480"/>
        <w:jc w:val="left"/>
        <w:rPr>
          <w:rFonts w:ascii="微软雅黑" w:eastAsia="微软雅黑" w:hAnsi="微软雅黑" w:cs="宋体" w:hint="eastAsia"/>
          <w:color w:val="505050"/>
          <w:kern w:val="0"/>
          <w:szCs w:val="21"/>
        </w:rPr>
      </w:pPr>
    </w:p>
    <w:p w:rsidR="00951EF6" w:rsidRPr="00951EF6" w:rsidRDefault="00951EF6" w:rsidP="00951EF6">
      <w:pPr>
        <w:widowControl/>
        <w:ind w:firstLine="480"/>
        <w:jc w:val="left"/>
        <w:rPr>
          <w:rFonts w:ascii="微软雅黑" w:eastAsia="微软雅黑" w:hAnsi="微软雅黑" w:cs="宋体" w:hint="eastAsia"/>
          <w:color w:val="505050"/>
          <w:kern w:val="0"/>
          <w:szCs w:val="21"/>
        </w:rPr>
      </w:pPr>
    </w:p>
    <w:p w:rsidR="00951EF6" w:rsidRPr="00951EF6" w:rsidRDefault="00951EF6" w:rsidP="00951EF6">
      <w:pPr>
        <w:widowControl/>
        <w:ind w:firstLine="480"/>
        <w:jc w:val="left"/>
        <w:rPr>
          <w:rFonts w:ascii="微软雅黑" w:eastAsia="微软雅黑" w:hAnsi="微软雅黑" w:cs="宋体" w:hint="eastAsia"/>
          <w:color w:val="505050"/>
          <w:kern w:val="0"/>
          <w:szCs w:val="21"/>
        </w:rPr>
      </w:pPr>
    </w:p>
    <w:p w:rsidR="00951EF6" w:rsidRPr="00951EF6" w:rsidRDefault="00951EF6" w:rsidP="00951EF6">
      <w:pPr>
        <w:widowControl/>
        <w:ind w:firstLine="480"/>
        <w:jc w:val="righ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阿克苏地区住房和城乡建设局</w:t>
      </w:r>
    </w:p>
    <w:p w:rsidR="00951EF6" w:rsidRPr="00951EF6" w:rsidRDefault="00951EF6" w:rsidP="00951EF6">
      <w:pPr>
        <w:widowControl/>
        <w:ind w:firstLine="480"/>
        <w:jc w:val="right"/>
        <w:rPr>
          <w:rFonts w:ascii="微软雅黑" w:eastAsia="微软雅黑" w:hAnsi="微软雅黑" w:cs="宋体" w:hint="eastAsia"/>
          <w:color w:val="505050"/>
          <w:kern w:val="0"/>
          <w:szCs w:val="21"/>
        </w:rPr>
      </w:pPr>
      <w:r w:rsidRPr="00951EF6">
        <w:rPr>
          <w:rFonts w:ascii="微软雅黑" w:eastAsia="微软雅黑" w:hAnsi="微软雅黑" w:cs="宋体" w:hint="eastAsia"/>
          <w:color w:val="505050"/>
          <w:kern w:val="0"/>
          <w:szCs w:val="21"/>
        </w:rPr>
        <w:t>2015年8月4日</w:t>
      </w:r>
    </w:p>
    <w:p w:rsidR="00A713FA" w:rsidRDefault="00A713FA">
      <w:bookmarkStart w:id="0" w:name="_GoBack"/>
      <w:bookmarkEnd w:id="0"/>
    </w:p>
    <w:sectPr w:rsidR="00A713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138"/>
    <w:rsid w:val="00951EF6"/>
    <w:rsid w:val="00A713FA"/>
    <w:rsid w:val="00B32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68259F-7837-4503-8D4B-DBF3E1F19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578250">
      <w:bodyDiv w:val="1"/>
      <w:marLeft w:val="0"/>
      <w:marRight w:val="0"/>
      <w:marTop w:val="0"/>
      <w:marBottom w:val="0"/>
      <w:divBdr>
        <w:top w:val="none" w:sz="0" w:space="0" w:color="auto"/>
        <w:left w:val="none" w:sz="0" w:space="0" w:color="auto"/>
        <w:bottom w:val="none" w:sz="0" w:space="0" w:color="auto"/>
        <w:right w:val="none" w:sz="0" w:space="0" w:color="auto"/>
      </w:divBdr>
      <w:divsChild>
        <w:div w:id="1790273865">
          <w:marLeft w:val="0"/>
          <w:marRight w:val="0"/>
          <w:marTop w:val="0"/>
          <w:marBottom w:val="150"/>
          <w:divBdr>
            <w:top w:val="none" w:sz="0" w:space="0" w:color="auto"/>
            <w:left w:val="none" w:sz="0" w:space="0" w:color="auto"/>
            <w:bottom w:val="none" w:sz="0" w:space="0" w:color="auto"/>
            <w:right w:val="none" w:sz="0" w:space="0" w:color="auto"/>
          </w:divBdr>
        </w:div>
        <w:div w:id="711811664">
          <w:marLeft w:val="218"/>
          <w:marRight w:val="218"/>
          <w:marTop w:val="0"/>
          <w:marBottom w:val="0"/>
          <w:divBdr>
            <w:top w:val="none" w:sz="0" w:space="0" w:color="auto"/>
            <w:left w:val="none" w:sz="0" w:space="0" w:color="auto"/>
            <w:bottom w:val="none" w:sz="0" w:space="0" w:color="auto"/>
            <w:right w:val="none" w:sz="0" w:space="0" w:color="auto"/>
          </w:divBdr>
          <w:divsChild>
            <w:div w:id="623854651">
              <w:marLeft w:val="0"/>
              <w:marRight w:val="0"/>
              <w:marTop w:val="0"/>
              <w:marBottom w:val="150"/>
              <w:divBdr>
                <w:top w:val="none" w:sz="0" w:space="0" w:color="auto"/>
                <w:left w:val="none" w:sz="0" w:space="0" w:color="auto"/>
                <w:bottom w:val="none" w:sz="0" w:space="0" w:color="auto"/>
                <w:right w:val="none" w:sz="0" w:space="0" w:color="auto"/>
              </w:divBdr>
              <w:divsChild>
                <w:div w:id="977806059">
                  <w:marLeft w:val="0"/>
                  <w:marRight w:val="0"/>
                  <w:marTop w:val="0"/>
                  <w:marBottom w:val="0"/>
                  <w:divBdr>
                    <w:top w:val="none" w:sz="0" w:space="0" w:color="auto"/>
                    <w:left w:val="none" w:sz="0" w:space="0" w:color="auto"/>
                    <w:bottom w:val="none" w:sz="0" w:space="0" w:color="auto"/>
                    <w:right w:val="none" w:sz="0" w:space="0" w:color="auto"/>
                  </w:divBdr>
                  <w:divsChild>
                    <w:div w:id="940185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1632</Characters>
  <Application>Microsoft Office Word</Application>
  <DocSecurity>0</DocSecurity>
  <Lines>13</Lines>
  <Paragraphs>3</Paragraphs>
  <ScaleCrop>false</ScaleCrop>
  <Company>HP Inc.</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glodon</dc:creator>
  <cp:keywords/>
  <dc:description/>
  <cp:lastModifiedBy>glodon</cp:lastModifiedBy>
  <cp:revision>3</cp:revision>
  <dcterms:created xsi:type="dcterms:W3CDTF">2026-07-23T03:22:00Z</dcterms:created>
  <dcterms:modified xsi:type="dcterms:W3CDTF">2026-07-23T03:22:00Z</dcterms:modified>
</cp:coreProperties>
</file>