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5A4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关于发布奎屯地区2014年12月份建设工程价格信息的通知</w:t>
      </w:r>
    </w:p>
    <w:p w14:paraId="428678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奎建造〔2015〕01号</w:t>
      </w:r>
    </w:p>
    <w:p w14:paraId="53B3BD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olor w:val="000000"/>
          <w:sz w:val="30"/>
          <w:szCs w:val="3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</w:rPr>
        <w:t>关于发布奎屯地区2014年12月份建设工程价格信息的通知</w:t>
      </w:r>
    </w:p>
    <w:p w14:paraId="237D867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奎建造〔2015〕01号</w:t>
      </w:r>
    </w:p>
    <w:p w14:paraId="4F654F6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市属及驻市各有关单位：</w:t>
      </w:r>
    </w:p>
    <w:p w14:paraId="423CDA7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奎屯地区建筑工程人工、材料、机械台班价格信息发布工作，根据奎屯地区人工、机械和建材市场价格的变化情况，我局工程建设标准造价管理站制定了《奎屯地区2014年12月份建设工程价格信息》，现予以发布，作为建设工程计价的参考。现将有关事项通知如下：</w:t>
      </w:r>
    </w:p>
    <w:p w14:paraId="2C35364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</w:t>
      </w:r>
    </w:p>
    <w:p w14:paraId="31F13F7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</w:t>
      </w:r>
    </w:p>
    <w:p w14:paraId="0626B08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材料价格信息可参考《奎屯地区2014年12月份建设工程价格信息》（附件），也可按市场价格。</w:t>
      </w:r>
    </w:p>
    <w:p w14:paraId="017BF64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</w:t>
      </w:r>
    </w:p>
    <w:p w14:paraId="29FCB9A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机械台班价格可参考新建总造字[2003]52号文件《2003年新疆施工机械台班费用参考单价》，也可按市场价格。</w:t>
      </w:r>
    </w:p>
    <w:p w14:paraId="0EBD038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</w:t>
      </w:r>
    </w:p>
    <w:p w14:paraId="1ECA528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人工费单价价格可参考奎建造【2014】04号文件的规定执行，也可按市场价格。</w:t>
      </w:r>
    </w:p>
    <w:p w14:paraId="32FA579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0065F2A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02B557B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市政工程、仿古建筑及园林工程、房屋修缮工程定额人工费单价的通知》奎建造【2013】02号文件、《关于调整奎屯地区仿古建筑及园林工程、房屋修缮工程定额人工费单价的通知》奎建造【2014】11号文件的规定执行。</w:t>
      </w:r>
    </w:p>
    <w:p w14:paraId="4DB993A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5169C4C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4C30D5F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从2014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1D56EBC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（调差价的材料预算价格中，要扣减乌鲁木齐地区与奎屯地区短途材料运费差价）</w:t>
      </w:r>
    </w:p>
    <w:p w14:paraId="74ACC30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5B9D62F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4FD8497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鉴于目前建筑市场材料价格变动幅度较大，若发包方和承包方共同认可，其价格按甲、乙双方认可的材料价格进行计算，并在合同中约定。</w:t>
      </w:r>
    </w:p>
    <w:p w14:paraId="66267D6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(三)定额内机械费调整</w:t>
      </w:r>
    </w:p>
    <w:p w14:paraId="1A3EF65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1、仿古建筑及园林工程：在97年定额基础上，以定额内机械费为基数上调15.13%，调整部分只计税金。</w:t>
      </w:r>
    </w:p>
    <w:p w14:paraId="314A879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2、房屋修缮工程：在99定额基础上，以定额内机械费加中小型机械费为基数上调4.93%，调整部分只计税金。</w:t>
      </w:r>
    </w:p>
    <w:p w14:paraId="3B3AE9A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三、关于费用定额的调整</w:t>
      </w:r>
    </w:p>
    <w:p w14:paraId="427B3F3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1、市政工程、仿古建筑及园林工程、房屋修缮工程的费用调整执行奎建造[2005]5号文件有关规定。</w:t>
      </w:r>
    </w:p>
    <w:p w14:paraId="023975B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2、关于费用定额中“工程定额测定费”的调整，按照奎造[2009]1号文件执行。</w:t>
      </w:r>
    </w:p>
    <w:p w14:paraId="369E57B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四、凡已完成招投标的工程项目，仍按原约定执行；已办理竣工结算的工程项目不再做调整。</w:t>
      </w:r>
    </w:p>
    <w:p w14:paraId="7325D1C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五、本通知由奎屯市建设局工程建设标准造价管理站负责解释。</w:t>
      </w:r>
    </w:p>
    <w:p w14:paraId="5BE631B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七、本通知执行日期为二○一四年十二月一日至二○一四年十二月三十一日。</w:t>
      </w:r>
    </w:p>
    <w:p w14:paraId="66BC56B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280997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EE958D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附件：奎屯地区2014年12月份建设工程价格信息。</w:t>
      </w:r>
    </w:p>
    <w:p w14:paraId="45460A0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DD280B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C7E6FC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AD4116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901BA6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E92B2E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E7805B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二O一五年一月十五日</w:t>
      </w:r>
    </w:p>
    <w:p w14:paraId="0FFA8D9F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1AF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1155</Words>
  <Characters>1278</Characters>
  <Lines>0</Lines>
  <Paragraphs>0</Paragraphs>
  <TotalTime>0</TotalTime>
  <ScaleCrop>false</ScaleCrop>
  <LinksUpToDate>false</LinksUpToDate>
  <CharactersWithSpaces>1280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EC88C977D2834CDFAB17B25CFCE9F4EA_12</vt:lpwstr>
  </property>
</Properties>
</file>