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31A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w:t>
      </w:r>
      <w:bookmarkStart w:id="0" w:name="_GoBack"/>
      <w:r>
        <w:rPr>
          <w:rFonts w:hint="default" w:ascii="Verdana" w:hAnsi="Verdana" w:eastAsia="宋体" w:cs="Verdana"/>
          <w:b/>
          <w:bCs/>
          <w:i w:val="0"/>
          <w:iCs w:val="0"/>
          <w:caps w:val="0"/>
          <w:color w:val="000000"/>
          <w:spacing w:val="0"/>
          <w:kern w:val="0"/>
          <w:sz w:val="33"/>
          <w:szCs w:val="33"/>
          <w:bdr w:val="none" w:color="auto" w:sz="0" w:space="0"/>
          <w:lang w:val="en-US" w:eastAsia="zh-CN" w:bidi="ar"/>
        </w:rPr>
        <w:t>吐鲁番地区2015年07月份建设工程综合价格信息的通知</w:t>
      </w:r>
    </w:p>
    <w:bookmarkEnd w:id="0"/>
    <w:p w14:paraId="63A9A8E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吐地住建[2015]19号</w:t>
      </w:r>
    </w:p>
    <w:p w14:paraId="47D5DE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两县（区）住建局、示范区规划建设环保局、有关建设、施工、造价咨询中介机构：</w:t>
      </w:r>
    </w:p>
    <w:p w14:paraId="7D1C0E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合理确定和有效控制工程造价，客观、及时、准确地反映建设工程价格信息变化情况，为吐鲁番行政区域内建筑、装饰装修、安装、市政、园林、房屋修缮及抗震加固等工程投资估算、设计概算、招标控制价、投标报价的编制以及合同价约定、竣工结算办理、工程计价纠纷调解处理、工程造价鉴定等计价活动提供依据，根据自治区工程造价管理总站的有关文件精神，我局建设工程造价管理站根据吐鲁番地区人工、机械及建材市场价格变化情况，编制了《吐鲁番地区2015年07月份建设工程综合价格信息》，现予以发布，作为建设工程计价的参考。并就有关事项通知如下：</w:t>
      </w:r>
    </w:p>
    <w:p w14:paraId="5E6977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040EBE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w:t>
      </w:r>
    </w:p>
    <w:p w14:paraId="710DB4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材料价格信息可参考《关于发布吐鲁番地区2015年07月份建设工程价格信息的通知》（附件），投标人也可参照市场价格自主报价。</w:t>
      </w:r>
    </w:p>
    <w:p w14:paraId="551A4E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w:t>
      </w:r>
    </w:p>
    <w:p w14:paraId="744511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机械台班价格可参考新建总造字[2003]52号文件《2003年新疆施工机械台班费用参考单价》及《建筑安装工程2011年吐鲁番地区单位估价表材料预算单价》，投标人也可参照市场价格自主报价。</w:t>
      </w:r>
    </w:p>
    <w:p w14:paraId="35969D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（三）人工费单价价格信息</w:t>
      </w:r>
    </w:p>
    <w:p w14:paraId="6B67EC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编制投资估算、设计概算、招标标底、招标控制价时不得高于人工费单价上限标准。定额内人工费单价调整按照吐地住建【2013】259号中有关规定进行调整。投标人也可参照市场价格自主确定人工费单价。</w:t>
      </w:r>
    </w:p>
    <w:p w14:paraId="04B01D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38B2D8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791712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2015年07月01日后执行《新疆维吾尔自治区建筑工程消耗量定额、抗震加固工程计价定额及全国统一安装、装饰装修工程预算定额、2011年吐鲁番地区单位估价表》的建设工程，按相应估价表规定计价。编制投资估算、设计概算、招标标底、招标控制价时，人工费单价应按上限计算，其差价部分只计取税金，编制投标报价时，投标人可参照市场价格自主确定人工费单价，但不得低于定额内人工费单价也不得高于人工费单价上限标准。定额内人工费单价调整按照吐地住建【2013】259号中有关规定进行调整</w:t>
      </w:r>
    </w:p>
    <w:p w14:paraId="0497CE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2、2015年07月01日后执行《新疆维吾尔自治区房屋修缮工程预算定额1999年乌鲁木齐地区单位估价汇总表》的建设工程人工费单价均按吐地住建【2013】259号中有关规定进行调整，其差价部分只计取税金。</w:t>
      </w:r>
    </w:p>
    <w:p w14:paraId="69C2C7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2015年07月01日后招、投标的市政工程(执行2012年《新疆维吾尔自治区市政工程消耗量定额》、2012年《新疆维吾尔自治区市政工程费用定额》、2012年《乌鲁木齐地区单位估价汇总表》)，人工费单价均按吐地住建【2013】259号中有关规定进行调整，其差价部分只计取税金。</w:t>
      </w:r>
    </w:p>
    <w:p w14:paraId="771018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2015年07月01日后招、投标的园林绿化工程执行新建造【2015】01号文件要求。(执行2014年《新疆维吾尔自治区园林绿化工程消耗量定额》、2014年《新疆维吾尔自治区园林绿化工程消耗量定额乌鲁木齐地区单位估价表》、2014年《新疆维吾尔自治区园林绿化工程费用定额》)，人工费单价均按吐地住建【2013】259号中有关规定进行调整，其差价部分只计取税金。</w:t>
      </w:r>
    </w:p>
    <w:p w14:paraId="7891D5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5、建筑、安装工程、仿古建筑与园林工程、市政、房修定额外签证用工单价调整为87.12元/工日（含税）。</w:t>
      </w:r>
    </w:p>
    <w:p w14:paraId="6517F1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4B39B7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1BBA61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主材按照本文“附件”所列价格信息价与相应定额内材料预算价找差；未列入“附件”的材料，可依据甲、乙双方认定的发票供应价组成预算价与定额内预算价进行找差，价差不参与取费，只计税金。</w:t>
      </w:r>
    </w:p>
    <w:p w14:paraId="2CB1E0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本次“附件”中“综合信息价”为预算价（到工地价）与定额内预算（到工地价）找差，未发布的材料价格信息，应按发承包双方认定价格（到工地价）与定额内预算价（到工地价）找差，以上价差部分只计税金。</w:t>
      </w:r>
    </w:p>
    <w:p w14:paraId="33C90A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在吐鲁番地区使用商品砼的建筑、安装工程，商品砼（含泵送）中的原材料均不按本文调整，商品砼（含泵送）价差按甲、乙双方约定的价格与《2011年吐鲁番地区单位估价表（实体项目）》中的商品砼预算价找差，价差不参与取费，只计税金。</w:t>
      </w:r>
    </w:p>
    <w:p w14:paraId="1FC084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鉴于目前建筑市场材料价格变动幅度较大，若发包方与承包方共同认可，其价格可依据发承包双方认可的材料价格进行计算，并在合同中约定。</w:t>
      </w:r>
    </w:p>
    <w:p w14:paraId="316D43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2D0EB3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54A8A8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2、房屋修缮工程定额内机械费的调整，在1999年房屋修缮工程预算定额基础上，以定额内机械费加中小型机械费为计算基数上调4.35%，调整部分不参与取费，只计税金。</w:t>
      </w:r>
    </w:p>
    <w:p w14:paraId="660631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2015年07月份新开工项目可参考本文件[附件]。在本通知下发前已办理竣工结算的工程不参照文件[附件]。</w:t>
      </w:r>
    </w:p>
    <w:p w14:paraId="1E9A50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（四）、本通知由吐鲁番地区建设工程造价管理站负责解释</w:t>
      </w:r>
    </w:p>
    <w:p w14:paraId="3665BE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1、附件一：吐鲁番地区2015年07月份建设工程综合价格信息</w:t>
      </w:r>
    </w:p>
    <w:p w14:paraId="458D3F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2、附件二：勘误</w:t>
      </w:r>
    </w:p>
    <w:p w14:paraId="6C44E2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二〇一五年八月二十七日</w:t>
      </w:r>
    </w:p>
    <w:p w14:paraId="0288A4E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D902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2026-07-17T01:59:03Z</dcterms:created>
  <dc:creator>Administrator</dc:creator>
  <cp:lastModifiedBy>一叶知秋</cp:lastModifiedBy>
  <dcterms:modified xsi:type="dcterms:W3CDTF">2026-07-17T01:59:32Z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0388C665B2344BAA824CE5E0D658C1FC_12</vt:lpwstr>
  </property>
</Properties>
</file>