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93DFD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eastAsia" w:ascii="Verdana" w:hAnsi="Verdana" w:cs="Verdana"/>
          <w:b/>
          <w:bCs/>
          <w:i w:val="0"/>
          <w:iCs w:val="0"/>
          <w:caps w:val="0"/>
          <w:color w:val="000000"/>
          <w:spacing w:val="0"/>
          <w:sz w:val="33"/>
          <w:szCs w:val="33"/>
        </w:rPr>
      </w:pPr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bdr w:val="none" w:color="auto" w:sz="0" w:space="0"/>
          <w:lang w:val="en-US" w:eastAsia="zh-CN" w:bidi="ar"/>
        </w:rPr>
        <w:t>关于发布克拉玛依地区2015年4月建设工程价格信息的通知</w:t>
      </w:r>
    </w:p>
    <w:p w14:paraId="67B8078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0"/>
        <w:jc w:val="center"/>
        <w:rPr>
          <w:rFonts w:ascii="宋体" w:hAnsi="宋体" w:eastAsia="宋体" w:cs="宋体"/>
          <w:i w:val="0"/>
          <w:iCs w:val="0"/>
          <w:color w:val="50505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18"/>
          <w:szCs w:val="18"/>
          <w:bdr w:val="none" w:color="auto" w:sz="0" w:space="0"/>
        </w:rPr>
        <w:t>克建发〔2015〕99号</w:t>
      </w:r>
    </w:p>
    <w:p w14:paraId="395467E6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br w:type="textWrapping"/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各建设、施工、工程造价咨询单位：</w:t>
      </w:r>
    </w:p>
    <w:p w14:paraId="45BEDB8E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为做好克拉玛依地区建设工程人工、材料、机械台班价格信息的发布工作，根据克拉玛依地区人工、机械及建材市场价格变化情况，我局编制了克拉玛依地区2015年4月建设工程价格信息，用于工程建设的计价参考依据，现就有关事项通知如下：</w:t>
      </w:r>
    </w:p>
    <w:p w14:paraId="44F09FBC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一、建设工程价格信息</w:t>
      </w:r>
    </w:p>
    <w:p w14:paraId="3FF0085D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（一）人工费单价的调整</w:t>
      </w:r>
    </w:p>
    <w:p w14:paraId="649462AF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各专业建设工程，定额内人工费单价调整按《关于调整克拉玛依地区建设工程定额人工费单价的通知》（克建发﹝2013﹞290号）规定执行。</w:t>
      </w:r>
    </w:p>
    <w:p w14:paraId="31C359C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（二）定额内材料价格的调整</w:t>
      </w:r>
    </w:p>
    <w:p w14:paraId="53E0FFCB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1.“附件”中“综合信息价”为预算价，工程计价时可选用综合信息价与定额内预算价找差，未发布价格信息的建筑材料，应按发承包双方认定价格（到工地价）与定额内预算价找差，以上价差部分只计税金。 </w:t>
      </w:r>
    </w:p>
    <w:p w14:paraId="28D52364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2.商品混凝土按甲、乙双方认定的价格与定额内价格找差。已计取商品混凝土差价的工程，不再计取商品混凝土中水泥、沥青、砂子、石子、水的差价。市政府投资招标项目商砼按不高于2014年政府招标中标企业最高价格计价，竣工结算不予调整，非招标项目按建设单位认可的不高于2014年政府招标中标企业最高价格计价。</w:t>
      </w:r>
    </w:p>
    <w:p w14:paraId="070CBD2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3.鉴于目前建筑市场材料价格变动幅度较大，若发包方与承包方共同认可，其价格可依据甲、乙双方认可的材料价格进行计算，并在合同中约定。</w:t>
      </w:r>
    </w:p>
    <w:p w14:paraId="4259DE3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(三)定额内机械费的调整</w:t>
      </w:r>
    </w:p>
    <w:p w14:paraId="0CC12AE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1.仿古建筑及园林工程定额内机械费的调整，在1997年仿古建筑及园林工程预算定额基础上，以定额内机械费为计算基数上调13.73%，调整部分不参与取费，只计税金。</w:t>
      </w:r>
    </w:p>
    <w:p w14:paraId="36809C26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2.房屋修缮工程定额内机械费用的调整，在1999年房屋修缮工程预算定额基础上，以定额内机械费加中小型机械费为计算基数上调4.47%，调整部分不参与取费，只计税金。</w:t>
      </w:r>
    </w:p>
    <w:p w14:paraId="4F3158F9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二、建设工程中的混凝土、砂浆配合比按照原自治区建设厅《关于发布〈二00九年自治区建设工程定额混凝土砂浆配合比〉的通知》（新建造﹝2009﹞2号）执行。新旧混凝土砂浆配合比之间的量差计入工程直接费，参与取费；价差不参与取费，只计税金。</w:t>
      </w:r>
    </w:p>
    <w:p w14:paraId="24CAB257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三、施工单位自备发电机施工现场发电价格为2.80元/kwh，此价格和电的定额预算单价找价差，价差只不参与取费，只计税金。</w:t>
      </w:r>
    </w:p>
    <w:p w14:paraId="572E0A3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四、有关工程造价的相关信息可直接登录“克拉玛依工程造价信息网”（WWW.klmygczj.com）查询。</w:t>
      </w:r>
    </w:p>
    <w:p w14:paraId="475E6A3A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五、本通知自2015年4月1日起执行。</w:t>
      </w:r>
    </w:p>
    <w:p w14:paraId="01867867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177A1556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230B4976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附件：克拉玛依地区2015年4月建设工程价格信息</w:t>
      </w:r>
    </w:p>
    <w:p w14:paraId="43D44867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05D3CFC6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471C3765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left"/>
        <w:rPr>
          <w:sz w:val="21"/>
          <w:szCs w:val="21"/>
        </w:rPr>
      </w:pPr>
    </w:p>
    <w:p w14:paraId="2C9EA94F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420"/>
        <w:jc w:val="righ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  <w:bdr w:val="none" w:color="auto" w:sz="0" w:space="0"/>
        </w:rPr>
        <w:t>2015年5月24日</w:t>
      </w:r>
    </w:p>
    <w:p w14:paraId="436B05C7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5C94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2026-07-17T10:05:22Z</dcterms:created>
  <dc:creator>yangl</dc:creator>
  <cp:lastModifiedBy>yangl</cp:lastModifiedBy>
  <dcterms:modified xsi:type="dcterms:W3CDTF">2026-07-17T10:05:26Z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2052-12.1.0.26391</vt:lpwstr>
  </property>
  <property fmtid="{D5CDD505-2E9C-101B-9397-08002B2CF9AE}" pid="3" name="KSOTemplateDocerSaveRecord">
    <vt:lpwstr>eyJoZGlkIjoiOGVhOTFkNTM5YjRlNGNkZmM0MDIwZjU5NmFkOTlhYjcifQ==</vt:lpwstr>
  </property>
  <property fmtid="{D5CDD505-2E9C-101B-9397-08002B2CF9AE}" pid="4" name="ICV">
    <vt:lpwstr>75555DD55EA34C1AA9AD98FC74A7E481_12</vt:lpwstr>
  </property>
</Properties>
</file>