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方正仿宋_GB2312" w:hAnsi="方正仿宋_GB2312" w:eastAsia="方正仿宋_GB2312" w:cs="方正仿宋_GB2312"/>
          <w:b/>
          <w:bCs/>
          <w:color w:val="000000"/>
          <w:sz w:val="32"/>
          <w:szCs w:val="32"/>
          <w:highlight w:val="none"/>
          <w:lang w:val="en-US" w:eastAsia="zh-CN"/>
        </w:rPr>
      </w:pPr>
      <w:bookmarkStart w:id="0" w:name="_Toc508286121"/>
      <w:bookmarkStart w:id="1" w:name="_Toc12082"/>
      <w:r>
        <w:rPr>
          <w:rFonts w:hint="eastAsia" w:ascii="方正仿宋_GB2312" w:hAnsi="方正仿宋_GB2312" w:eastAsia="方正仿宋_GB2312" w:cs="方正仿宋_GB2312"/>
          <w:b/>
          <w:bCs/>
          <w:color w:val="000000"/>
          <w:sz w:val="32"/>
          <w:szCs w:val="32"/>
          <w:highlight w:val="none"/>
          <w:lang w:val="en-US" w:eastAsia="zh-CN"/>
        </w:rPr>
        <w:t>附录1：</w:t>
      </w:r>
    </w:p>
    <w:p>
      <w:pPr>
        <w:pStyle w:val="5"/>
        <w:jc w:val="center"/>
        <w:rPr>
          <w:rFonts w:hint="eastAsia" w:ascii="黑体" w:hAnsi="黑体" w:eastAsia="黑体" w:cs="黑体"/>
          <w:b w:val="0"/>
          <w:bCs w:val="0"/>
          <w:color w:val="000000"/>
          <w:sz w:val="44"/>
          <w:szCs w:val="44"/>
          <w:highlight w:val="none"/>
        </w:rPr>
      </w:pPr>
      <w:r>
        <w:rPr>
          <w:rFonts w:hint="eastAsia" w:ascii="黑体" w:hAnsi="黑体" w:eastAsia="黑体" w:cs="黑体"/>
          <w:b w:val="0"/>
          <w:bCs w:val="0"/>
          <w:color w:val="000000"/>
          <w:sz w:val="44"/>
          <w:szCs w:val="44"/>
          <w:highlight w:val="none"/>
        </w:rPr>
        <w:t>评标办法</w:t>
      </w:r>
    </w:p>
    <w:p>
      <w:pPr>
        <w:pStyle w:val="5"/>
        <w:jc w:val="center"/>
        <w:rPr>
          <w:rFonts w:hint="eastAsia" w:ascii="楷体" w:hAnsi="楷体" w:eastAsia="楷体" w:cs="楷体"/>
          <w:b w:val="0"/>
          <w:bCs w:val="0"/>
          <w:color w:val="000000"/>
          <w:sz w:val="36"/>
          <w:szCs w:val="36"/>
          <w:highlight w:val="none"/>
          <w:lang w:eastAsia="zh-CN"/>
        </w:rPr>
      </w:pPr>
      <w:r>
        <w:rPr>
          <w:rFonts w:hint="eastAsia" w:ascii="楷体" w:hAnsi="楷体" w:eastAsia="楷体" w:cs="楷体"/>
          <w:b w:val="0"/>
          <w:bCs w:val="0"/>
          <w:color w:val="000000"/>
          <w:sz w:val="36"/>
          <w:szCs w:val="36"/>
          <w:highlight w:val="none"/>
          <w:lang w:eastAsia="zh-CN"/>
        </w:rPr>
        <w:t>《</w:t>
      </w:r>
      <w:r>
        <w:rPr>
          <w:rFonts w:hint="eastAsia" w:ascii="楷体" w:hAnsi="楷体" w:eastAsia="楷体" w:cs="楷体"/>
          <w:b w:val="0"/>
          <w:bCs w:val="0"/>
          <w:color w:val="000000"/>
          <w:sz w:val="36"/>
          <w:szCs w:val="36"/>
          <w:highlight w:val="none"/>
        </w:rPr>
        <w:t>综合评估法</w:t>
      </w:r>
      <w:r>
        <w:rPr>
          <w:rFonts w:hint="eastAsia" w:ascii="楷体" w:hAnsi="楷体" w:eastAsia="楷体" w:cs="楷体"/>
          <w:b w:val="0"/>
          <w:bCs w:val="0"/>
          <w:color w:val="000000"/>
          <w:sz w:val="36"/>
          <w:szCs w:val="36"/>
          <w:highlight w:val="none"/>
          <w:lang w:eastAsia="zh-CN"/>
        </w:rPr>
        <w:t>》</w:t>
      </w:r>
    </w:p>
    <w:p>
      <w:pPr>
        <w:numPr>
          <w:ilvl w:val="0"/>
          <w:numId w:val="1"/>
        </w:numPr>
        <w:shd w:val="clear" w:color="auto" w:fill="FFFFFF"/>
        <w:ind w:firstLine="642" w:firstLineChars="200"/>
        <w:rPr>
          <w:rFonts w:hint="eastAsia" w:ascii="楷体" w:hAnsi="楷体" w:eastAsia="楷体" w:cs="楷体"/>
          <w:b/>
          <w:bCs w:val="0"/>
          <w:kern w:val="0"/>
          <w:sz w:val="32"/>
          <w:szCs w:val="32"/>
        </w:rPr>
      </w:pPr>
      <w:r>
        <w:rPr>
          <w:rFonts w:hint="eastAsia" w:ascii="楷体" w:hAnsi="楷体" w:eastAsia="楷体" w:cs="楷体"/>
          <w:b/>
          <w:bCs w:val="0"/>
          <w:kern w:val="0"/>
          <w:sz w:val="32"/>
          <w:szCs w:val="32"/>
        </w:rPr>
        <w:t>初步评审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附表1）</w:t>
      </w:r>
      <w:r>
        <w:rPr>
          <w:rFonts w:hint="eastAsia" w:ascii="仿宋" w:hAnsi="仿宋" w:eastAsia="仿宋" w:cs="仿宋"/>
          <w:kern w:val="0"/>
          <w:sz w:val="32"/>
          <w:szCs w:val="32"/>
        </w:rPr>
        <w:t>以及招标文件规定，对投标文件的形式、实质性和投标人资格响应招标文件情况进行评审。</w:t>
      </w:r>
      <w:r>
        <w:rPr>
          <w:rFonts w:hint="eastAsia" w:ascii="仿宋" w:hAnsi="仿宋" w:eastAsia="仿宋" w:cs="仿宋"/>
          <w:kern w:val="0"/>
          <w:sz w:val="32"/>
          <w:szCs w:val="32"/>
          <w:lang w:val="en-US" w:eastAsia="zh-CN"/>
        </w:rPr>
        <w:t>对于实行资格预审的项目可不进行资格审查。</w:t>
      </w:r>
      <w:r>
        <w:rPr>
          <w:rFonts w:hint="eastAsia" w:ascii="仿宋" w:hAnsi="仿宋" w:eastAsia="仿宋" w:cs="仿宋"/>
          <w:kern w:val="0"/>
          <w:sz w:val="32"/>
          <w:szCs w:val="32"/>
        </w:rPr>
        <w:t>对不符合相关规定和要求的投标文件予以否决。</w:t>
      </w:r>
    </w:p>
    <w:p>
      <w:pPr>
        <w:numPr>
          <w:ilvl w:val="0"/>
          <w:numId w:val="1"/>
        </w:numPr>
        <w:shd w:val="clear" w:color="auto" w:fill="FFFFFF"/>
        <w:ind w:firstLine="642" w:firstLineChars="200"/>
        <w:rPr>
          <w:rFonts w:hint="eastAsia" w:ascii="楷体" w:hAnsi="楷体" w:eastAsia="楷体" w:cs="楷体"/>
          <w:b/>
          <w:bCs w:val="0"/>
          <w:kern w:val="0"/>
          <w:sz w:val="32"/>
          <w:szCs w:val="32"/>
        </w:rPr>
      </w:pPr>
      <w:r>
        <w:rPr>
          <w:rFonts w:hint="eastAsia" w:ascii="楷体" w:hAnsi="楷体" w:eastAsia="楷体" w:cs="楷体"/>
          <w:b/>
          <w:bCs w:val="0"/>
          <w:kern w:val="0"/>
          <w:sz w:val="32"/>
          <w:szCs w:val="32"/>
        </w:rPr>
        <w:t>详细评审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经初步评审合格的投标人，由评标委员会根据招标文件确定的评审因素和评审标准，对其提交的投标文件作进一步评审、比较。</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评审程序如下：</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商务标</w:t>
      </w:r>
      <w:r>
        <w:rPr>
          <w:rFonts w:hint="eastAsia" w:ascii="仿宋" w:hAnsi="仿宋" w:eastAsia="仿宋" w:cs="仿宋"/>
          <w:kern w:val="0"/>
          <w:sz w:val="32"/>
          <w:szCs w:val="32"/>
        </w:rPr>
        <w:t>评审。按照本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附表2）</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技术</w:t>
      </w:r>
      <w:r>
        <w:rPr>
          <w:rFonts w:hint="eastAsia" w:ascii="仿宋" w:hAnsi="仿宋" w:eastAsia="仿宋" w:cs="仿宋"/>
          <w:kern w:val="0"/>
          <w:sz w:val="32"/>
          <w:szCs w:val="32"/>
          <w:lang w:val="en-US" w:eastAsia="zh-CN"/>
        </w:rPr>
        <w:t>标</w:t>
      </w:r>
      <w:r>
        <w:rPr>
          <w:rFonts w:hint="eastAsia" w:ascii="仿宋" w:hAnsi="仿宋" w:eastAsia="仿宋" w:cs="仿宋"/>
          <w:kern w:val="0"/>
          <w:sz w:val="32"/>
          <w:szCs w:val="32"/>
        </w:rPr>
        <w:t>评审。按照本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附表3-1、3-2、3-3）</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3.信用评价评审。</w:t>
      </w:r>
      <w:r>
        <w:rPr>
          <w:rFonts w:hint="eastAsia" w:ascii="仿宋" w:hAnsi="仿宋" w:eastAsia="仿宋" w:cs="仿宋"/>
          <w:kern w:val="0"/>
          <w:sz w:val="32"/>
          <w:szCs w:val="32"/>
        </w:rPr>
        <w:t>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附表4）</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投标</w:t>
      </w:r>
      <w:r>
        <w:rPr>
          <w:rFonts w:hint="eastAsia" w:ascii="仿宋" w:hAnsi="仿宋" w:eastAsia="仿宋" w:cs="仿宋"/>
          <w:kern w:val="0"/>
          <w:sz w:val="32"/>
          <w:szCs w:val="32"/>
        </w:rPr>
        <w:t>报价评审。按照本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附表5）</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汇总评分结果。</w:t>
      </w:r>
    </w:p>
    <w:p>
      <w:pPr>
        <w:numPr>
          <w:ilvl w:val="0"/>
          <w:numId w:val="0"/>
        </w:numPr>
        <w:shd w:val="clear" w:color="auto" w:fill="FFFFFF"/>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C</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1</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D</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2</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E</w:t>
      </w:r>
      <w:r>
        <w:rPr>
          <w:rFonts w:hint="eastAsia" w:ascii="仿宋" w:hAnsi="仿宋" w:eastAsia="仿宋" w:cs="仿宋"/>
          <w:kern w:val="0"/>
          <w:sz w:val="32"/>
          <w:szCs w:val="32"/>
        </w:rPr>
        <w:t>+F+</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3</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G</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其中:C——评标总得分；</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D——</w:t>
      </w:r>
      <w:r>
        <w:rPr>
          <w:rFonts w:hint="eastAsia" w:ascii="仿宋" w:hAnsi="仿宋" w:eastAsia="仿宋" w:cs="仿宋"/>
          <w:kern w:val="0"/>
          <w:sz w:val="32"/>
          <w:szCs w:val="32"/>
          <w:lang w:val="en-US" w:eastAsia="zh-CN"/>
        </w:rPr>
        <w:t>商务部分</w:t>
      </w:r>
      <w:r>
        <w:rPr>
          <w:rFonts w:hint="eastAsia" w:ascii="仿宋" w:hAnsi="仿宋" w:eastAsia="仿宋" w:cs="仿宋"/>
          <w:kern w:val="0"/>
          <w:sz w:val="32"/>
          <w:szCs w:val="32"/>
        </w:rPr>
        <w:t>评审得分；</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E——技术</w:t>
      </w:r>
      <w:r>
        <w:rPr>
          <w:rFonts w:hint="eastAsia" w:ascii="仿宋" w:hAnsi="仿宋" w:eastAsia="仿宋" w:cs="仿宋"/>
          <w:kern w:val="0"/>
          <w:sz w:val="32"/>
          <w:szCs w:val="32"/>
          <w:lang w:val="en-US" w:eastAsia="zh-CN"/>
        </w:rPr>
        <w:t>标</w:t>
      </w:r>
      <w:r>
        <w:rPr>
          <w:rFonts w:hint="eastAsia" w:ascii="仿宋" w:hAnsi="仿宋" w:eastAsia="仿宋" w:cs="仿宋"/>
          <w:kern w:val="0"/>
          <w:sz w:val="32"/>
          <w:szCs w:val="32"/>
        </w:rPr>
        <w:t>评审得分；</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F——</w:t>
      </w:r>
      <w:r>
        <w:rPr>
          <w:rFonts w:hint="eastAsia" w:ascii="仿宋" w:hAnsi="仿宋" w:eastAsia="仿宋" w:cs="仿宋"/>
          <w:kern w:val="0"/>
          <w:sz w:val="32"/>
          <w:szCs w:val="32"/>
          <w:lang w:val="en-US" w:eastAsia="zh-CN"/>
        </w:rPr>
        <w:t>信用评价评审</w:t>
      </w:r>
      <w:r>
        <w:rPr>
          <w:rFonts w:hint="eastAsia" w:ascii="仿宋" w:hAnsi="仿宋" w:eastAsia="仿宋" w:cs="仿宋"/>
          <w:kern w:val="0"/>
          <w:sz w:val="32"/>
          <w:szCs w:val="32"/>
        </w:rPr>
        <w:t>得分。</w:t>
      </w:r>
    </w:p>
    <w:p>
      <w:pPr>
        <w:numPr>
          <w:ilvl w:val="0"/>
          <w:numId w:val="0"/>
        </w:numPr>
        <w:shd w:val="clear" w:color="auto" w:fill="FFFFFF"/>
        <w:ind w:firstLine="640" w:firstLineChars="200"/>
        <w:rPr>
          <w:rFonts w:hint="eastAsia"/>
        </w:rPr>
      </w:pPr>
      <w:r>
        <w:rPr>
          <w:rFonts w:hint="eastAsia" w:ascii="仿宋" w:hAnsi="仿宋" w:eastAsia="仿宋" w:cs="仿宋"/>
          <w:kern w:val="0"/>
          <w:sz w:val="32"/>
          <w:szCs w:val="32"/>
          <w:lang w:val="en-US" w:eastAsia="zh-CN"/>
        </w:rPr>
        <w:t>G</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投标</w:t>
      </w:r>
      <w:r>
        <w:rPr>
          <w:rFonts w:hint="eastAsia" w:ascii="仿宋" w:hAnsi="仿宋" w:eastAsia="仿宋" w:cs="仿宋"/>
          <w:kern w:val="0"/>
          <w:sz w:val="32"/>
          <w:szCs w:val="32"/>
        </w:rPr>
        <w:t>报价评审得分。</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1</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2</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3</w:t>
      </w:r>
      <w:r>
        <w:rPr>
          <w:rFonts w:hint="eastAsia" w:ascii="仿宋" w:hAnsi="仿宋" w:eastAsia="仿宋" w:cs="仿宋"/>
          <w:kern w:val="0"/>
          <w:sz w:val="32"/>
          <w:szCs w:val="32"/>
        </w:rPr>
        <w:t>——各项评审因素的权重</w:t>
      </w:r>
    </w:p>
    <w:p>
      <w:pPr>
        <w:numPr>
          <w:ilvl w:val="0"/>
          <w:numId w:val="0"/>
        </w:numPr>
        <w:shd w:val="clear" w:color="auto" w:fill="FFFFFF"/>
        <w:ind w:firstLine="642" w:firstLineChars="200"/>
        <w:rPr>
          <w:rFonts w:hint="eastAsia" w:ascii="楷体" w:hAnsi="楷体" w:eastAsia="楷体" w:cs="楷体"/>
          <w:b/>
          <w:bCs w:val="0"/>
          <w:kern w:val="0"/>
          <w:sz w:val="32"/>
          <w:szCs w:val="32"/>
        </w:rPr>
      </w:pPr>
      <w:r>
        <w:rPr>
          <w:rFonts w:hint="eastAsia" w:ascii="楷体" w:hAnsi="楷体" w:eastAsia="楷体" w:cs="楷体"/>
          <w:b/>
          <w:bCs w:val="0"/>
          <w:kern w:val="0"/>
          <w:sz w:val="32"/>
          <w:szCs w:val="32"/>
        </w:rPr>
        <w:t>三、各项评审因素权重</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招标人根据以下评审因素权重表在招标文件中明确所选评审因素权重。</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4200"/>
        <w:gridCol w:w="2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132" w:type="dxa"/>
            <w:tcBorders>
              <w:left w:val="nil"/>
            </w:tcBorders>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序号</w:t>
            </w:r>
          </w:p>
        </w:tc>
        <w:tc>
          <w:tcPr>
            <w:tcW w:w="4200" w:type="dxa"/>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评审因素</w:t>
            </w:r>
          </w:p>
        </w:tc>
        <w:tc>
          <w:tcPr>
            <w:tcW w:w="2640" w:type="dxa"/>
            <w:tcBorders>
              <w:right w:val="nil"/>
            </w:tcBorders>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1</w:t>
            </w:r>
          </w:p>
        </w:tc>
        <w:tc>
          <w:tcPr>
            <w:tcW w:w="4200" w:type="dxa"/>
            <w:noWrap w:val="0"/>
            <w:vAlign w:val="center"/>
          </w:tcPr>
          <w:p>
            <w:pPr>
              <w:spacing w:line="320" w:lineRule="exact"/>
              <w:jc w:val="center"/>
              <w:rPr>
                <w:rFonts w:hint="eastAsia" w:ascii="仿宋_GB2312" w:hAnsi="仿宋" w:cs="仿宋_GB2312"/>
              </w:rPr>
            </w:pPr>
            <w:r>
              <w:rPr>
                <w:rFonts w:hint="eastAsia" w:ascii="仿宋_GB2312" w:hAnsi="仿宋" w:cs="仿宋"/>
                <w:lang w:val="en-US" w:eastAsia="zh-CN"/>
              </w:rPr>
              <w:t>商务标Q</w:t>
            </w:r>
            <w:r>
              <w:rPr>
                <w:rFonts w:hint="eastAsia" w:ascii="仿宋_GB2312"/>
                <w:kern w:val="0"/>
                <w:vertAlign w:val="subscript"/>
              </w:rPr>
              <w:t>1</w:t>
            </w:r>
          </w:p>
        </w:tc>
        <w:tc>
          <w:tcPr>
            <w:tcW w:w="2640" w:type="dxa"/>
            <w:tcBorders>
              <w:right w:val="nil"/>
            </w:tcBorders>
            <w:noWrap w:val="0"/>
            <w:vAlign w:val="center"/>
          </w:tcPr>
          <w:p>
            <w:pPr>
              <w:spacing w:line="320" w:lineRule="exact"/>
              <w:jc w:val="center"/>
              <w:rPr>
                <w:rFonts w:hint="default" w:ascii="仿宋_GB2312" w:eastAsia="宋体"/>
                <w:lang w:val="en-US" w:eastAsia="zh-CN"/>
              </w:rPr>
            </w:pPr>
            <w:r>
              <w:rPr>
                <w:rFonts w:hint="default" w:ascii="仿宋_GB2312" w:hAnsi="仿宋" w:cs="仿宋"/>
                <w:lang w:val="en-US" w:eastAsia="zh-CN"/>
              </w:rPr>
              <w:t>≤</w:t>
            </w:r>
            <w:r>
              <w:rPr>
                <w:rFonts w:hint="eastAsia" w:ascii="仿宋_GB2312" w:hAnsi="仿宋" w:cs="仿宋"/>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2</w:t>
            </w:r>
          </w:p>
        </w:tc>
        <w:tc>
          <w:tcPr>
            <w:tcW w:w="4200" w:type="dxa"/>
            <w:noWrap w:val="0"/>
            <w:vAlign w:val="center"/>
          </w:tcPr>
          <w:p>
            <w:pPr>
              <w:spacing w:line="320" w:lineRule="exact"/>
              <w:jc w:val="center"/>
              <w:rPr>
                <w:rFonts w:hint="eastAsia" w:ascii="仿宋_GB2312" w:hAnsi="仿宋" w:cs="仿宋_GB2312"/>
              </w:rPr>
            </w:pPr>
            <w:r>
              <w:rPr>
                <w:rFonts w:hint="eastAsia" w:ascii="仿宋_GB2312" w:hAnsi="仿宋" w:cs="仿宋"/>
                <w:lang w:val="en-US" w:eastAsia="zh-CN"/>
              </w:rPr>
              <w:t>技术标</w:t>
            </w:r>
            <w:r>
              <w:rPr>
                <w:rFonts w:hint="eastAsia" w:ascii="仿宋_GB2312"/>
                <w:iCs/>
                <w:kern w:val="0"/>
                <w:lang w:val="en-US" w:eastAsia="zh-CN"/>
              </w:rPr>
              <w:t>Q</w:t>
            </w:r>
            <w:r>
              <w:rPr>
                <w:rFonts w:hint="eastAsia" w:ascii="仿宋_GB2312"/>
                <w:kern w:val="0"/>
                <w:vertAlign w:val="subscript"/>
              </w:rPr>
              <w:t>2</w:t>
            </w:r>
          </w:p>
        </w:tc>
        <w:tc>
          <w:tcPr>
            <w:tcW w:w="2640" w:type="dxa"/>
            <w:tcBorders>
              <w:right w:val="nil"/>
            </w:tcBorders>
            <w:noWrap w:val="0"/>
            <w:vAlign w:val="center"/>
          </w:tcPr>
          <w:p>
            <w:pPr>
              <w:spacing w:line="320" w:lineRule="exact"/>
              <w:jc w:val="center"/>
              <w:rPr>
                <w:rFonts w:hint="default" w:ascii="仿宋_GB2312"/>
                <w:lang w:val="en-US"/>
              </w:rPr>
            </w:pPr>
            <w:r>
              <w:rPr>
                <w:rFonts w:hint="default" w:ascii="仿宋_GB2312" w:hAnsi="仿宋" w:cs="仿宋"/>
                <w:lang w:val="en-US" w:eastAsia="zh-CN"/>
              </w:rPr>
              <w:t>≤</w:t>
            </w:r>
            <w:r>
              <w:rPr>
                <w:rFonts w:hint="eastAsia" w:ascii="仿宋_GB2312" w:hAnsi="仿宋" w:cs="仿宋"/>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3</w:t>
            </w:r>
          </w:p>
        </w:tc>
        <w:tc>
          <w:tcPr>
            <w:tcW w:w="4200" w:type="dxa"/>
            <w:noWrap w:val="0"/>
            <w:vAlign w:val="center"/>
          </w:tcPr>
          <w:p>
            <w:pPr>
              <w:spacing w:line="320" w:lineRule="exact"/>
              <w:jc w:val="center"/>
              <w:rPr>
                <w:rFonts w:hint="eastAsia" w:ascii="仿宋_GB2312" w:hAnsi="仿宋" w:cs="仿宋"/>
              </w:rPr>
            </w:pPr>
            <w:r>
              <w:rPr>
                <w:rFonts w:hint="eastAsia" w:ascii="仿宋_GB2312" w:hAnsi="仿宋" w:cs="仿宋_GB2312"/>
                <w:kern w:val="0"/>
                <w:lang w:val="en-US" w:eastAsia="zh-CN"/>
              </w:rPr>
              <w:t>投标报价</w:t>
            </w:r>
            <w:r>
              <w:rPr>
                <w:rFonts w:hint="eastAsia" w:ascii="仿宋_GB2312"/>
                <w:iCs/>
                <w:kern w:val="0"/>
                <w:lang w:val="en-US" w:eastAsia="zh-CN"/>
              </w:rPr>
              <w:t>Q</w:t>
            </w:r>
            <w:r>
              <w:rPr>
                <w:rFonts w:hint="eastAsia" w:ascii="仿宋_GB2312"/>
                <w:kern w:val="0"/>
                <w:vertAlign w:val="subscript"/>
              </w:rPr>
              <w:t>3</w:t>
            </w:r>
          </w:p>
        </w:tc>
        <w:tc>
          <w:tcPr>
            <w:tcW w:w="2640" w:type="dxa"/>
            <w:tcBorders>
              <w:right w:val="nil"/>
            </w:tcBorders>
            <w:noWrap w:val="0"/>
            <w:vAlign w:val="center"/>
          </w:tcPr>
          <w:p>
            <w:pPr>
              <w:spacing w:line="320" w:lineRule="exact"/>
              <w:jc w:val="center"/>
              <w:rPr>
                <w:rFonts w:hint="default" w:ascii="仿宋_GB2312"/>
                <w:lang w:val="en-US"/>
              </w:rPr>
            </w:pPr>
            <w:r>
              <w:rPr>
                <w:rFonts w:hint="default" w:ascii="仿宋_GB2312" w:hAnsi="仿宋" w:cs="仿宋"/>
                <w:lang w:val="en-US" w:eastAsia="zh-CN"/>
              </w:rPr>
              <w:t>≥</w:t>
            </w:r>
            <w:r>
              <w:rPr>
                <w:rFonts w:hint="eastAsia" w:ascii="仿宋_GB2312" w:hAnsi="仿宋" w:cs="仿宋"/>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20" w:lineRule="exact"/>
              <w:jc w:val="center"/>
              <w:rPr>
                <w:rFonts w:hint="eastAsia" w:ascii="仿宋_GB2312" w:eastAsia="宋体"/>
                <w:lang w:val="en-US" w:eastAsia="zh-CN"/>
              </w:rPr>
            </w:pPr>
            <w:r>
              <w:rPr>
                <w:rFonts w:hint="eastAsia" w:ascii="仿宋_GB2312"/>
                <w:lang w:val="en-US" w:eastAsia="zh-CN"/>
              </w:rPr>
              <w:t>4</w:t>
            </w:r>
          </w:p>
        </w:tc>
        <w:tc>
          <w:tcPr>
            <w:tcW w:w="4200" w:type="dxa"/>
            <w:noWrap w:val="0"/>
            <w:vAlign w:val="center"/>
          </w:tcPr>
          <w:p>
            <w:pPr>
              <w:spacing w:line="320" w:lineRule="exact"/>
              <w:jc w:val="center"/>
              <w:rPr>
                <w:rFonts w:hint="default" w:ascii="仿宋_GB2312" w:hAnsi="仿宋" w:eastAsia="宋体" w:cs="仿宋_GB2312"/>
                <w:kern w:val="0"/>
                <w:lang w:val="en-US" w:eastAsia="zh-CN"/>
              </w:rPr>
            </w:pPr>
            <w:r>
              <w:rPr>
                <w:rFonts w:hint="eastAsia" w:ascii="仿宋_GB2312" w:hAnsi="仿宋" w:cs="仿宋_GB2312"/>
                <w:kern w:val="0"/>
                <w:lang w:val="en-US" w:eastAsia="zh-CN"/>
              </w:rPr>
              <w:t>信用评价F</w:t>
            </w:r>
          </w:p>
        </w:tc>
        <w:tc>
          <w:tcPr>
            <w:tcW w:w="2640" w:type="dxa"/>
            <w:tcBorders>
              <w:right w:val="nil"/>
            </w:tcBorders>
            <w:noWrap w:val="0"/>
            <w:vAlign w:val="center"/>
          </w:tcPr>
          <w:p>
            <w:pPr>
              <w:spacing w:line="320" w:lineRule="exact"/>
              <w:jc w:val="center"/>
              <w:rPr>
                <w:rFonts w:hint="default" w:ascii="仿宋_GB2312" w:eastAsia="宋体"/>
                <w:lang w:val="en-US" w:eastAsia="zh-CN"/>
              </w:rPr>
            </w:pPr>
            <w:r>
              <w:rPr>
                <w:rFonts w:hint="eastAsia" w:ascii="仿宋_GB2312" w:hAnsi="仿宋" w:cs="仿宋"/>
                <w:lang w:val="en-US" w:eastAsia="zh-CN"/>
              </w:rPr>
              <w:t>10(</w:t>
            </w:r>
            <w:r>
              <w:rPr>
                <w:rFonts w:hint="eastAsia" w:ascii="仿宋_GB2312" w:hAnsi="仿宋" w:cs="仿宋_GB2312"/>
                <w:kern w:val="0"/>
                <w:lang w:val="en-US" w:eastAsia="zh-CN"/>
              </w:rPr>
              <w:t>固定分值</w:t>
            </w:r>
            <w:r>
              <w:rPr>
                <w:rFonts w:hint="eastAsia" w:ascii="仿宋_GB2312" w:hAnsi="仿宋" w:cs="仿宋"/>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5332" w:type="dxa"/>
            <w:gridSpan w:val="2"/>
            <w:tcBorders>
              <w:left w:val="nil"/>
            </w:tcBorders>
            <w:noWrap w:val="0"/>
            <w:vAlign w:val="center"/>
          </w:tcPr>
          <w:p>
            <w:pPr>
              <w:spacing w:line="320" w:lineRule="exact"/>
              <w:jc w:val="center"/>
              <w:rPr>
                <w:rFonts w:hint="eastAsia" w:ascii="仿宋_GB2312" w:hAnsi="仿宋" w:cs="仿宋_GB2312"/>
              </w:rPr>
            </w:pPr>
            <w:r>
              <w:rPr>
                <w:rFonts w:hint="eastAsia" w:ascii="仿宋_GB2312" w:hAnsi="仿宋" w:cs="仿宋_GB2312"/>
                <w:kern w:val="0"/>
              </w:rPr>
              <w:t>评审因素权重</w:t>
            </w:r>
            <w:r>
              <w:rPr>
                <w:rFonts w:hint="eastAsia" w:ascii="仿宋_GB2312" w:hAnsi="仿宋" w:cs="仿宋_GB2312"/>
              </w:rPr>
              <w:t>合计</w:t>
            </w:r>
          </w:p>
        </w:tc>
        <w:tc>
          <w:tcPr>
            <w:tcW w:w="2640" w:type="dxa"/>
            <w:tcBorders>
              <w:right w:val="nil"/>
            </w:tcBorders>
            <w:noWrap w:val="0"/>
            <w:vAlign w:val="center"/>
          </w:tcPr>
          <w:p>
            <w:pPr>
              <w:spacing w:line="320" w:lineRule="exact"/>
              <w:jc w:val="center"/>
              <w:rPr>
                <w:rFonts w:hint="default" w:ascii="仿宋_GB2312" w:eastAsia="宋体"/>
                <w:lang w:val="en-US" w:eastAsia="zh-CN"/>
              </w:rPr>
            </w:pPr>
            <w:r>
              <w:rPr>
                <w:rFonts w:hint="eastAsia" w:ascii="仿宋_GB2312" w:hAnsi="仿宋" w:cs="仿宋"/>
                <w:lang w:val="en-US" w:eastAsia="zh-CN"/>
              </w:rPr>
              <w:t>100%</w:t>
            </w:r>
          </w:p>
        </w:tc>
      </w:tr>
    </w:tbl>
    <w:p>
      <w:pPr>
        <w:pStyle w:val="11"/>
        <w:rPr>
          <w:rFonts w:hint="eastAsia"/>
        </w:rPr>
      </w:pPr>
    </w:p>
    <w:p>
      <w:pPr>
        <w:pStyle w:val="2"/>
        <w:rPr>
          <w:rFonts w:hint="eastAsia"/>
        </w:rPr>
      </w:pPr>
    </w:p>
    <w:p>
      <w:pPr>
        <w:rPr>
          <w:rFonts w:hint="eastAsia"/>
        </w:rPr>
      </w:pPr>
      <w:r>
        <w:rPr>
          <w:rFonts w:hint="eastAsia"/>
        </w:rPr>
        <w:br w:type="textWrapping"/>
      </w:r>
    </w:p>
    <w:p>
      <w:pPr>
        <w:pStyle w:val="2"/>
        <w:rPr>
          <w:rFonts w:hint="eastAsia"/>
        </w:rPr>
      </w:pPr>
    </w:p>
    <w:p>
      <w:pPr>
        <w:pStyle w:val="2"/>
        <w:rPr>
          <w:rFonts w:hint="eastAsia"/>
        </w:rPr>
      </w:pPr>
    </w:p>
    <w:p>
      <w:pPr>
        <w:pStyle w:val="2"/>
        <w:ind w:left="0" w:leftChars="0" w:firstLine="0" w:firstLineChars="0"/>
        <w:rPr>
          <w:rFonts w:hint="eastAsia" w:ascii="仿宋" w:hAnsi="仿宋" w:eastAsia="仿宋" w:cs="仿宋"/>
          <w:sz w:val="32"/>
          <w:szCs w:val="32"/>
          <w:lang w:val="en-US" w:eastAsia="zh-CN"/>
        </w:rPr>
      </w:pPr>
    </w:p>
    <w:p>
      <w:pPr>
        <w:pStyle w:val="5"/>
        <w:jc w:val="center"/>
        <w:rPr>
          <w:rFonts w:hint="eastAsia" w:ascii="楷体" w:hAnsi="楷体" w:eastAsia="楷体" w:cs="楷体"/>
          <w:b w:val="0"/>
          <w:bCs w:val="0"/>
          <w:color w:val="000000"/>
          <w:sz w:val="36"/>
          <w:szCs w:val="36"/>
          <w:highlight w:val="none"/>
          <w:lang w:eastAsia="zh-CN"/>
        </w:rPr>
      </w:pPr>
      <w:r>
        <w:rPr>
          <w:rFonts w:hint="eastAsia" w:ascii="楷体" w:hAnsi="楷体" w:eastAsia="楷体" w:cs="楷体"/>
          <w:b w:val="0"/>
          <w:bCs w:val="0"/>
          <w:color w:val="000000"/>
          <w:sz w:val="36"/>
          <w:szCs w:val="36"/>
          <w:highlight w:val="none"/>
          <w:lang w:eastAsia="zh-CN"/>
        </w:rPr>
        <w:t>《</w:t>
      </w:r>
      <w:r>
        <w:rPr>
          <w:rFonts w:hint="eastAsia" w:ascii="楷体" w:hAnsi="楷体" w:eastAsia="楷体" w:cs="楷体"/>
          <w:b w:val="0"/>
          <w:bCs w:val="0"/>
          <w:color w:val="000000"/>
          <w:sz w:val="36"/>
          <w:szCs w:val="36"/>
          <w:highlight w:val="none"/>
        </w:rPr>
        <w:t>综合评估法</w:t>
      </w:r>
      <w:r>
        <w:rPr>
          <w:rFonts w:hint="eastAsia" w:ascii="楷体" w:hAnsi="楷体" w:eastAsia="楷体" w:cs="楷体"/>
          <w:b w:val="0"/>
          <w:bCs w:val="0"/>
          <w:color w:val="000000"/>
          <w:sz w:val="36"/>
          <w:szCs w:val="36"/>
          <w:highlight w:val="none"/>
          <w:lang w:eastAsia="zh-CN"/>
        </w:rPr>
        <w:t>》</w:t>
      </w:r>
    </w:p>
    <w:p>
      <w:pPr>
        <w:pStyle w:val="5"/>
        <w:jc w:val="center"/>
        <w:rPr>
          <w:rFonts w:hint="eastAsia" w:ascii="楷体" w:hAnsi="楷体" w:eastAsia="楷体" w:cs="楷体"/>
          <w:b w:val="0"/>
          <w:bCs w:val="0"/>
          <w:color w:val="000000"/>
          <w:sz w:val="32"/>
          <w:szCs w:val="32"/>
          <w:highlight w:val="none"/>
        </w:rPr>
      </w:pPr>
      <w:r>
        <w:rPr>
          <w:rFonts w:hint="eastAsia" w:ascii="楷体" w:hAnsi="楷体" w:eastAsia="楷体" w:cs="楷体"/>
          <w:b w:val="0"/>
          <w:bCs w:val="0"/>
          <w:color w:val="000000"/>
          <w:sz w:val="32"/>
          <w:szCs w:val="32"/>
          <w:highlight w:val="none"/>
          <w:lang w:eastAsia="zh-CN"/>
        </w:rPr>
        <w:t>（</w:t>
      </w:r>
      <w:r>
        <w:rPr>
          <w:rFonts w:hint="eastAsia" w:ascii="楷体" w:hAnsi="楷体" w:eastAsia="楷体" w:cs="楷体"/>
          <w:b w:val="0"/>
          <w:bCs w:val="0"/>
          <w:color w:val="000000"/>
          <w:sz w:val="32"/>
          <w:szCs w:val="32"/>
          <w:highlight w:val="none"/>
          <w:lang w:val="en-US" w:eastAsia="zh-CN"/>
        </w:rPr>
        <w:t>评定分离</w:t>
      </w:r>
      <w:r>
        <w:rPr>
          <w:rFonts w:hint="eastAsia" w:ascii="楷体" w:hAnsi="楷体" w:eastAsia="楷体" w:cs="楷体"/>
          <w:b w:val="0"/>
          <w:bCs w:val="0"/>
          <w:color w:val="000000"/>
          <w:sz w:val="32"/>
          <w:szCs w:val="32"/>
          <w:highlight w:val="none"/>
          <w:lang w:eastAsia="zh-CN"/>
        </w:rPr>
        <w:t>）</w:t>
      </w:r>
    </w:p>
    <w:p>
      <w:pPr>
        <w:pStyle w:val="11"/>
        <w:rPr>
          <w:rFonts w:hint="eastAsia"/>
        </w:rPr>
      </w:pPr>
    </w:p>
    <w:p>
      <w:pPr>
        <w:numPr>
          <w:ilvl w:val="0"/>
          <w:numId w:val="0"/>
        </w:numPr>
        <w:shd w:val="clear" w:color="auto" w:fill="FFFFFF"/>
        <w:ind w:firstLine="642" w:firstLineChars="200"/>
        <w:rPr>
          <w:rFonts w:hint="default" w:ascii="楷体" w:hAnsi="楷体" w:eastAsia="楷体" w:cs="楷体"/>
          <w:b/>
          <w:bCs w:val="0"/>
          <w:kern w:val="0"/>
          <w:sz w:val="32"/>
          <w:szCs w:val="32"/>
          <w:lang w:val="en-US" w:eastAsia="zh-CN"/>
        </w:rPr>
      </w:pPr>
      <w:r>
        <w:rPr>
          <w:rFonts w:hint="eastAsia" w:ascii="楷体" w:hAnsi="楷体" w:eastAsia="楷体" w:cs="楷体"/>
          <w:b/>
          <w:bCs w:val="0"/>
          <w:kern w:val="0"/>
          <w:sz w:val="32"/>
          <w:szCs w:val="32"/>
          <w:lang w:val="en-US" w:eastAsia="zh-CN"/>
        </w:rPr>
        <w:t>一、初步评审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附表1）</w:t>
      </w:r>
      <w:r>
        <w:rPr>
          <w:rFonts w:hint="eastAsia" w:ascii="仿宋" w:hAnsi="仿宋" w:eastAsia="仿宋" w:cs="仿宋"/>
          <w:kern w:val="0"/>
          <w:sz w:val="32"/>
          <w:szCs w:val="32"/>
        </w:rPr>
        <w:t>以及招标文件规定，对投标文件的形式、实质性和投标人资格响应招标文件情况进行评审。</w:t>
      </w:r>
      <w:r>
        <w:rPr>
          <w:rFonts w:hint="eastAsia" w:ascii="仿宋" w:hAnsi="仿宋" w:eastAsia="仿宋" w:cs="仿宋"/>
          <w:kern w:val="0"/>
          <w:sz w:val="32"/>
          <w:szCs w:val="32"/>
          <w:lang w:val="en-US" w:eastAsia="zh-CN"/>
        </w:rPr>
        <w:t>对于实行资格预审的项目可不进行资格审查。</w:t>
      </w:r>
      <w:r>
        <w:rPr>
          <w:rFonts w:hint="eastAsia" w:ascii="仿宋" w:hAnsi="仿宋" w:eastAsia="仿宋" w:cs="仿宋"/>
          <w:kern w:val="0"/>
          <w:sz w:val="32"/>
          <w:szCs w:val="32"/>
        </w:rPr>
        <w:t>对不符合相关规定和要求的投标文件予以否决。</w:t>
      </w:r>
    </w:p>
    <w:p>
      <w:pPr>
        <w:numPr>
          <w:ilvl w:val="0"/>
          <w:numId w:val="0"/>
        </w:numPr>
        <w:shd w:val="clear" w:color="auto" w:fill="FFFFFF"/>
        <w:ind w:firstLine="642" w:firstLineChars="200"/>
        <w:rPr>
          <w:rFonts w:hint="default" w:ascii="楷体" w:hAnsi="楷体" w:eastAsia="楷体" w:cs="楷体"/>
          <w:b/>
          <w:bCs w:val="0"/>
          <w:kern w:val="0"/>
          <w:sz w:val="32"/>
          <w:szCs w:val="32"/>
          <w:lang w:val="en-US" w:eastAsia="zh-CN"/>
        </w:rPr>
      </w:pPr>
      <w:r>
        <w:rPr>
          <w:rFonts w:hint="eastAsia" w:ascii="楷体" w:hAnsi="楷体" w:eastAsia="楷体" w:cs="楷体"/>
          <w:b/>
          <w:bCs w:val="0"/>
          <w:kern w:val="0"/>
          <w:sz w:val="32"/>
          <w:szCs w:val="32"/>
          <w:lang w:val="en-US" w:eastAsia="zh-CN"/>
        </w:rPr>
        <w:t>二、确定入围投标人数量</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经初步评审合格的投标人，由评标委员会根据招标文件确定的评审因素和评审标准，对其提交的投标文件作进一步评审、比较。</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评审程序如下：</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商务标</w:t>
      </w:r>
      <w:r>
        <w:rPr>
          <w:rFonts w:hint="eastAsia" w:ascii="仿宋" w:hAnsi="仿宋" w:eastAsia="仿宋" w:cs="仿宋"/>
          <w:kern w:val="0"/>
          <w:sz w:val="32"/>
          <w:szCs w:val="32"/>
        </w:rPr>
        <w:t>评审。按照本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附表2）</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.信用评价评审。</w:t>
      </w:r>
      <w:r>
        <w:rPr>
          <w:rFonts w:hint="eastAsia" w:ascii="仿宋" w:hAnsi="仿宋" w:eastAsia="仿宋" w:cs="仿宋"/>
          <w:kern w:val="0"/>
          <w:sz w:val="32"/>
          <w:szCs w:val="32"/>
        </w:rPr>
        <w:t>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附表4）</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投标</w:t>
      </w:r>
      <w:r>
        <w:rPr>
          <w:rFonts w:hint="eastAsia" w:ascii="仿宋" w:hAnsi="仿宋" w:eastAsia="仿宋" w:cs="仿宋"/>
          <w:kern w:val="0"/>
          <w:sz w:val="32"/>
          <w:szCs w:val="32"/>
        </w:rPr>
        <w:t>报价评审。按照本</w:t>
      </w:r>
      <w:r>
        <w:rPr>
          <w:rFonts w:hint="eastAsia" w:ascii="仿宋" w:hAnsi="仿宋" w:eastAsia="仿宋" w:cs="仿宋"/>
          <w:color w:val="000000"/>
          <w:sz w:val="32"/>
          <w:szCs w:val="32"/>
          <w:highlight w:val="none"/>
        </w:rPr>
        <w:t>评审</w:t>
      </w:r>
      <w:r>
        <w:rPr>
          <w:rFonts w:hint="eastAsia" w:ascii="仿宋" w:hAnsi="仿宋" w:eastAsia="仿宋" w:cs="仿宋"/>
          <w:color w:val="000000"/>
          <w:sz w:val="32"/>
          <w:szCs w:val="32"/>
          <w:highlight w:val="none"/>
          <w:lang w:val="en-US" w:eastAsia="zh-CN"/>
        </w:rPr>
        <w:t>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附表5）</w:t>
      </w:r>
      <w:r>
        <w:rPr>
          <w:rFonts w:hint="eastAsia" w:ascii="仿宋" w:hAnsi="仿宋" w:eastAsia="仿宋" w:cs="仿宋"/>
          <w:kern w:val="0"/>
          <w:sz w:val="32"/>
          <w:szCs w:val="32"/>
        </w:rPr>
        <w:t>以及招标文件</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规定进行评审。</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汇总评分结果。</w:t>
      </w:r>
    </w:p>
    <w:p>
      <w:pPr>
        <w:numPr>
          <w:ilvl w:val="0"/>
          <w:numId w:val="0"/>
        </w:numPr>
        <w:shd w:val="clear" w:color="auto" w:fill="FFFFFF"/>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C</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1</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D</w:t>
      </w:r>
      <w:r>
        <w:rPr>
          <w:rFonts w:hint="eastAsia" w:ascii="仿宋" w:hAnsi="仿宋" w:eastAsia="仿宋" w:cs="仿宋"/>
          <w:kern w:val="0"/>
          <w:sz w:val="32"/>
          <w:szCs w:val="32"/>
        </w:rPr>
        <w:t>+F+</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3</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G</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其中:C——</w:t>
      </w:r>
      <w:r>
        <w:rPr>
          <w:rFonts w:hint="eastAsia" w:ascii="仿宋" w:hAnsi="仿宋" w:eastAsia="仿宋" w:cs="仿宋"/>
          <w:kern w:val="0"/>
          <w:sz w:val="32"/>
          <w:szCs w:val="32"/>
          <w:lang w:val="en-US" w:eastAsia="zh-CN"/>
        </w:rPr>
        <w:t>总</w:t>
      </w:r>
      <w:r>
        <w:rPr>
          <w:rFonts w:hint="eastAsia" w:ascii="仿宋" w:hAnsi="仿宋" w:eastAsia="仿宋" w:cs="仿宋"/>
          <w:kern w:val="0"/>
          <w:sz w:val="32"/>
          <w:szCs w:val="32"/>
        </w:rPr>
        <w:t>得分；</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D——</w:t>
      </w:r>
      <w:r>
        <w:rPr>
          <w:rFonts w:hint="eastAsia" w:ascii="仿宋" w:hAnsi="仿宋" w:eastAsia="仿宋" w:cs="仿宋"/>
          <w:kern w:val="0"/>
          <w:sz w:val="32"/>
          <w:szCs w:val="32"/>
          <w:lang w:val="en-US" w:eastAsia="zh-CN"/>
        </w:rPr>
        <w:t>商务标</w:t>
      </w:r>
      <w:r>
        <w:rPr>
          <w:rFonts w:hint="eastAsia" w:ascii="仿宋" w:hAnsi="仿宋" w:eastAsia="仿宋" w:cs="仿宋"/>
          <w:kern w:val="0"/>
          <w:sz w:val="32"/>
          <w:szCs w:val="32"/>
        </w:rPr>
        <w:t>评审得分；</w:t>
      </w:r>
    </w:p>
    <w:p>
      <w:pPr>
        <w:numPr>
          <w:ilvl w:val="0"/>
          <w:numId w:val="0"/>
        </w:numPr>
        <w:shd w:val="clear" w:color="auto" w:fill="FFFFFF"/>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F——</w:t>
      </w:r>
      <w:r>
        <w:rPr>
          <w:rFonts w:hint="eastAsia" w:ascii="仿宋" w:hAnsi="仿宋" w:eastAsia="仿宋" w:cs="仿宋"/>
          <w:kern w:val="0"/>
          <w:sz w:val="32"/>
          <w:szCs w:val="32"/>
          <w:lang w:val="en-US" w:eastAsia="zh-CN"/>
        </w:rPr>
        <w:t>信用评价评审</w:t>
      </w:r>
      <w:r>
        <w:rPr>
          <w:rFonts w:hint="eastAsia" w:ascii="仿宋" w:hAnsi="仿宋" w:eastAsia="仿宋" w:cs="仿宋"/>
          <w:kern w:val="0"/>
          <w:sz w:val="32"/>
          <w:szCs w:val="32"/>
        </w:rPr>
        <w:t>得分</w:t>
      </w:r>
      <w:r>
        <w:rPr>
          <w:rFonts w:hint="eastAsia" w:ascii="仿宋" w:hAnsi="仿宋" w:eastAsia="仿宋" w:cs="仿宋"/>
          <w:kern w:val="0"/>
          <w:sz w:val="32"/>
          <w:szCs w:val="32"/>
          <w:lang w:eastAsia="zh-CN"/>
        </w:rPr>
        <w:t>；</w:t>
      </w:r>
    </w:p>
    <w:p>
      <w:pPr>
        <w:numPr>
          <w:ilvl w:val="0"/>
          <w:numId w:val="0"/>
        </w:numPr>
        <w:shd w:val="clear" w:color="auto" w:fill="FFFFFF"/>
        <w:ind w:firstLine="640" w:firstLineChars="200"/>
        <w:rPr>
          <w:rFonts w:hint="eastAsia" w:eastAsia="仿宋"/>
          <w:lang w:eastAsia="zh-CN"/>
        </w:rPr>
      </w:pPr>
      <w:r>
        <w:rPr>
          <w:rFonts w:hint="eastAsia" w:ascii="仿宋" w:hAnsi="仿宋" w:eastAsia="仿宋" w:cs="仿宋"/>
          <w:kern w:val="0"/>
          <w:sz w:val="32"/>
          <w:szCs w:val="32"/>
          <w:lang w:val="en-US" w:eastAsia="zh-CN"/>
        </w:rPr>
        <w:t>G</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投标</w:t>
      </w:r>
      <w:r>
        <w:rPr>
          <w:rFonts w:hint="eastAsia" w:ascii="仿宋" w:hAnsi="仿宋" w:eastAsia="仿宋" w:cs="仿宋"/>
          <w:kern w:val="0"/>
          <w:sz w:val="32"/>
          <w:szCs w:val="32"/>
        </w:rPr>
        <w:t>报价评审得分</w:t>
      </w:r>
      <w:r>
        <w:rPr>
          <w:rFonts w:hint="eastAsia" w:ascii="仿宋" w:hAnsi="仿宋" w:eastAsia="仿宋" w:cs="仿宋"/>
          <w:kern w:val="0"/>
          <w:sz w:val="32"/>
          <w:szCs w:val="32"/>
          <w:lang w:eastAsia="zh-CN"/>
        </w:rPr>
        <w:t>；</w:t>
      </w:r>
    </w:p>
    <w:p>
      <w:pPr>
        <w:numPr>
          <w:ilvl w:val="0"/>
          <w:numId w:val="0"/>
        </w:numPr>
        <w:shd w:val="clear" w:color="auto" w:fill="FFFFFF"/>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1、</w:t>
      </w:r>
      <w:r>
        <w:rPr>
          <w:rFonts w:hint="eastAsia" w:ascii="仿宋" w:hAnsi="仿宋" w:eastAsia="仿宋" w:cs="仿宋"/>
          <w:kern w:val="0"/>
          <w:sz w:val="32"/>
          <w:szCs w:val="32"/>
          <w:lang w:val="en-US" w:eastAsia="zh-CN"/>
        </w:rPr>
        <w:t>Q</w:t>
      </w:r>
      <w:r>
        <w:rPr>
          <w:rFonts w:hint="eastAsia" w:ascii="仿宋" w:hAnsi="仿宋" w:eastAsia="仿宋" w:cs="仿宋"/>
          <w:kern w:val="0"/>
          <w:sz w:val="32"/>
          <w:szCs w:val="32"/>
          <w:vertAlign w:val="subscript"/>
          <w:lang w:val="en-US" w:eastAsia="zh-CN"/>
        </w:rPr>
        <w:t>3</w:t>
      </w:r>
      <w:r>
        <w:rPr>
          <w:rFonts w:hint="eastAsia" w:ascii="仿宋" w:hAnsi="仿宋" w:eastAsia="仿宋" w:cs="仿宋"/>
          <w:kern w:val="0"/>
          <w:sz w:val="32"/>
          <w:szCs w:val="32"/>
        </w:rPr>
        <w:t>——各项评审因素的权重</w:t>
      </w:r>
      <w:r>
        <w:rPr>
          <w:rFonts w:hint="eastAsia" w:ascii="仿宋" w:hAnsi="仿宋" w:eastAsia="仿宋" w:cs="仿宋"/>
          <w:kern w:val="0"/>
          <w:sz w:val="32"/>
          <w:szCs w:val="32"/>
          <w:lang w:eastAsia="zh-CN"/>
        </w:rPr>
        <w:t>。</w:t>
      </w:r>
    </w:p>
    <w:p>
      <w:pPr>
        <w:numPr>
          <w:ilvl w:val="0"/>
          <w:numId w:val="0"/>
        </w:numPr>
        <w:shd w:val="clear" w:color="auto" w:fill="FFFFFF"/>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招标人根据以下评审因素权重表在招标文件中明确所选评审因素权重。</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4200"/>
        <w:gridCol w:w="2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132" w:type="dxa"/>
            <w:tcBorders>
              <w:left w:val="nil"/>
            </w:tcBorders>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序号</w:t>
            </w:r>
          </w:p>
        </w:tc>
        <w:tc>
          <w:tcPr>
            <w:tcW w:w="4200" w:type="dxa"/>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评审因素</w:t>
            </w:r>
          </w:p>
        </w:tc>
        <w:tc>
          <w:tcPr>
            <w:tcW w:w="2640" w:type="dxa"/>
            <w:tcBorders>
              <w:right w:val="nil"/>
            </w:tcBorders>
            <w:noWrap w:val="0"/>
            <w:vAlign w:val="center"/>
          </w:tcPr>
          <w:p>
            <w:pPr>
              <w:widowControl/>
              <w:spacing w:line="320" w:lineRule="exact"/>
              <w:jc w:val="center"/>
              <w:rPr>
                <w:rFonts w:hint="eastAsia" w:ascii="仿宋_GB2312" w:hAnsi="仿宋" w:cs="仿宋_GB2312"/>
                <w:kern w:val="0"/>
              </w:rPr>
            </w:pPr>
            <w:r>
              <w:rPr>
                <w:rFonts w:hint="eastAsia" w:ascii="仿宋_GB2312" w:hAnsi="仿宋" w:cs="仿宋_GB2312"/>
                <w:kern w:val="0"/>
              </w:rPr>
              <w:t>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1</w:t>
            </w:r>
          </w:p>
        </w:tc>
        <w:tc>
          <w:tcPr>
            <w:tcW w:w="4200" w:type="dxa"/>
            <w:noWrap w:val="0"/>
            <w:vAlign w:val="center"/>
          </w:tcPr>
          <w:p>
            <w:pPr>
              <w:spacing w:line="320" w:lineRule="exact"/>
              <w:jc w:val="center"/>
              <w:rPr>
                <w:rFonts w:hint="eastAsia" w:ascii="仿宋_GB2312" w:hAnsi="仿宋" w:cs="仿宋_GB2312"/>
              </w:rPr>
            </w:pPr>
            <w:r>
              <w:rPr>
                <w:rFonts w:hint="eastAsia" w:ascii="仿宋_GB2312" w:hAnsi="仿宋" w:cs="仿宋"/>
                <w:lang w:val="en-US" w:eastAsia="zh-CN"/>
              </w:rPr>
              <w:t>商务标Q</w:t>
            </w:r>
            <w:r>
              <w:rPr>
                <w:rFonts w:hint="eastAsia" w:ascii="仿宋_GB2312"/>
                <w:kern w:val="0"/>
                <w:vertAlign w:val="subscript"/>
              </w:rPr>
              <w:t>1</w:t>
            </w:r>
          </w:p>
        </w:tc>
        <w:tc>
          <w:tcPr>
            <w:tcW w:w="2640" w:type="dxa"/>
            <w:tcBorders>
              <w:right w:val="nil"/>
            </w:tcBorders>
            <w:noWrap w:val="0"/>
            <w:vAlign w:val="center"/>
          </w:tcPr>
          <w:p>
            <w:pPr>
              <w:spacing w:line="320" w:lineRule="exact"/>
              <w:jc w:val="center"/>
              <w:rPr>
                <w:rFonts w:hint="default" w:ascii="仿宋_GB2312" w:eastAsia="宋体"/>
                <w:lang w:val="en-US" w:eastAsia="zh-CN"/>
              </w:rPr>
            </w:pPr>
            <w:r>
              <w:rPr>
                <w:rFonts w:hint="default" w:ascii="仿宋_GB2312" w:hAnsi="仿宋" w:cs="仿宋"/>
                <w:lang w:val="en-US" w:eastAsia="zh-CN"/>
              </w:rPr>
              <w:t>≤</w:t>
            </w:r>
            <w:r>
              <w:rPr>
                <w:rFonts w:hint="eastAsia" w:ascii="仿宋_GB2312" w:hAnsi="仿宋" w:cs="仿宋"/>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2</w:t>
            </w:r>
          </w:p>
        </w:tc>
        <w:tc>
          <w:tcPr>
            <w:tcW w:w="4200" w:type="dxa"/>
            <w:noWrap w:val="0"/>
            <w:vAlign w:val="center"/>
          </w:tcPr>
          <w:p>
            <w:pPr>
              <w:spacing w:line="320" w:lineRule="exact"/>
              <w:jc w:val="center"/>
              <w:rPr>
                <w:rFonts w:hint="eastAsia" w:ascii="仿宋_GB2312" w:hAnsi="仿宋" w:eastAsia="宋体" w:cs="仿宋"/>
                <w:kern w:val="2"/>
                <w:sz w:val="21"/>
                <w:szCs w:val="24"/>
                <w:lang w:val="en-US" w:eastAsia="zh-CN" w:bidi="ar-SA"/>
              </w:rPr>
            </w:pPr>
            <w:r>
              <w:rPr>
                <w:rFonts w:hint="eastAsia" w:ascii="仿宋_GB2312" w:hAnsi="仿宋" w:cs="仿宋_GB2312"/>
                <w:kern w:val="0"/>
                <w:lang w:val="en-US" w:eastAsia="zh-CN"/>
              </w:rPr>
              <w:t>投标报价</w:t>
            </w:r>
            <w:r>
              <w:rPr>
                <w:rFonts w:hint="eastAsia" w:ascii="仿宋_GB2312"/>
                <w:iCs/>
                <w:kern w:val="0"/>
                <w:lang w:val="en-US" w:eastAsia="zh-CN"/>
              </w:rPr>
              <w:t>Q</w:t>
            </w:r>
            <w:r>
              <w:rPr>
                <w:rFonts w:hint="eastAsia" w:ascii="仿宋_GB2312"/>
                <w:kern w:val="0"/>
                <w:vertAlign w:val="subscript"/>
              </w:rPr>
              <w:t>3</w:t>
            </w:r>
          </w:p>
        </w:tc>
        <w:tc>
          <w:tcPr>
            <w:tcW w:w="2640" w:type="dxa"/>
            <w:tcBorders>
              <w:right w:val="nil"/>
            </w:tcBorders>
            <w:noWrap w:val="0"/>
            <w:vAlign w:val="center"/>
          </w:tcPr>
          <w:p>
            <w:pPr>
              <w:spacing w:line="320" w:lineRule="exact"/>
              <w:jc w:val="center"/>
              <w:rPr>
                <w:rFonts w:hint="default" w:ascii="仿宋_GB2312" w:hAnsi="Times New Roman" w:eastAsia="宋体" w:cs="Times New Roman"/>
                <w:kern w:val="2"/>
                <w:sz w:val="21"/>
                <w:szCs w:val="24"/>
                <w:lang w:val="en-US" w:eastAsia="zh-CN" w:bidi="ar-SA"/>
              </w:rPr>
            </w:pPr>
            <w:r>
              <w:rPr>
                <w:rFonts w:hint="default" w:ascii="仿宋_GB2312" w:hAnsi="仿宋" w:cs="仿宋"/>
                <w:lang w:val="en-US" w:eastAsia="zh-CN"/>
              </w:rPr>
              <w:t>≥</w:t>
            </w:r>
            <w:r>
              <w:rPr>
                <w:rFonts w:hint="eastAsia" w:ascii="仿宋_GB2312" w:hAnsi="仿宋" w:cs="仿宋"/>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exact"/>
          <w:jc w:val="center"/>
        </w:trPr>
        <w:tc>
          <w:tcPr>
            <w:tcW w:w="1132" w:type="dxa"/>
            <w:tcBorders>
              <w:left w:val="nil"/>
            </w:tcBorders>
            <w:noWrap w:val="0"/>
            <w:vAlign w:val="center"/>
          </w:tcPr>
          <w:p>
            <w:pPr>
              <w:spacing w:line="320" w:lineRule="exact"/>
              <w:jc w:val="center"/>
              <w:rPr>
                <w:rFonts w:hint="eastAsia" w:ascii="仿宋_GB2312"/>
              </w:rPr>
            </w:pPr>
            <w:r>
              <w:rPr>
                <w:rFonts w:hint="eastAsia" w:ascii="仿宋_GB2312"/>
              </w:rPr>
              <w:t>3</w:t>
            </w:r>
          </w:p>
        </w:tc>
        <w:tc>
          <w:tcPr>
            <w:tcW w:w="4200" w:type="dxa"/>
            <w:noWrap w:val="0"/>
            <w:vAlign w:val="center"/>
          </w:tcPr>
          <w:p>
            <w:pPr>
              <w:spacing w:line="320" w:lineRule="exact"/>
              <w:jc w:val="center"/>
              <w:rPr>
                <w:rFonts w:hint="eastAsia" w:ascii="仿宋_GB2312" w:hAnsi="仿宋" w:cs="仿宋"/>
              </w:rPr>
            </w:pPr>
            <w:r>
              <w:rPr>
                <w:rFonts w:hint="eastAsia" w:ascii="仿宋_GB2312" w:hAnsi="仿宋" w:cs="仿宋_GB2312"/>
                <w:kern w:val="0"/>
                <w:lang w:val="en-US" w:eastAsia="zh-CN"/>
              </w:rPr>
              <w:t>信用评价F</w:t>
            </w:r>
          </w:p>
        </w:tc>
        <w:tc>
          <w:tcPr>
            <w:tcW w:w="2640" w:type="dxa"/>
            <w:tcBorders>
              <w:right w:val="nil"/>
            </w:tcBorders>
            <w:noWrap w:val="0"/>
            <w:vAlign w:val="center"/>
          </w:tcPr>
          <w:p>
            <w:pPr>
              <w:spacing w:line="320" w:lineRule="exact"/>
              <w:jc w:val="center"/>
              <w:rPr>
                <w:rFonts w:hint="default" w:ascii="仿宋_GB2312"/>
                <w:lang w:val="en-US"/>
              </w:rPr>
            </w:pPr>
            <w:r>
              <w:rPr>
                <w:rFonts w:hint="eastAsia" w:ascii="仿宋_GB2312" w:hAnsi="仿宋" w:cs="仿宋"/>
                <w:lang w:val="en-US" w:eastAsia="zh-CN"/>
              </w:rPr>
              <w:t>10(</w:t>
            </w:r>
            <w:r>
              <w:rPr>
                <w:rFonts w:hint="eastAsia" w:ascii="仿宋_GB2312" w:hAnsi="仿宋" w:cs="仿宋_GB2312"/>
                <w:kern w:val="0"/>
                <w:lang w:val="en-US" w:eastAsia="zh-CN"/>
              </w:rPr>
              <w:t>固定分值</w:t>
            </w:r>
            <w:r>
              <w:rPr>
                <w:rFonts w:hint="eastAsia" w:ascii="仿宋_GB2312" w:hAnsi="仿宋" w:cs="仿宋"/>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5332" w:type="dxa"/>
            <w:gridSpan w:val="2"/>
            <w:tcBorders>
              <w:left w:val="nil"/>
            </w:tcBorders>
            <w:noWrap w:val="0"/>
            <w:vAlign w:val="center"/>
          </w:tcPr>
          <w:p>
            <w:pPr>
              <w:spacing w:line="320" w:lineRule="exact"/>
              <w:jc w:val="center"/>
              <w:rPr>
                <w:rFonts w:hint="eastAsia" w:ascii="仿宋_GB2312" w:hAnsi="仿宋" w:cs="仿宋_GB2312"/>
              </w:rPr>
            </w:pPr>
            <w:r>
              <w:rPr>
                <w:rFonts w:hint="eastAsia" w:ascii="仿宋_GB2312" w:hAnsi="仿宋" w:cs="仿宋_GB2312"/>
                <w:kern w:val="0"/>
              </w:rPr>
              <w:t>评审因素权重</w:t>
            </w:r>
            <w:r>
              <w:rPr>
                <w:rFonts w:hint="eastAsia" w:ascii="仿宋_GB2312" w:hAnsi="仿宋" w:cs="仿宋_GB2312"/>
              </w:rPr>
              <w:t>合计</w:t>
            </w:r>
          </w:p>
        </w:tc>
        <w:tc>
          <w:tcPr>
            <w:tcW w:w="2640" w:type="dxa"/>
            <w:tcBorders>
              <w:right w:val="nil"/>
            </w:tcBorders>
            <w:noWrap w:val="0"/>
            <w:vAlign w:val="center"/>
          </w:tcPr>
          <w:p>
            <w:pPr>
              <w:spacing w:line="320" w:lineRule="exact"/>
              <w:jc w:val="center"/>
              <w:rPr>
                <w:rFonts w:hint="default" w:ascii="仿宋_GB2312" w:eastAsia="宋体"/>
                <w:lang w:val="en-US" w:eastAsia="zh-CN"/>
              </w:rPr>
            </w:pPr>
            <w:r>
              <w:rPr>
                <w:rFonts w:hint="eastAsia" w:ascii="仿宋_GB2312" w:hAnsi="仿宋" w:cs="仿宋"/>
                <w:lang w:val="en-US" w:eastAsia="zh-CN"/>
              </w:rPr>
              <w:t>100%</w:t>
            </w:r>
          </w:p>
        </w:tc>
      </w:tr>
    </w:tbl>
    <w:p>
      <w:pPr>
        <w:pStyle w:val="7"/>
        <w:rPr>
          <w:rFonts w:hint="eastAsia"/>
        </w:rPr>
      </w:pPr>
    </w:p>
    <w:p>
      <w:pPr>
        <w:numPr>
          <w:ilvl w:val="0"/>
          <w:numId w:val="0"/>
        </w:numPr>
        <w:shd w:val="clear" w:color="auto" w:fill="FFFFFF"/>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r>
        <w:rPr>
          <w:rFonts w:hint="default" w:ascii="仿宋" w:hAnsi="仿宋" w:eastAsia="仿宋" w:cs="仿宋"/>
          <w:kern w:val="0"/>
          <w:sz w:val="32"/>
          <w:szCs w:val="32"/>
          <w:lang w:val="en-US" w:eastAsia="zh-CN"/>
        </w:rPr>
        <w:t>评标委员会</w:t>
      </w:r>
      <w:r>
        <w:rPr>
          <w:rFonts w:hint="eastAsia" w:ascii="仿宋" w:hAnsi="仿宋" w:eastAsia="仿宋" w:cs="仿宋"/>
          <w:kern w:val="0"/>
          <w:sz w:val="32"/>
          <w:szCs w:val="32"/>
          <w:lang w:val="en-US" w:eastAsia="zh-CN"/>
        </w:rPr>
        <w:t>根据评标总得分由高到低</w:t>
      </w:r>
      <w:r>
        <w:rPr>
          <w:rFonts w:hint="default" w:ascii="仿宋" w:hAnsi="仿宋" w:eastAsia="仿宋" w:cs="仿宋"/>
          <w:kern w:val="0"/>
          <w:sz w:val="32"/>
          <w:szCs w:val="32"/>
          <w:lang w:val="en-US" w:eastAsia="zh-CN"/>
        </w:rPr>
        <w:t>依次排序，选取前X名为</w:t>
      </w:r>
      <w:r>
        <w:rPr>
          <w:rFonts w:hint="eastAsia" w:ascii="仿宋" w:hAnsi="仿宋" w:eastAsia="仿宋" w:cs="仿宋"/>
          <w:kern w:val="0"/>
          <w:sz w:val="32"/>
          <w:szCs w:val="32"/>
          <w:lang w:val="en-US" w:eastAsia="zh-CN"/>
        </w:rPr>
        <w:t>入围</w:t>
      </w:r>
      <w:r>
        <w:rPr>
          <w:rFonts w:hint="default" w:ascii="仿宋" w:hAnsi="仿宋" w:eastAsia="仿宋" w:cs="仿宋"/>
          <w:kern w:val="0"/>
          <w:sz w:val="32"/>
          <w:szCs w:val="32"/>
          <w:lang w:val="en-US" w:eastAsia="zh-CN"/>
        </w:rPr>
        <w:t>投标人（当出现投标人名次相同时，由评标委员会按投标报价由低到高进行排序）并对其投标文件进行下阶段评审</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X为推荐</w:t>
      </w:r>
      <w:r>
        <w:rPr>
          <w:rFonts w:hint="eastAsia" w:ascii="仿宋" w:hAnsi="仿宋" w:eastAsia="仿宋" w:cs="仿宋"/>
          <w:kern w:val="0"/>
          <w:sz w:val="32"/>
          <w:szCs w:val="32"/>
          <w:lang w:val="en-US" w:eastAsia="zh-CN"/>
        </w:rPr>
        <w:t>入围</w:t>
      </w:r>
      <w:r>
        <w:rPr>
          <w:rFonts w:hint="default" w:ascii="仿宋" w:hAnsi="仿宋" w:eastAsia="仿宋" w:cs="仿宋"/>
          <w:kern w:val="0"/>
          <w:sz w:val="32"/>
          <w:szCs w:val="32"/>
          <w:lang w:val="en-US" w:eastAsia="zh-CN"/>
        </w:rPr>
        <w:t>投标人数量，由招标人在招标文件中明确具体数值</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w:t>
      </w:r>
    </w:p>
    <w:p>
      <w:pPr>
        <w:numPr>
          <w:ilvl w:val="0"/>
          <w:numId w:val="0"/>
        </w:numPr>
        <w:shd w:val="clear" w:color="auto" w:fill="FFFFFF"/>
        <w:ind w:firstLine="642" w:firstLineChars="200"/>
        <w:rPr>
          <w:rFonts w:hint="eastAsia" w:ascii="楷体" w:hAnsi="楷体" w:eastAsia="楷体" w:cs="楷体"/>
          <w:b/>
          <w:bCs w:val="0"/>
          <w:kern w:val="0"/>
          <w:sz w:val="32"/>
          <w:szCs w:val="32"/>
        </w:rPr>
      </w:pPr>
      <w:r>
        <w:rPr>
          <w:rFonts w:hint="eastAsia" w:ascii="楷体" w:hAnsi="楷体" w:eastAsia="楷体" w:cs="楷体"/>
          <w:b/>
          <w:bCs w:val="0"/>
          <w:kern w:val="0"/>
          <w:sz w:val="32"/>
          <w:szCs w:val="32"/>
          <w:lang w:val="en-US" w:eastAsia="zh-CN"/>
        </w:rPr>
        <w:t>三、技术标定性</w:t>
      </w:r>
      <w:r>
        <w:rPr>
          <w:rFonts w:hint="eastAsia" w:ascii="楷体" w:hAnsi="楷体" w:eastAsia="楷体" w:cs="楷体"/>
          <w:b/>
          <w:bCs w:val="0"/>
          <w:kern w:val="0"/>
          <w:sz w:val="32"/>
          <w:szCs w:val="32"/>
        </w:rPr>
        <w:t>评审</w:t>
      </w:r>
    </w:p>
    <w:p>
      <w:pPr>
        <w:numPr>
          <w:ilvl w:val="0"/>
          <w:numId w:val="0"/>
        </w:numPr>
        <w:shd w:val="clear" w:color="auto" w:fill="FFFFFF"/>
        <w:ind w:firstLine="640" w:firstLineChars="200"/>
        <w:rPr>
          <w:rFonts w:hint="eastAsia"/>
          <w:lang w:val="en-US"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经</w:t>
      </w:r>
      <w:r>
        <w:rPr>
          <w:rFonts w:hint="eastAsia" w:ascii="仿宋" w:hAnsi="仿宋" w:eastAsia="仿宋" w:cs="仿宋"/>
          <w:kern w:val="0"/>
          <w:sz w:val="32"/>
          <w:szCs w:val="32"/>
          <w:lang w:val="en-US" w:eastAsia="zh-CN"/>
        </w:rPr>
        <w:t>上阶段</w:t>
      </w:r>
      <w:r>
        <w:rPr>
          <w:rFonts w:hint="eastAsia" w:ascii="仿宋" w:hAnsi="仿宋" w:eastAsia="仿宋" w:cs="仿宋"/>
          <w:kern w:val="0"/>
          <w:sz w:val="32"/>
          <w:szCs w:val="32"/>
        </w:rPr>
        <w:t>评审合格的</w:t>
      </w:r>
      <w:r>
        <w:rPr>
          <w:rFonts w:hint="eastAsia" w:ascii="仿宋" w:hAnsi="仿宋" w:eastAsia="仿宋" w:cs="仿宋"/>
          <w:kern w:val="0"/>
          <w:sz w:val="32"/>
          <w:szCs w:val="32"/>
          <w:lang w:val="en-US" w:eastAsia="zh-CN"/>
        </w:rPr>
        <w:t>入围</w:t>
      </w:r>
      <w:r>
        <w:rPr>
          <w:rFonts w:hint="eastAsia" w:ascii="仿宋" w:hAnsi="仿宋" w:eastAsia="仿宋" w:cs="仿宋"/>
          <w:kern w:val="0"/>
          <w:sz w:val="32"/>
          <w:szCs w:val="32"/>
        </w:rPr>
        <w:t>投标人，由评标委员会根据招标文件确定的评审因素和评审标准</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参照技术标定性评审标准（3-4、3-5、3-6）</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采取定性评审的方法进行评审。</w:t>
      </w:r>
    </w:p>
    <w:p>
      <w:pPr>
        <w:numPr>
          <w:ilvl w:val="0"/>
          <w:numId w:val="0"/>
        </w:numPr>
        <w:shd w:val="clear" w:color="auto" w:fill="FFFFFF"/>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2、技术标评审</w:t>
      </w:r>
      <w:r>
        <w:rPr>
          <w:rFonts w:hint="default" w:ascii="仿宋" w:hAnsi="仿宋" w:eastAsia="仿宋" w:cs="仿宋"/>
          <w:kern w:val="0"/>
          <w:sz w:val="32"/>
          <w:szCs w:val="32"/>
          <w:lang w:val="en-US" w:eastAsia="zh-CN"/>
        </w:rPr>
        <w:t>采用暗标和评委个人评审方式</w:t>
      </w:r>
      <w:r>
        <w:rPr>
          <w:rFonts w:hint="eastAsia" w:ascii="仿宋" w:hAnsi="仿宋" w:eastAsia="仿宋" w:cs="仿宋"/>
          <w:kern w:val="0"/>
          <w:sz w:val="32"/>
          <w:szCs w:val="32"/>
          <w:lang w:val="en-US" w:eastAsia="zh-CN"/>
        </w:rPr>
        <w:t>进行</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评标委员会成员应指出每家投标人技术标的优点和存在的缺陷、签订合同前应注意和澄清的事项等情况。</w:t>
      </w:r>
    </w:p>
    <w:p>
      <w:pPr>
        <w:pStyle w:val="7"/>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w:t>
      </w:r>
      <w:r>
        <w:rPr>
          <w:rFonts w:hint="default" w:ascii="仿宋" w:hAnsi="仿宋" w:eastAsia="仿宋" w:cs="仿宋"/>
          <w:kern w:val="0"/>
          <w:sz w:val="32"/>
          <w:szCs w:val="32"/>
          <w:lang w:val="en-US" w:eastAsia="zh-CN"/>
        </w:rPr>
        <w:t>评委个人</w:t>
      </w:r>
      <w:r>
        <w:rPr>
          <w:rFonts w:hint="default" w:ascii="仿宋" w:hAnsi="仿宋" w:eastAsia="仿宋" w:cs="仿宋"/>
          <w:kern w:val="0"/>
          <w:sz w:val="32"/>
          <w:szCs w:val="32"/>
          <w:lang w:val="en-US" w:eastAsia="zh-CN" w:bidi="ar-SA"/>
        </w:rPr>
        <w:t>评审</w:t>
      </w:r>
      <w:r>
        <w:rPr>
          <w:rFonts w:hint="eastAsia" w:ascii="仿宋" w:hAnsi="仿宋" w:eastAsia="仿宋" w:cs="仿宋"/>
          <w:kern w:val="0"/>
          <w:sz w:val="32"/>
          <w:szCs w:val="32"/>
          <w:lang w:val="en-US" w:eastAsia="zh-CN" w:bidi="ar-SA"/>
        </w:rPr>
        <w:t>完成后，由评标委员会组长组织评标委员会成员按照技术标定性评审汇总表（附件3-7）汇总评审情况。</w:t>
      </w:r>
    </w:p>
    <w:p>
      <w:pPr>
        <w:numPr>
          <w:ilvl w:val="0"/>
          <w:numId w:val="0"/>
        </w:numPr>
        <w:shd w:val="clear" w:color="auto" w:fill="FFFFFF"/>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4、评标委员会向招标人推荐合格的定标候选人。</w:t>
      </w:r>
      <w:r>
        <w:rPr>
          <w:rFonts w:hint="default" w:ascii="仿宋" w:hAnsi="仿宋" w:eastAsia="仿宋" w:cs="仿宋"/>
          <w:kern w:val="0"/>
          <w:sz w:val="32"/>
          <w:szCs w:val="32"/>
          <w:lang w:val="en-US" w:eastAsia="zh-CN"/>
        </w:rPr>
        <w:t>推荐的</w:t>
      </w:r>
      <w:r>
        <w:rPr>
          <w:rFonts w:hint="eastAsia" w:ascii="仿宋" w:hAnsi="仿宋" w:eastAsia="仿宋" w:cs="仿宋"/>
          <w:kern w:val="0"/>
          <w:sz w:val="32"/>
          <w:szCs w:val="32"/>
          <w:lang w:val="en-US" w:eastAsia="zh-CN"/>
        </w:rPr>
        <w:t>定标候选人</w:t>
      </w:r>
      <w:r>
        <w:rPr>
          <w:rFonts w:hint="default" w:ascii="仿宋" w:hAnsi="仿宋" w:eastAsia="仿宋" w:cs="仿宋"/>
          <w:kern w:val="0"/>
          <w:sz w:val="32"/>
          <w:szCs w:val="32"/>
          <w:lang w:val="en-US" w:eastAsia="zh-CN"/>
        </w:rPr>
        <w:t>不排序，由招标人</w:t>
      </w:r>
      <w:r>
        <w:rPr>
          <w:rFonts w:hint="eastAsia" w:ascii="仿宋" w:hAnsi="仿宋" w:eastAsia="仿宋" w:cs="仿宋"/>
          <w:kern w:val="0"/>
          <w:sz w:val="32"/>
          <w:szCs w:val="32"/>
          <w:lang w:val="en-US" w:eastAsia="zh-CN"/>
        </w:rPr>
        <w:t>按照《自治区房屋建筑和市政基础设施工程建设项目招标“评定分离”操作指导规则（试行）》的要求，</w:t>
      </w:r>
      <w:r>
        <w:rPr>
          <w:rFonts w:hint="default" w:ascii="仿宋" w:hAnsi="仿宋" w:eastAsia="仿宋" w:cs="仿宋"/>
          <w:kern w:val="0"/>
          <w:sz w:val="32"/>
          <w:szCs w:val="32"/>
          <w:lang w:val="en-US" w:eastAsia="zh-CN"/>
        </w:rPr>
        <w:t>另行组织定标委员会进行定标程序。</w:t>
      </w: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附表1：</w:t>
      </w:r>
    </w:p>
    <w:p>
      <w:pPr>
        <w:pStyle w:val="2"/>
        <w:ind w:left="0" w:leftChars="0" w:firstLine="0" w:firstLineChars="0"/>
        <w:jc w:val="center"/>
        <w:rPr>
          <w:rFonts w:hint="eastAsia"/>
        </w:rPr>
      </w:pPr>
      <w:r>
        <w:rPr>
          <w:rFonts w:hint="eastAsia" w:ascii="仿宋" w:hAnsi="仿宋" w:eastAsia="仿宋" w:cs="仿宋"/>
          <w:b/>
          <w:bCs/>
          <w:color w:val="000000"/>
          <w:sz w:val="32"/>
          <w:szCs w:val="32"/>
          <w:highlight w:val="none"/>
        </w:rPr>
        <w:t>初步评审</w:t>
      </w:r>
      <w:r>
        <w:rPr>
          <w:rFonts w:hint="eastAsia" w:ascii="仿宋" w:hAnsi="仿宋" w:eastAsia="仿宋" w:cs="仿宋"/>
          <w:b/>
          <w:bCs/>
          <w:color w:val="000000"/>
          <w:sz w:val="32"/>
          <w:szCs w:val="32"/>
          <w:highlight w:val="none"/>
          <w:lang w:val="en-US" w:eastAsia="zh-CN"/>
        </w:rPr>
        <w:t>标准</w:t>
      </w:r>
    </w:p>
    <w:bookmarkEnd w:id="0"/>
    <w:bookmarkEnd w:id="1"/>
    <w:tbl>
      <w:tblPr>
        <w:tblStyle w:val="12"/>
        <w:tblW w:w="8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1002"/>
        <w:gridCol w:w="1752"/>
        <w:gridCol w:w="4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625" w:type="dxa"/>
            <w:gridSpan w:val="2"/>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ascii="宋体" w:hAnsi="宋体"/>
                <w:b/>
                <w:color w:val="auto"/>
                <w:szCs w:val="21"/>
              </w:rPr>
              <w:t>条款号</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ascii="宋体" w:hAnsi="宋体"/>
                <w:b/>
                <w:color w:val="auto"/>
                <w:szCs w:val="21"/>
              </w:rPr>
              <w:t>评审因素</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ascii="宋体" w:hAnsi="宋体"/>
                <w:b/>
                <w:color w:val="auto"/>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002" w:type="dxa"/>
            <w:vMerge w:val="restart"/>
            <w:tcBorders>
              <w:top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形式评审标准</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投标人名称</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Cs w:val="21"/>
              </w:rPr>
            </w:pPr>
            <w:r>
              <w:rPr>
                <w:rFonts w:hint="eastAsia" w:ascii="宋体" w:hAnsi="宋体" w:cs="宋体"/>
                <w:color w:val="auto"/>
                <w:szCs w:val="21"/>
              </w:rPr>
              <w:t>与营业执照、资质证书、</w:t>
            </w:r>
            <w:r>
              <w:rPr>
                <w:rFonts w:ascii="宋体" w:hAnsi="宋体" w:cs="宋体"/>
                <w:color w:val="auto"/>
                <w:szCs w:val="21"/>
              </w:rPr>
              <w:t>安全生产</w:t>
            </w:r>
            <w:r>
              <w:rPr>
                <w:rFonts w:hint="eastAsia" w:ascii="宋体" w:hAnsi="宋体" w:cs="宋体"/>
                <w:color w:val="auto"/>
                <w:szCs w:val="21"/>
              </w:rPr>
              <w:t>许可</w:t>
            </w:r>
            <w:r>
              <w:rPr>
                <w:rFonts w:ascii="宋体" w:hAnsi="宋体" w:cs="宋体"/>
                <w:color w:val="auto"/>
                <w:szCs w:val="21"/>
              </w:rPr>
              <w:t>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002"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投标函签字盖章</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r>
              <w:rPr>
                <w:rFonts w:hint="eastAsia"/>
                <w:szCs w:val="21"/>
              </w:rPr>
              <w:t>由法定代表人（或其委托代理人）签名（或加盖印章），并</w:t>
            </w:r>
            <w:r>
              <w:rPr>
                <w:szCs w:val="21"/>
              </w:rPr>
              <w:t>加盖</w:t>
            </w:r>
            <w:r>
              <w:rPr>
                <w:rFonts w:hint="eastAsia"/>
                <w:szCs w:val="21"/>
              </w:rPr>
              <w:t>投标人的</w:t>
            </w:r>
            <w:r>
              <w:rPr>
                <w:szCs w:val="21"/>
              </w:rPr>
              <w:t>单位公章</w:t>
            </w:r>
            <w:r>
              <w:rPr>
                <w:rFonts w:hint="eastAsia"/>
                <w:szCs w:val="21"/>
              </w:rPr>
              <w:t>。</w:t>
            </w:r>
            <w:r>
              <w:rPr>
                <w:szCs w:val="21"/>
              </w:rPr>
              <w:t>投标人加盖的单位公章与其营业执照的单位名称</w:t>
            </w:r>
            <w:r>
              <w:rPr>
                <w:rFonts w:hint="eastAsia"/>
                <w:szCs w:val="21"/>
              </w:rPr>
              <w:t>应当</w:t>
            </w:r>
            <w:r>
              <w:rPr>
                <w:szCs w:val="21"/>
              </w:rPr>
              <w:t>一致</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002"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投标文件</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r>
              <w:rPr>
                <w:rFonts w:hint="eastAsia"/>
                <w:szCs w:val="21"/>
              </w:rPr>
              <w:t>同一</w:t>
            </w:r>
            <w:r>
              <w:rPr>
                <w:szCs w:val="21"/>
              </w:rPr>
              <w:t>投标人</w:t>
            </w:r>
            <w:r>
              <w:rPr>
                <w:rFonts w:hint="eastAsia"/>
                <w:szCs w:val="21"/>
              </w:rPr>
              <w:t>未</w:t>
            </w:r>
            <w:r>
              <w:rPr>
                <w:szCs w:val="21"/>
              </w:rPr>
              <w:t>提交两份以上</w:t>
            </w:r>
            <w:r>
              <w:rPr>
                <w:rFonts w:hint="eastAsia"/>
                <w:szCs w:val="21"/>
              </w:rPr>
              <w:t>不同内容</w:t>
            </w:r>
            <w:r>
              <w:rPr>
                <w:szCs w:val="21"/>
              </w:rPr>
              <w:t>的投标文件</w:t>
            </w:r>
            <w:r>
              <w:rPr>
                <w:rFonts w:hint="eastAsia"/>
                <w:szCs w:val="21"/>
              </w:rPr>
              <w:t>，</w:t>
            </w:r>
            <w:r>
              <w:rPr>
                <w:szCs w:val="21"/>
              </w:rPr>
              <w:t>但招标文件要求提交备选投标的除外</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002"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联合体投标人</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auto"/>
                <w:szCs w:val="21"/>
                <w:lang w:eastAsia="zh-CN"/>
              </w:rPr>
            </w:pPr>
            <w:r>
              <w:rPr>
                <w:rFonts w:ascii="宋体" w:hAnsi="宋体"/>
                <w:color w:val="auto"/>
                <w:szCs w:val="21"/>
              </w:rPr>
              <w:t>提交联合体协议书，并明确联合体牵头人</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002" w:type="dxa"/>
            <w:vMerge w:val="continue"/>
            <w:tcBorders>
              <w:right w:val="single" w:color="auto" w:sz="4" w:space="0"/>
            </w:tcBorders>
            <w:noWrap w:val="0"/>
            <w:vAlign w:val="center"/>
          </w:tcPr>
          <w:p>
            <w:pPr>
              <w:spacing w:line="360" w:lineRule="auto"/>
              <w:jc w:val="cente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ascii="宋体" w:hAnsi="宋体"/>
                <w:color w:val="auto"/>
                <w:szCs w:val="21"/>
              </w:rPr>
              <w:t>报价唯一</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r>
              <w:rPr>
                <w:rFonts w:ascii="宋体" w:hAnsi="宋体"/>
                <w:color w:val="auto"/>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23" w:type="dxa"/>
            <w:vMerge w:val="continue"/>
            <w:tcBorders>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002" w:type="dxa"/>
            <w:vMerge w:val="continue"/>
            <w:tcBorders>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2</w:t>
            </w:r>
          </w:p>
        </w:tc>
        <w:tc>
          <w:tcPr>
            <w:tcW w:w="1002" w:type="dxa"/>
            <w:vMerge w:val="restart"/>
            <w:tcBorders>
              <w:top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资格评审标准</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yellow"/>
              </w:rPr>
            </w:pPr>
            <w:r>
              <w:rPr>
                <w:rFonts w:ascii="宋体" w:hAnsi="宋体"/>
                <w:color w:val="auto"/>
                <w:szCs w:val="21"/>
              </w:rPr>
              <w:t>营业执照</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auto"/>
                <w:szCs w:val="21"/>
                <w:highlight w:val="yellow"/>
              </w:rPr>
            </w:pPr>
            <w:r>
              <w:rPr>
                <w:rFonts w:ascii="宋体" w:hAnsi="宋体"/>
                <w:color w:val="auto"/>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资质等级</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rFonts w:hint="eastAsia" w:ascii="宋体" w:hAnsi="宋体" w:eastAsia="宋体" w:cs="宋体"/>
                <w:color w:val="000000"/>
                <w:highlight w:val="none"/>
              </w:rPr>
              <w:t>具备有效的资质证书，且满足招标项目需要的资质等级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hint="eastAsia" w:ascii="宋体" w:hAnsi="宋体"/>
                <w:color w:val="auto"/>
                <w:szCs w:val="21"/>
              </w:rPr>
              <w:t>安全生产许可证要求</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rFonts w:hint="eastAsia" w:ascii="宋体" w:hAnsi="宋体" w:eastAsia="宋体" w:cs="宋体"/>
                <w:color w:val="000000"/>
                <w:highlight w:val="none"/>
              </w:rPr>
              <w:t>具备有效的安全生产许可证（设计单位无须提供）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财务状况</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eastAsia="宋体" w:cs="宋体"/>
                <w:color w:val="000000"/>
                <w:highlight w:val="none"/>
              </w:rPr>
              <w:t>提供的</w:t>
            </w:r>
            <w:r>
              <w:rPr>
                <w:rFonts w:hint="eastAsia" w:ascii="宋体" w:hAnsi="宋体" w:cs="宋体"/>
                <w:color w:val="000000"/>
                <w:highlight w:val="none"/>
                <w:lang w:val="en-US" w:eastAsia="zh-CN"/>
              </w:rPr>
              <w:t>近年</w:t>
            </w:r>
            <w:r>
              <w:rPr>
                <w:rFonts w:hint="eastAsia" w:ascii="宋体" w:hAnsi="宋体" w:eastAsia="宋体" w:cs="宋体"/>
                <w:color w:val="000000"/>
                <w:highlight w:val="none"/>
              </w:rPr>
              <w:t>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信誉</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auto"/>
                <w:szCs w:val="21"/>
                <w:lang w:val="en-US" w:eastAsia="zh-CN"/>
              </w:rPr>
            </w:pPr>
            <w:r>
              <w:rPr>
                <w:rFonts w:hint="eastAsia" w:ascii="宋体" w:hAnsi="宋体"/>
                <w:color w:val="auto"/>
                <w:szCs w:val="21"/>
                <w:lang w:val="en-US" w:eastAsia="zh-CN"/>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项目经理</w:t>
            </w:r>
            <w:r>
              <w:rPr>
                <w:rFonts w:hint="eastAsia" w:ascii="宋体" w:hAnsi="宋体"/>
                <w:color w:val="auto"/>
                <w:szCs w:val="21"/>
              </w:rPr>
              <w:t xml:space="preserve"> </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auto"/>
                <w:szCs w:val="21"/>
              </w:rPr>
            </w:pPr>
            <w:r>
              <w:rPr>
                <w:rFonts w:hint="eastAsia" w:ascii="宋体" w:hAnsi="宋体" w:eastAsia="宋体" w:cs="宋体"/>
                <w:color w:val="000000"/>
                <w:highlight w:val="none"/>
              </w:rPr>
              <w:t>项目经理条件满足招标文件的要求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hint="eastAsia" w:ascii="宋体" w:hAnsi="宋体"/>
                <w:color w:val="auto"/>
                <w:szCs w:val="21"/>
              </w:rPr>
              <w:t>设计负责人</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rFonts w:ascii="宋体" w:hAnsi="宋体"/>
                <w:color w:val="auto"/>
                <w:szCs w:val="21"/>
              </w:rPr>
              <w:t>符合</w:t>
            </w:r>
            <w:r>
              <w:rPr>
                <w:rFonts w:hint="eastAsia" w:ascii="宋体" w:hAnsi="宋体"/>
                <w:color w:val="auto"/>
                <w:szCs w:val="21"/>
                <w:lang w:val="en-US" w:eastAsia="zh-CN"/>
              </w:rPr>
              <w:t>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hint="eastAsia" w:ascii="宋体" w:hAnsi="宋体"/>
                <w:color w:val="auto"/>
                <w:szCs w:val="21"/>
              </w:rPr>
              <w:t>施工负责人</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default" w:ascii="宋体" w:hAnsi="宋体" w:eastAsia="宋体"/>
                <w:color w:val="auto"/>
                <w:szCs w:val="21"/>
                <w:lang w:val="en-US" w:eastAsia="zh-CN"/>
              </w:rPr>
            </w:pPr>
            <w:r>
              <w:rPr>
                <w:rFonts w:ascii="宋体" w:hAnsi="宋体"/>
                <w:color w:val="auto"/>
                <w:szCs w:val="21"/>
              </w:rPr>
              <w:t>符合</w:t>
            </w:r>
            <w:r>
              <w:rPr>
                <w:rFonts w:hint="eastAsia" w:ascii="宋体" w:hAnsi="宋体"/>
                <w:color w:val="auto"/>
                <w:szCs w:val="21"/>
                <w:lang w:val="en-US" w:eastAsia="zh-CN"/>
              </w:rPr>
              <w:t>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hint="eastAsia" w:ascii="宋体" w:hAnsi="宋体"/>
                <w:color w:val="auto"/>
              </w:rPr>
              <w:t>项目管理机构其他人员</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auto"/>
                <w:szCs w:val="21"/>
              </w:rPr>
            </w:pPr>
            <w:r>
              <w:rPr>
                <w:rFonts w:ascii="宋体" w:hAnsi="宋体"/>
                <w:color w:val="auto"/>
                <w:szCs w:val="21"/>
              </w:rPr>
              <w:t>符合</w:t>
            </w:r>
            <w:r>
              <w:rPr>
                <w:rFonts w:hint="eastAsia" w:ascii="宋体" w:hAnsi="宋体"/>
                <w:color w:val="auto"/>
                <w:szCs w:val="21"/>
                <w:lang w:val="en-US" w:eastAsia="zh-CN"/>
              </w:rPr>
              <w:t>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rPr>
            </w:pPr>
            <w:r>
              <w:rPr>
                <w:rFonts w:ascii="宋体" w:hAnsi="宋体"/>
                <w:color w:val="auto"/>
                <w:szCs w:val="21"/>
              </w:rPr>
              <w:t>联合体投标人</w:t>
            </w:r>
            <w:r>
              <w:rPr>
                <w:rFonts w:hint="eastAsia" w:ascii="宋体" w:hAnsi="宋体"/>
                <w:color w:val="auto"/>
                <w:szCs w:val="21"/>
              </w:rPr>
              <w:t>（如有）</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ascii="宋体" w:hAnsi="宋体"/>
                <w:color w:val="auto"/>
                <w:szCs w:val="21"/>
              </w:rPr>
            </w:pPr>
            <w:r>
              <w:rPr>
                <w:rFonts w:ascii="宋体" w:hAnsi="宋体"/>
                <w:color w:val="auto"/>
                <w:szCs w:val="21"/>
              </w:rPr>
              <w:t>提交联合体协议书，并明确联合体牵头人</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rPr>
            </w:pPr>
            <w:r>
              <w:rPr>
                <w:rFonts w:hint="eastAsia" w:ascii="宋体" w:hAnsi="宋体"/>
                <w:color w:val="auto"/>
                <w:szCs w:val="21"/>
              </w:rPr>
              <w:t>其他要求</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auto"/>
                <w:szCs w:val="21"/>
              </w:rPr>
            </w:pPr>
            <w:r>
              <w:rPr>
                <w:rFonts w:ascii="宋体" w:hAnsi="宋体"/>
                <w:color w:val="auto"/>
                <w:szCs w:val="21"/>
              </w:rPr>
              <w:t>符合</w:t>
            </w:r>
            <w:r>
              <w:rPr>
                <w:rFonts w:hint="eastAsia" w:ascii="宋体" w:hAnsi="宋体"/>
                <w:color w:val="auto"/>
                <w:szCs w:val="21"/>
                <w:lang w:val="en-US" w:eastAsia="zh-CN"/>
              </w:rPr>
              <w:t>招标文件其他要求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23" w:type="dxa"/>
            <w:vMerge w:val="continue"/>
            <w:tcBorders>
              <w:bottom w:val="single" w:color="auto" w:sz="4" w:space="0"/>
              <w:right w:val="single" w:color="auto" w:sz="4" w:space="0"/>
            </w:tcBorders>
            <w:noWrap w:val="0"/>
            <w:vAlign w:val="center"/>
          </w:tcPr>
          <w:p>
            <w:pPr>
              <w:rPr>
                <w:rFonts w:ascii="宋体" w:hAnsi="宋体"/>
                <w:color w:val="auto"/>
                <w:szCs w:val="21"/>
              </w:rPr>
            </w:pPr>
          </w:p>
        </w:tc>
        <w:tc>
          <w:tcPr>
            <w:tcW w:w="1002" w:type="dxa"/>
            <w:vMerge w:val="continue"/>
            <w:tcBorders>
              <w:bottom w:val="single" w:color="auto" w:sz="4" w:space="0"/>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宋体" w:hAnsi="宋体"/>
                <w:color w:val="auto"/>
                <w:szCs w:val="21"/>
              </w:rPr>
            </w:pPr>
            <w:r>
              <w:rPr>
                <w:rFonts w:hint="eastAsia" w:ascii="宋体" w:hAnsi="宋体" w:eastAsia="宋体" w:cs="宋体"/>
                <w:color w:val="000000"/>
                <w:szCs w:val="21"/>
                <w:highlight w:val="none"/>
              </w:rPr>
              <w:t>……</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宋体" w:hAnsi="宋体"/>
                <w:color w:val="auto"/>
                <w:szCs w:val="21"/>
              </w:rPr>
            </w:pP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restart"/>
            <w:tcBorders>
              <w:top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3</w:t>
            </w:r>
          </w:p>
        </w:tc>
        <w:tc>
          <w:tcPr>
            <w:tcW w:w="1002" w:type="dxa"/>
            <w:vMerge w:val="restart"/>
            <w:tcBorders>
              <w:top w:val="single" w:color="auto" w:sz="4" w:space="0"/>
              <w:right w:val="single" w:color="auto" w:sz="4" w:space="0"/>
            </w:tcBorders>
            <w:noWrap w:val="0"/>
            <w:vAlign w:val="center"/>
          </w:tcPr>
          <w:p>
            <w:pPr>
              <w:spacing w:line="440" w:lineRule="exact"/>
              <w:jc w:val="center"/>
              <w:rPr>
                <w:rFonts w:ascii="宋体" w:hAnsi="宋体"/>
                <w:color w:val="auto"/>
                <w:szCs w:val="21"/>
              </w:rPr>
            </w:pPr>
            <w:r>
              <w:rPr>
                <w:rFonts w:ascii="宋体" w:hAnsi="宋体"/>
                <w:color w:val="auto"/>
                <w:szCs w:val="21"/>
              </w:rPr>
              <w:t>响应性评审标准</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hint="eastAsia" w:ascii="宋体" w:hAnsi="宋体"/>
                <w:color w:val="auto"/>
                <w:szCs w:val="21"/>
              </w:rPr>
              <w:t>投标报价</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szCs w:val="21"/>
              </w:rPr>
              <w:t>未超过招标文件规定的最高投标限价</w:t>
            </w:r>
            <w:bookmarkStart w:id="3" w:name="_GoBack"/>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ascii="宋体" w:hAnsi="宋体"/>
                <w:color w:val="auto"/>
                <w:szCs w:val="21"/>
              </w:rPr>
              <w:t>投标内容</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kern w:val="0"/>
                <w:szCs w:val="21"/>
              </w:rPr>
              <w:t>投标文件载明的投标范围不小于招标文件规定的招标范围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ascii="宋体" w:hAnsi="宋体"/>
                <w:color w:val="auto"/>
                <w:szCs w:val="21"/>
              </w:rPr>
              <w:t>工期</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kern w:val="0"/>
                <w:szCs w:val="21"/>
              </w:rPr>
              <w:t>投标文件载明的招标项目完成期限未超过招标文件要求的期限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ascii="宋体" w:hAnsi="宋体"/>
                <w:color w:val="auto"/>
                <w:szCs w:val="21"/>
              </w:rPr>
              <w:t>质量标准</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kern w:val="0"/>
                <w:szCs w:val="21"/>
              </w:rPr>
              <w:t>投标文件载明的质量标准</w:t>
            </w:r>
            <w:r>
              <w:rPr>
                <w:rFonts w:hint="eastAsia"/>
                <w:kern w:val="0"/>
                <w:szCs w:val="21"/>
              </w:rPr>
              <w:t>和</w:t>
            </w:r>
            <w:r>
              <w:rPr>
                <w:kern w:val="0"/>
                <w:szCs w:val="21"/>
              </w:rPr>
              <w:t>保修承诺不低于招标文件的要求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hint="eastAsia" w:ascii="宋体" w:hAnsi="宋体"/>
                <w:color w:val="auto"/>
                <w:szCs w:val="21"/>
              </w:rPr>
              <w:t>投标有效期</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rFonts w:hint="eastAsia" w:ascii="宋体" w:hAnsi="宋体" w:eastAsia="宋体" w:cs="宋体"/>
                <w:color w:val="000000"/>
                <w:highlight w:val="none"/>
              </w:rPr>
              <w:t>投标函附录中承诺的投标有效期符合</w:t>
            </w:r>
            <w:r>
              <w:rPr>
                <w:rFonts w:hint="eastAsia" w:ascii="宋体" w:hAnsi="宋体" w:cs="宋体"/>
                <w:color w:val="000000"/>
                <w:highlight w:val="none"/>
                <w:lang w:val="en-US" w:eastAsia="zh-CN"/>
              </w:rPr>
              <w:t>且不少于招标文件的规定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right w:val="single" w:color="auto" w:sz="4" w:space="0"/>
            </w:tcBorders>
            <w:noWrap w:val="0"/>
            <w:vAlign w:val="center"/>
          </w:tcPr>
          <w:p>
            <w:pPr>
              <w:rPr>
                <w:rFonts w:ascii="宋体" w:hAnsi="宋体"/>
                <w:color w:val="auto"/>
                <w:szCs w:val="21"/>
              </w:rPr>
            </w:pPr>
          </w:p>
        </w:tc>
        <w:tc>
          <w:tcPr>
            <w:tcW w:w="1002" w:type="dxa"/>
            <w:vMerge w:val="continue"/>
            <w:tcBorders>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Cs w:val="21"/>
              </w:rPr>
            </w:pPr>
            <w:r>
              <w:rPr>
                <w:rFonts w:ascii="宋体" w:hAnsi="宋体"/>
                <w:color w:val="auto"/>
                <w:szCs w:val="21"/>
              </w:rPr>
              <w:t>投标保证金</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rPr>
            </w:pPr>
            <w:r>
              <w:rPr>
                <w:rFonts w:hint="eastAsia" w:ascii="宋体" w:hAnsi="宋体" w:eastAsia="宋体" w:cs="宋体"/>
                <w:color w:val="000000"/>
                <w:highlight w:val="none"/>
              </w:rPr>
              <w:t>符合</w:t>
            </w:r>
            <w:r>
              <w:rPr>
                <w:rFonts w:hint="eastAsia" w:ascii="宋体" w:hAnsi="宋体" w:cs="宋体"/>
                <w:color w:val="000000"/>
                <w:highlight w:val="none"/>
                <w:lang w:val="en-US" w:eastAsia="zh-CN"/>
              </w:rPr>
              <w:t>招标文件关于保证金的相关</w:t>
            </w:r>
            <w:r>
              <w:rPr>
                <w:rFonts w:hint="eastAsia" w:ascii="宋体" w:hAnsi="宋体" w:eastAsia="宋体" w:cs="宋体"/>
                <w:color w:val="000000"/>
                <w:highlight w:val="none"/>
              </w:rPr>
              <w:t>规定</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若使用保函，</w:t>
            </w:r>
            <w:r>
              <w:rPr>
                <w:rFonts w:hint="eastAsia"/>
                <w:szCs w:val="21"/>
              </w:rPr>
              <w:t>保函受益人和投标人的全称与招标人和投标人名称一致；保函有效期起始时间应为本项目投标截止时间之前</w:t>
            </w:r>
            <w:r>
              <w:rPr>
                <w:rFonts w:hint="eastAsia"/>
                <w:szCs w:val="21"/>
                <w:lang w:eastAsia="zh-CN"/>
              </w:rPr>
              <w:t>，</w:t>
            </w:r>
            <w:r>
              <w:rPr>
                <w:rFonts w:hint="eastAsia"/>
                <w:szCs w:val="21"/>
              </w:rPr>
              <w:t>保函有效期应不</w:t>
            </w:r>
            <w:r>
              <w:rPr>
                <w:rFonts w:hint="eastAsia"/>
                <w:szCs w:val="21"/>
                <w:lang w:val="en-US" w:eastAsia="zh-CN"/>
              </w:rPr>
              <w:t>少</w:t>
            </w:r>
            <w:r>
              <w:rPr>
                <w:rFonts w:hint="eastAsia"/>
                <w:szCs w:val="21"/>
              </w:rPr>
              <w:t>于投标有效期</w:t>
            </w:r>
            <w:r>
              <w:rPr>
                <w:rFonts w:hint="eastAsia" w:ascii="宋体" w:hAnsi="宋体" w:eastAsia="宋体" w:cs="宋体"/>
                <w:color w:val="00000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23" w:type="dxa"/>
            <w:vMerge w:val="continue"/>
            <w:tcBorders>
              <w:bottom w:val="single" w:color="auto" w:sz="4" w:space="0"/>
              <w:right w:val="single" w:color="auto" w:sz="4" w:space="0"/>
            </w:tcBorders>
            <w:noWrap w:val="0"/>
            <w:vAlign w:val="center"/>
          </w:tcPr>
          <w:p>
            <w:pPr>
              <w:rPr>
                <w:rFonts w:ascii="宋体" w:hAnsi="宋体"/>
                <w:color w:val="auto"/>
                <w:szCs w:val="21"/>
              </w:rPr>
            </w:pPr>
          </w:p>
        </w:tc>
        <w:tc>
          <w:tcPr>
            <w:tcW w:w="1002" w:type="dxa"/>
            <w:vMerge w:val="continue"/>
            <w:tcBorders>
              <w:bottom w:val="single" w:color="auto" w:sz="4" w:space="0"/>
              <w:right w:val="single" w:color="auto" w:sz="4" w:space="0"/>
            </w:tcBorders>
            <w:noWrap w:val="0"/>
            <w:vAlign w:val="center"/>
          </w:tcPr>
          <w:p>
            <w:pPr>
              <w:rPr>
                <w:rFonts w:ascii="宋体" w:hAnsi="宋体"/>
                <w:color w:val="auto"/>
                <w:szCs w:val="21"/>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ascii="宋体" w:hAnsi="宋体"/>
                <w:color w:val="auto"/>
                <w:szCs w:val="21"/>
              </w:rPr>
            </w:pPr>
            <w:r>
              <w:rPr>
                <w:rFonts w:hint="eastAsia" w:ascii="宋体" w:hAnsi="宋体" w:eastAsia="宋体" w:cs="宋体"/>
                <w:color w:val="000000"/>
                <w:szCs w:val="21"/>
                <w:highlight w:val="none"/>
              </w:rPr>
              <w:t>……</w:t>
            </w:r>
          </w:p>
        </w:tc>
        <w:tc>
          <w:tcPr>
            <w:tcW w:w="49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eastAsia" w:ascii="宋体" w:hAnsi="宋体" w:eastAsia="宋体" w:cs="宋体"/>
                <w:color w:val="000000"/>
                <w:highlight w:val="none"/>
              </w:rPr>
            </w:pPr>
            <w:r>
              <w:rPr>
                <w:rFonts w:hint="eastAsia" w:ascii="宋体" w:hAnsi="宋体" w:eastAsia="宋体" w:cs="宋体"/>
                <w:color w:val="000000"/>
                <w:szCs w:val="21"/>
                <w:highlight w:val="none"/>
              </w:rPr>
              <w:t>……</w:t>
            </w:r>
          </w:p>
        </w:tc>
      </w:tr>
    </w:tbl>
    <w:p>
      <w:pP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附表2：</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商务标</w:t>
      </w:r>
      <w:r>
        <w:rPr>
          <w:rFonts w:hint="eastAsia" w:ascii="仿宋" w:hAnsi="仿宋" w:eastAsia="仿宋" w:cs="仿宋"/>
          <w:b/>
          <w:bCs/>
          <w:color w:val="000000"/>
          <w:sz w:val="32"/>
          <w:szCs w:val="32"/>
          <w:highlight w:val="none"/>
        </w:rPr>
        <w:t>评审</w:t>
      </w:r>
      <w:r>
        <w:rPr>
          <w:rFonts w:hint="eastAsia" w:ascii="仿宋" w:hAnsi="仿宋" w:eastAsia="仿宋" w:cs="仿宋"/>
          <w:b/>
          <w:bCs/>
          <w:color w:val="000000"/>
          <w:sz w:val="32"/>
          <w:szCs w:val="32"/>
          <w:highlight w:val="none"/>
          <w:lang w:val="en-US" w:eastAsia="zh-CN"/>
        </w:rPr>
        <w:t>标准</w:t>
      </w:r>
    </w:p>
    <w:tbl>
      <w:tblPr>
        <w:tblStyle w:val="12"/>
        <w:tblW w:w="5982" w:type="pct"/>
        <w:tblInd w:w="-83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0"/>
        <w:gridCol w:w="1101"/>
        <w:gridCol w:w="1715"/>
        <w:gridCol w:w="2392"/>
        <w:gridCol w:w="3587"/>
        <w:gridCol w:w="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250" w:type="pct"/>
            <w:vAlign w:val="center"/>
          </w:tcPr>
          <w:p>
            <w:pPr>
              <w:widowControl/>
              <w:jc w:val="center"/>
              <w:rPr>
                <w:rFonts w:hint="default"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序号</w:t>
            </w:r>
          </w:p>
        </w:tc>
        <w:tc>
          <w:tcPr>
            <w:tcW w:w="1381" w:type="pct"/>
            <w:gridSpan w:val="2"/>
            <w:vAlign w:val="center"/>
          </w:tcPr>
          <w:p>
            <w:pPr>
              <w:widowControl/>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评审项目及分值</w:t>
            </w:r>
          </w:p>
        </w:tc>
        <w:tc>
          <w:tcPr>
            <w:tcW w:w="2932" w:type="pct"/>
            <w:gridSpan w:val="2"/>
            <w:vAlign w:val="center"/>
          </w:tcPr>
          <w:p>
            <w:pPr>
              <w:widowControl/>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评审标准</w:t>
            </w:r>
          </w:p>
        </w:tc>
        <w:tc>
          <w:tcPr>
            <w:tcW w:w="435" w:type="pct"/>
            <w:tcBorders>
              <w:left w:val="single" w:color="auto" w:sz="4" w:space="0"/>
            </w:tcBorders>
            <w:vAlign w:val="center"/>
          </w:tcPr>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评审</w:t>
            </w:r>
          </w:p>
          <w:p>
            <w:pPr>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250" w:type="pct"/>
            <w:vMerge w:val="restar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1</w:t>
            </w:r>
          </w:p>
        </w:tc>
        <w:tc>
          <w:tcPr>
            <w:tcW w:w="539" w:type="pct"/>
            <w:vMerge w:val="restart"/>
            <w:tcBorders>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类似工程业绩（</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841" w:type="pct"/>
            <w:vMerge w:val="restart"/>
            <w:tcBorders>
              <w:left w:val="single" w:color="auto" w:sz="4" w:space="0"/>
            </w:tcBorders>
            <w:shd w:val="clear" w:color="auto" w:fill="auto"/>
            <w:vAlign w:val="center"/>
          </w:tcPr>
          <w:p>
            <w:pPr>
              <w:widowControl/>
              <w:jc w:val="center"/>
              <w:rPr>
                <w:rFonts w:hint="eastAsia"/>
                <w:highlight w:val="none"/>
              </w:rPr>
            </w:pPr>
            <w:r>
              <w:rPr>
                <w:rFonts w:hint="eastAsia"/>
                <w:highlight w:val="none"/>
              </w:rPr>
              <w:t>投标人</w:t>
            </w:r>
            <w:r>
              <w:rPr>
                <w:rFonts w:hint="eastAsia"/>
                <w:highlight w:val="none"/>
                <w:lang w:eastAsia="zh-CN"/>
              </w:rPr>
              <w:t>类似</w:t>
            </w:r>
            <w:r>
              <w:rPr>
                <w:rFonts w:hint="eastAsia"/>
                <w:highlight w:val="none"/>
              </w:rPr>
              <w:t>业绩</w:t>
            </w:r>
          </w:p>
          <w:p>
            <w:pPr>
              <w:widowControl/>
              <w:jc w:val="center"/>
              <w:rPr>
                <w:rFonts w:hint="eastAsia" w:eastAsia="宋体"/>
                <w:highlight w:val="none"/>
                <w:lang w:eastAsia="zh-CN"/>
              </w:rPr>
            </w:pPr>
            <w:r>
              <w:rPr>
                <w:rFonts w:hint="eastAsia"/>
                <w:highlight w:val="none"/>
                <w:lang w:eastAsia="zh-CN"/>
              </w:rPr>
              <w:t>（</w:t>
            </w:r>
            <w:r>
              <w:rPr>
                <w:rFonts w:hint="eastAsia"/>
                <w:highlight w:val="none"/>
                <w:lang w:val="en-US" w:eastAsia="zh-CN"/>
              </w:rPr>
              <w:t>15分</w:t>
            </w:r>
            <w:r>
              <w:rPr>
                <w:rFonts w:hint="eastAsia"/>
                <w:highlight w:val="none"/>
                <w:lang w:eastAsia="zh-CN"/>
              </w:rPr>
              <w:t>）</w:t>
            </w:r>
          </w:p>
        </w:tc>
        <w:tc>
          <w:tcPr>
            <w:tcW w:w="1173" w:type="pct"/>
            <w:tcBorders>
              <w:bottom w:val="single" w:color="auto" w:sz="4" w:space="0"/>
            </w:tcBorders>
            <w:shd w:val="clear" w:color="auto" w:fill="auto"/>
            <w:vAlign w:val="center"/>
          </w:tcPr>
          <w:p>
            <w:pPr>
              <w:widowControl/>
              <w:jc w:val="both"/>
              <w:rPr>
                <w:rFonts w:hint="default" w:asciiTheme="minorEastAsia" w:hAnsiTheme="minorEastAsia" w:eastAsiaTheme="minorEastAsia" w:cstheme="minorEastAsia"/>
                <w:color w:val="000000" w:themeColor="text1"/>
                <w:kern w:val="0"/>
                <w:szCs w:val="21"/>
                <w:highlight w:val="none"/>
                <w:lang w:val="en-US"/>
                <w14:textFill>
                  <w14:solidFill>
                    <w14:schemeClr w14:val="tx1"/>
                  </w14:solidFill>
                </w14:textFill>
              </w:rPr>
            </w:pPr>
            <w:r>
              <w:rPr>
                <w:rFonts w:hint="eastAsia" w:ascii="宋体" w:hAnsi="宋体" w:cs="宋体"/>
                <w:color w:val="000000"/>
                <w:kern w:val="0"/>
                <w:szCs w:val="21"/>
                <w:highlight w:val="none"/>
                <w:lang w:eastAsia="zh-CN"/>
              </w:rPr>
              <w:t>独立投标人</w:t>
            </w:r>
            <w:r>
              <w:rPr>
                <w:rFonts w:hint="eastAsia" w:ascii="宋体" w:hAnsi="宋体" w:eastAsia="宋体" w:cs="宋体"/>
                <w:kern w:val="0"/>
                <w:sz w:val="21"/>
              </w:rPr>
              <w:t>(</w:t>
            </w:r>
            <w:bookmarkStart w:id="2" w:name="_Hlk68266565"/>
            <w:r>
              <w:rPr>
                <w:rFonts w:hint="eastAsia" w:ascii="宋体" w:hAnsi="宋体" w:eastAsia="宋体" w:cs="宋体"/>
                <w:kern w:val="0"/>
                <w:sz w:val="21"/>
              </w:rPr>
              <w:t>设计资质)或联合体中设计单位</w:t>
            </w:r>
            <w:bookmarkEnd w:id="2"/>
            <w:r>
              <w:rPr>
                <w:rFonts w:hint="eastAsia" w:ascii="宋体" w:hAnsi="宋体" w:cs="宋体"/>
                <w:color w:val="000000"/>
                <w:kern w:val="0"/>
                <w:szCs w:val="21"/>
                <w:highlight w:val="none"/>
                <w:lang w:val="en-US" w:eastAsia="zh-CN"/>
              </w:rPr>
              <w:t xml:space="preserve"> </w:t>
            </w:r>
          </w:p>
        </w:tc>
        <w:tc>
          <w:tcPr>
            <w:tcW w:w="1759" w:type="pct"/>
            <w:tcBorders>
              <w:bottom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业绩每个</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，最高</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tc>
        <w:tc>
          <w:tcPr>
            <w:tcW w:w="435" w:type="pct"/>
            <w:tcBorders>
              <w:left w:val="single" w:color="auto" w:sz="4" w:space="0"/>
              <w:bottom w:val="single" w:color="auto" w:sz="4" w:space="0"/>
            </w:tcBorders>
            <w:shd w:val="clear" w:color="auto" w:fill="auto"/>
            <w:vAlign w:val="center"/>
          </w:tcPr>
          <w:p>
            <w:pPr>
              <w:widowControl/>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250"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39" w:type="pct"/>
            <w:vMerge w:val="continue"/>
            <w:tcBorders>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41" w:type="pct"/>
            <w:vMerge w:val="continue"/>
            <w:tcBorders>
              <w:left w:val="single" w:color="auto" w:sz="4" w:space="0"/>
              <w:bottom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73" w:type="pct"/>
            <w:tcBorders>
              <w:bottom w:val="single" w:color="auto" w:sz="4" w:space="0"/>
            </w:tcBorders>
            <w:shd w:val="clear" w:color="auto" w:fill="auto"/>
            <w:vAlign w:val="center"/>
          </w:tcPr>
          <w:p>
            <w:pPr>
              <w:widowControl/>
              <w:jc w:val="both"/>
              <w:rPr>
                <w:rFonts w:hint="eastAsia" w:eastAsia="宋体" w:asciiTheme="minorEastAsia" w:hAnsiTheme="minorEastAsia" w:cstheme="minorEastAsia"/>
                <w:color w:val="000000" w:themeColor="text1"/>
                <w:kern w:val="0"/>
                <w:szCs w:val="21"/>
                <w:highlight w:val="none"/>
                <w:lang w:val="en-US" w:eastAsia="zh-CN"/>
                <w14:textFill>
                  <w14:solidFill>
                    <w14:schemeClr w14:val="tx1"/>
                  </w14:solidFill>
                </w14:textFill>
              </w:rPr>
            </w:pPr>
            <w:r>
              <w:rPr>
                <w:rFonts w:hint="eastAsia" w:ascii="宋体" w:hAnsi="宋体" w:eastAsia="宋体" w:cs="宋体"/>
                <w:kern w:val="0"/>
                <w:sz w:val="21"/>
              </w:rPr>
              <w:t>独立投标人(施工资质)或联合体中施工单位</w:t>
            </w:r>
            <w:r>
              <w:rPr>
                <w:rFonts w:hint="eastAsia" w:ascii="宋体" w:hAnsi="宋体" w:cs="宋体"/>
                <w:color w:val="000000"/>
                <w:kern w:val="0"/>
                <w:szCs w:val="21"/>
                <w:highlight w:val="none"/>
                <w:lang w:val="en-US" w:eastAsia="zh-CN"/>
              </w:rPr>
              <w:t xml:space="preserve"> </w:t>
            </w:r>
          </w:p>
        </w:tc>
        <w:tc>
          <w:tcPr>
            <w:tcW w:w="1759" w:type="pct"/>
            <w:tcBorders>
              <w:bottom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业绩每个</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，最高</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tc>
        <w:tc>
          <w:tcPr>
            <w:tcW w:w="435" w:type="pct"/>
            <w:tcBorders>
              <w:left w:val="single" w:color="auto" w:sz="4" w:space="0"/>
              <w:bottom w:val="single" w:color="auto" w:sz="4" w:space="0"/>
            </w:tcBorders>
            <w:shd w:val="clear" w:color="auto" w:fill="auto"/>
            <w:vAlign w:val="center"/>
          </w:tcPr>
          <w:p>
            <w:pPr>
              <w:widowControl/>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250"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39" w:type="pct"/>
            <w:vMerge w:val="continue"/>
            <w:tcBorders>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41" w:type="pct"/>
            <w:vMerge w:val="restart"/>
            <w:tcBorders>
              <w:left w:val="single" w:color="auto" w:sz="4" w:space="0"/>
            </w:tcBorders>
            <w:shd w:val="clear" w:color="auto" w:fill="auto"/>
            <w:vAlign w:val="center"/>
          </w:tcPr>
          <w:p>
            <w:pPr>
              <w:widowControl/>
              <w:jc w:val="center"/>
              <w:rPr>
                <w:rFonts w:hint="eastAsia" w:ascii="宋体" w:hAnsi="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项目经理</w:t>
            </w:r>
            <w:r>
              <w:rPr>
                <w:rFonts w:hint="eastAsia" w:ascii="宋体" w:hAnsi="宋体" w:cs="宋体"/>
                <w:color w:val="000000"/>
                <w:kern w:val="0"/>
                <w:szCs w:val="21"/>
                <w:highlight w:val="none"/>
                <w:lang w:eastAsia="zh-CN"/>
              </w:rPr>
              <w:t>类似</w:t>
            </w:r>
          </w:p>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w:t>
            </w:r>
          </w:p>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（30分）</w:t>
            </w:r>
          </w:p>
        </w:tc>
        <w:tc>
          <w:tcPr>
            <w:tcW w:w="1173" w:type="pct"/>
            <w:tcBorders>
              <w:bottom w:val="single" w:color="auto" w:sz="4" w:space="0"/>
            </w:tcBorders>
            <w:shd w:val="clear" w:color="auto" w:fill="auto"/>
            <w:vAlign w:val="center"/>
          </w:tcPr>
          <w:p>
            <w:pPr>
              <w:widowControl/>
              <w:jc w:val="both"/>
              <w:rPr>
                <w:rFonts w:hint="eastAsia" w:eastAsia="宋体" w:asciiTheme="minorEastAsia" w:hAnsiTheme="minorEastAsia" w:cstheme="minorEastAsia"/>
                <w:color w:val="000000" w:themeColor="text1"/>
                <w:kern w:val="0"/>
                <w:szCs w:val="21"/>
                <w:highlight w:val="none"/>
                <w:lang w:val="en-US" w:eastAsia="zh-CN"/>
                <w14:textFill>
                  <w14:solidFill>
                    <w14:schemeClr w14:val="tx1"/>
                  </w14:solidFill>
                </w14:textFill>
              </w:rPr>
            </w:pPr>
            <w:r>
              <w:rPr>
                <w:rFonts w:hint="eastAsia" w:ascii="宋体" w:hAnsi="宋体" w:cs="宋体"/>
                <w:color w:val="000000"/>
                <w:szCs w:val="21"/>
                <w:highlight w:val="none"/>
                <w:lang w:eastAsia="zh-CN"/>
              </w:rPr>
              <w:t>担任</w:t>
            </w:r>
            <w:r>
              <w:rPr>
                <w:rFonts w:hint="eastAsia" w:ascii="宋体" w:hAnsi="宋体" w:eastAsia="宋体" w:cs="宋体"/>
                <w:color w:val="000000"/>
                <w:szCs w:val="21"/>
                <w:highlight w:val="none"/>
              </w:rPr>
              <w:t>工程总承包项目经理类似</w:t>
            </w:r>
            <w:r>
              <w:rPr>
                <w:rFonts w:hint="eastAsia" w:ascii="宋体" w:hAnsi="宋体" w:cs="宋体"/>
                <w:color w:val="000000"/>
                <w:szCs w:val="21"/>
                <w:highlight w:val="none"/>
                <w:lang w:val="en-US" w:eastAsia="zh-CN"/>
              </w:rPr>
              <w:t>业绩</w:t>
            </w:r>
          </w:p>
        </w:tc>
        <w:tc>
          <w:tcPr>
            <w:tcW w:w="1759" w:type="pct"/>
            <w:tcBorders>
              <w:bottom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业绩每个</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，最高</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tc>
        <w:tc>
          <w:tcPr>
            <w:tcW w:w="435" w:type="pct"/>
            <w:tcBorders>
              <w:left w:val="single" w:color="auto" w:sz="4" w:space="0"/>
              <w:bottom w:val="single" w:color="auto" w:sz="4" w:space="0"/>
            </w:tcBorders>
            <w:shd w:val="clear" w:color="auto" w:fill="auto"/>
            <w:vAlign w:val="center"/>
          </w:tcPr>
          <w:p>
            <w:pPr>
              <w:widowControl/>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250"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39" w:type="pct"/>
            <w:vMerge w:val="continue"/>
            <w:tcBorders>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41" w:type="pct"/>
            <w:vMerge w:val="continue"/>
            <w:tcBorders>
              <w:lef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73" w:type="pct"/>
            <w:tcBorders>
              <w:top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s="宋体"/>
                <w:color w:val="000000"/>
                <w:szCs w:val="21"/>
                <w:highlight w:val="none"/>
                <w:lang w:eastAsia="zh-CN"/>
              </w:rPr>
              <w:t>担任</w:t>
            </w:r>
            <w:r>
              <w:rPr>
                <w:rFonts w:hint="eastAsia" w:ascii="宋体" w:hAnsi="宋体" w:eastAsia="宋体" w:cs="宋体"/>
                <w:color w:val="000000" w:themeColor="text1"/>
                <w:spacing w:val="2"/>
                <w:sz w:val="21"/>
                <w:szCs w:val="21"/>
                <w14:textFill>
                  <w14:solidFill>
                    <w14:schemeClr w14:val="tx1"/>
                  </w14:solidFill>
                </w14:textFill>
              </w:rPr>
              <w:t>施工总承包项目负责人</w:t>
            </w:r>
            <w:r>
              <w:rPr>
                <w:rFonts w:hint="eastAsia" w:ascii="宋体" w:hAnsi="宋体" w:eastAsia="宋体" w:cs="宋体"/>
                <w:color w:val="000000"/>
                <w:szCs w:val="21"/>
                <w:highlight w:val="none"/>
              </w:rPr>
              <w:t>类似</w:t>
            </w:r>
            <w:r>
              <w:rPr>
                <w:rFonts w:hint="eastAsia" w:ascii="宋体" w:hAnsi="宋体" w:cs="宋体"/>
                <w:color w:val="000000"/>
                <w:szCs w:val="21"/>
                <w:highlight w:val="none"/>
                <w:lang w:val="en-US" w:eastAsia="zh-CN"/>
              </w:rPr>
              <w:t>业绩</w:t>
            </w:r>
          </w:p>
        </w:tc>
        <w:tc>
          <w:tcPr>
            <w:tcW w:w="1759" w:type="pct"/>
            <w:tcBorders>
              <w:top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业绩每个</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，最高</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tc>
        <w:tc>
          <w:tcPr>
            <w:tcW w:w="435" w:type="pct"/>
            <w:tcBorders>
              <w:top w:val="single" w:color="auto" w:sz="4" w:space="0"/>
              <w:left w:val="single" w:color="auto" w:sz="4" w:space="0"/>
            </w:tcBorders>
            <w:shd w:val="clear" w:color="auto" w:fill="auto"/>
            <w:vAlign w:val="center"/>
          </w:tcPr>
          <w:p>
            <w:pPr>
              <w:widowControl/>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250"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39" w:type="pct"/>
            <w:vMerge w:val="continue"/>
            <w:tcBorders>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41" w:type="pct"/>
            <w:vMerge w:val="continue"/>
            <w:tcBorders>
              <w:lef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173" w:type="pct"/>
            <w:tcBorders>
              <w:top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s="宋体"/>
                <w:color w:val="000000"/>
                <w:szCs w:val="21"/>
                <w:highlight w:val="none"/>
                <w:lang w:eastAsia="zh-CN"/>
              </w:rPr>
              <w:t>担任</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负责人</w:t>
            </w:r>
            <w:r>
              <w:rPr>
                <w:rFonts w:hint="eastAsia" w:ascii="宋体" w:hAnsi="宋体" w:eastAsia="宋体" w:cs="宋体"/>
                <w:color w:val="000000"/>
                <w:szCs w:val="21"/>
                <w:highlight w:val="none"/>
              </w:rPr>
              <w:t>类似</w:t>
            </w:r>
            <w:r>
              <w:rPr>
                <w:rFonts w:hint="eastAsia" w:ascii="宋体" w:hAnsi="宋体" w:cs="宋体"/>
                <w:color w:val="000000"/>
                <w:szCs w:val="21"/>
                <w:highlight w:val="none"/>
                <w:lang w:val="en-US" w:eastAsia="zh-CN"/>
              </w:rPr>
              <w:t>业绩</w:t>
            </w:r>
          </w:p>
        </w:tc>
        <w:tc>
          <w:tcPr>
            <w:tcW w:w="1759" w:type="pct"/>
            <w:tcBorders>
              <w:top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类似</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业绩每个</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，最高</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p>
        </w:tc>
        <w:tc>
          <w:tcPr>
            <w:tcW w:w="435" w:type="pct"/>
            <w:tcBorders>
              <w:top w:val="single" w:color="auto" w:sz="4" w:space="0"/>
              <w:left w:val="single" w:color="auto" w:sz="4" w:space="0"/>
            </w:tcBorders>
            <w:shd w:val="clear" w:color="auto" w:fill="auto"/>
            <w:vAlign w:val="center"/>
          </w:tcPr>
          <w:p>
            <w:pPr>
              <w:widowControl/>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250" w:type="pct"/>
            <w:vMerge w:val="restar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2</w:t>
            </w:r>
          </w:p>
        </w:tc>
        <w:tc>
          <w:tcPr>
            <w:tcW w:w="539" w:type="pct"/>
            <w:vMerge w:val="restart"/>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项目管理机构（</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841" w:type="pct"/>
            <w:tcBorders>
              <w:top w:val="single" w:color="auto" w:sz="4" w:space="0"/>
              <w:lef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投标人设计资质或联合体中设计单位</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拟派人员</w:t>
            </w:r>
          </w:p>
          <w:p>
            <w:pPr>
              <w:widowControl/>
              <w:jc w:val="center"/>
              <w:rPr>
                <w:rFonts w:hint="eastAsia"/>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（15分）</w:t>
            </w:r>
          </w:p>
        </w:tc>
        <w:tc>
          <w:tcPr>
            <w:tcW w:w="2932" w:type="pct"/>
            <w:gridSpan w:val="2"/>
            <w:tcBorders>
              <w:top w:val="single" w:color="auto" w:sz="4" w:space="0"/>
            </w:tcBorders>
            <w:vAlign w:val="center"/>
          </w:tcPr>
          <w:p>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人员配备合理，满足需要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p>
          <w:p>
            <w:pPr>
              <w:rPr>
                <w:rFonts w:hint="default" w:asciiTheme="minorEastAsia" w:hAnsiTheme="minorEastAsia" w:eastAsiaTheme="minorEastAsia" w:cstheme="minorEastAsia"/>
                <w:color w:val="000000" w:themeColor="text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人员配备基本合理,基本满足需要</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人员配备不合理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p>
        </w:tc>
        <w:tc>
          <w:tcPr>
            <w:tcW w:w="435" w:type="pct"/>
            <w:tcBorders>
              <w:top w:val="single" w:color="auto" w:sz="4" w:space="0"/>
              <w:left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250"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539" w:type="pct"/>
            <w:vMerge w:val="continue"/>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841" w:type="pct"/>
            <w:tcBorders>
              <w:top w:val="single" w:color="auto" w:sz="4" w:space="0"/>
              <w:lef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投标人施工资质或联合体中施工单位</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拟派人员 （15分）</w:t>
            </w:r>
          </w:p>
        </w:tc>
        <w:tc>
          <w:tcPr>
            <w:tcW w:w="2932" w:type="pct"/>
            <w:gridSpan w:val="2"/>
            <w:tcBorders>
              <w:top w:val="single" w:color="auto" w:sz="4" w:space="0"/>
            </w:tcBorders>
            <w:vAlign w:val="center"/>
          </w:tcPr>
          <w:p>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人员配备合理，满足需要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人员配备基本合理,基本满足需要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分</w:t>
            </w:r>
          </w:p>
          <w:p>
            <w:pP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人员配备不合理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c>
        <w:tc>
          <w:tcPr>
            <w:tcW w:w="435" w:type="pct"/>
            <w:tcBorders>
              <w:top w:val="single" w:color="auto" w:sz="4" w:space="0"/>
              <w:left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9" w:hRule="atLeast"/>
        </w:trPr>
        <w:tc>
          <w:tcPr>
            <w:tcW w:w="250" w:type="pc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3</w:t>
            </w:r>
          </w:p>
        </w:tc>
        <w:tc>
          <w:tcPr>
            <w:tcW w:w="539" w:type="pct"/>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总承包项目经理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841" w:type="pct"/>
            <w:tcBorders>
              <w:top w:val="single" w:color="auto" w:sz="4" w:space="0"/>
              <w:left w:val="single" w:color="auto" w:sz="4" w:space="0"/>
            </w:tcBorders>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职称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2932" w:type="pct"/>
            <w:gridSpan w:val="2"/>
            <w:tcBorders>
              <w:top w:val="single" w:color="auto" w:sz="4" w:space="0"/>
            </w:tcBorders>
            <w:vAlign w:val="center"/>
          </w:tcPr>
          <w:p>
            <w:pPr>
              <w:rPr>
                <w:rFonts w:hint="default" w:asciiTheme="minorEastAsia" w:hAnsiTheme="minorEastAsia" w:eastAsiaTheme="minorEastAsia" w:cstheme="minorEastAsia"/>
                <w:color w:val="000000" w:themeColor="text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相关专业高级及以上职称（高级工程师）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p>
          <w:p>
            <w:pP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相关专业中级职称（工程师）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p>
          <w:p>
            <w:pPr>
              <w:rPr>
                <w:rFonts w:hint="default" w:asciiTheme="minorEastAsia" w:hAnsiTheme="minorEastAsia" w:eastAsiaTheme="minorEastAsia" w:cstheme="minorEastAsia"/>
                <w:color w:val="000000" w:themeColor="text1"/>
                <w:kern w:val="0"/>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相关专业</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初级</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职称（</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助理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工程师）       </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     分</w:t>
            </w:r>
          </w:p>
        </w:tc>
        <w:tc>
          <w:tcPr>
            <w:tcW w:w="435" w:type="pct"/>
            <w:tcBorders>
              <w:top w:val="single" w:color="auto" w:sz="4" w:space="0"/>
              <w:left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250" w:type="pc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p>
        </w:tc>
        <w:tc>
          <w:tcPr>
            <w:tcW w:w="539" w:type="pct"/>
            <w:tcBorders>
              <w:right w:val="single" w:color="auto" w:sz="4" w:space="0"/>
            </w:tcBorders>
            <w:vAlign w:val="center"/>
          </w:tcPr>
          <w:p>
            <w:pPr>
              <w:widowControl/>
              <w:jc w:val="center"/>
              <w:rPr>
                <w:rFonts w:hint="eastAsia" w:eastAsia="宋体"/>
                <w:lang w:eastAsia="zh-CN"/>
              </w:rPr>
            </w:pPr>
            <w:r>
              <w:rPr>
                <w:rFonts w:hint="eastAsia"/>
              </w:rPr>
              <w:t>财务</w:t>
            </w:r>
            <w:r>
              <w:rPr>
                <w:rFonts w:hint="eastAsia"/>
                <w:lang w:val="en-US" w:eastAsia="zh-CN"/>
              </w:rPr>
              <w:t>状况</w:t>
            </w:r>
            <w:r>
              <w:rPr>
                <w:rFonts w:hint="eastAsia"/>
                <w:lang w:eastAsia="zh-CN"/>
              </w:rPr>
              <w:t>（</w:t>
            </w:r>
            <w:r>
              <w:rPr>
                <w:rFonts w:hint="eastAsia"/>
                <w:lang w:val="en-US" w:eastAsia="zh-CN"/>
              </w:rPr>
              <w:t>10分</w:t>
            </w:r>
            <w:r>
              <w:rPr>
                <w:rFonts w:hint="eastAsia"/>
                <w:lang w:eastAsia="zh-CN"/>
              </w:rPr>
              <w:t>）</w:t>
            </w:r>
          </w:p>
        </w:tc>
        <w:tc>
          <w:tcPr>
            <w:tcW w:w="841" w:type="pct"/>
            <w:tcBorders>
              <w:top w:val="single" w:color="auto" w:sz="4" w:space="0"/>
              <w:left w:val="single" w:color="auto" w:sz="4" w:space="0"/>
              <w:bottom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auto"/>
                <w:szCs w:val="21"/>
                <w:highlight w:val="none"/>
              </w:rPr>
              <w:t>10 分</w:t>
            </w:r>
          </w:p>
        </w:tc>
        <w:tc>
          <w:tcPr>
            <w:tcW w:w="2932" w:type="pct"/>
            <w:gridSpan w:val="2"/>
            <w:tcBorders>
              <w:top w:val="single" w:color="auto" w:sz="4" w:space="0"/>
              <w:bottom w:val="single" w:color="auto" w:sz="4" w:space="0"/>
            </w:tcBorders>
            <w:vAlign w:val="center"/>
          </w:tcPr>
          <w:p>
            <w:pPr>
              <w:pStyle w:val="6"/>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近  年（指   年度、   年度、  年度）经会计师事务所或审计机构审计的财务审计报告，包括资产负债表、现金流量表、损益表和财务报表附注；评委根据资产负债率、净现金流量、净利润情况打分，具体指标由招标人在招标文件中明确。</w:t>
            </w:r>
          </w:p>
        </w:tc>
        <w:tc>
          <w:tcPr>
            <w:tcW w:w="435" w:type="pct"/>
            <w:tcBorders>
              <w:top w:val="single" w:color="auto" w:sz="4" w:space="0"/>
              <w:left w:val="single" w:color="auto" w:sz="4" w:space="0"/>
              <w:bottom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250" w:type="pc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p>
        </w:tc>
        <w:tc>
          <w:tcPr>
            <w:tcW w:w="539" w:type="pct"/>
            <w:tcBorders>
              <w:right w:val="single" w:color="auto" w:sz="4" w:space="0"/>
            </w:tcBorders>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信誉</w:t>
            </w:r>
          </w:p>
          <w:p>
            <w:pPr>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（5分）</w:t>
            </w:r>
          </w:p>
        </w:tc>
        <w:tc>
          <w:tcPr>
            <w:tcW w:w="841" w:type="pct"/>
            <w:tcBorders>
              <w:top w:val="single" w:color="auto" w:sz="4" w:space="0"/>
              <w:left w:val="single" w:color="auto" w:sz="4" w:space="0"/>
              <w:bottom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auto"/>
                <w:szCs w:val="21"/>
                <w:highlight w:val="none"/>
              </w:rPr>
              <w:t>5分</w:t>
            </w:r>
          </w:p>
        </w:tc>
        <w:tc>
          <w:tcPr>
            <w:tcW w:w="2932" w:type="pct"/>
            <w:gridSpan w:val="2"/>
            <w:tcBorders>
              <w:top w:val="single" w:color="auto" w:sz="4" w:space="0"/>
              <w:bottom w:val="single" w:color="auto" w:sz="4" w:space="0"/>
            </w:tcBorders>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eastAsia="宋体" w:cs="宋体"/>
                <w:color w:val="000000"/>
                <w:szCs w:val="21"/>
                <w:highlight w:val="none"/>
              </w:rPr>
              <w:t>……</w:t>
            </w:r>
          </w:p>
        </w:tc>
        <w:tc>
          <w:tcPr>
            <w:tcW w:w="435" w:type="pct"/>
            <w:tcBorders>
              <w:top w:val="single" w:color="auto" w:sz="4" w:space="0"/>
              <w:left w:val="single" w:color="auto" w:sz="4" w:space="0"/>
              <w:bottom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250" w:type="pct"/>
            <w:vAlign w:val="center"/>
          </w:tcPr>
          <w:p>
            <w:pPr>
              <w:widowControl/>
              <w:jc w:val="cente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6</w:t>
            </w:r>
          </w:p>
        </w:tc>
        <w:tc>
          <w:tcPr>
            <w:tcW w:w="1381" w:type="pct"/>
            <w:gridSpan w:val="2"/>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2932" w:type="pct"/>
            <w:gridSpan w:val="2"/>
            <w:tcBorders>
              <w:top w:val="single" w:color="auto" w:sz="4" w:space="0"/>
              <w:bottom w:val="single" w:color="auto" w:sz="4" w:space="0"/>
            </w:tcBorders>
            <w:vAlign w:val="center"/>
          </w:tcPr>
          <w:p>
            <w:pPr>
              <w:jc w:val="left"/>
              <w:rPr>
                <w:rFonts w:hint="eastAsia" w:asciiTheme="minorEastAsia" w:hAnsiTheme="minorEastAsia" w:eastAsiaTheme="minorEastAsia" w:cstheme="minorEastAsia"/>
                <w:color w:val="0000FF"/>
                <w:szCs w:val="21"/>
                <w:highlight w:val="none"/>
                <w:lang w:eastAsia="zh-CN"/>
              </w:rPr>
            </w:pPr>
          </w:p>
        </w:tc>
        <w:tc>
          <w:tcPr>
            <w:tcW w:w="435" w:type="pct"/>
            <w:tcBorders>
              <w:top w:val="single" w:color="auto" w:sz="4" w:space="0"/>
              <w:left w:val="single" w:color="auto" w:sz="4" w:space="0"/>
              <w:bottom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90" w:type="pct"/>
            <w:gridSpan w:val="2"/>
            <w:tcBorders>
              <w:right w:val="single" w:color="auto" w:sz="4" w:space="0"/>
            </w:tcBorders>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满分</w:t>
            </w:r>
          </w:p>
        </w:tc>
        <w:tc>
          <w:tcPr>
            <w:tcW w:w="841" w:type="pct"/>
            <w:tcBorders>
              <w:top w:val="single" w:color="auto" w:sz="4" w:space="0"/>
              <w:left w:val="single" w:color="auto" w:sz="4" w:space="0"/>
              <w:bottom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100分</w:t>
            </w:r>
          </w:p>
        </w:tc>
        <w:tc>
          <w:tcPr>
            <w:tcW w:w="3367" w:type="pct"/>
            <w:gridSpan w:val="3"/>
            <w:tcBorders>
              <w:top w:val="single" w:color="auto" w:sz="4" w:space="0"/>
              <w:bottom w:val="single" w:color="auto" w:sz="4" w:space="0"/>
            </w:tcBorders>
            <w:vAlign w:val="center"/>
          </w:tcPr>
          <w:p>
            <w:pPr>
              <w:ind w:left="-181" w:leftChars="-86" w:right="-134" w:rightChars="-64"/>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仿宋_GB2312" w:hAnsi="仿宋" w:cs="仿宋"/>
                <w:highlight w:val="none"/>
                <w:lang w:val="en-US" w:eastAsia="zh-CN"/>
              </w:rPr>
              <w:t>权重</w:t>
            </w:r>
            <w:r>
              <w:rPr>
                <w:rFonts w:hint="default" w:ascii="仿宋_GB2312" w:hAnsi="仿宋" w:cs="仿宋"/>
                <w:highlight w:val="none"/>
                <w:lang w:val="en-US" w:eastAsia="zh-CN"/>
              </w:rPr>
              <w:t>≤</w:t>
            </w:r>
            <w:r>
              <w:rPr>
                <w:rFonts w:hint="eastAsia" w:ascii="仿宋_GB2312" w:hAnsi="仿宋" w:cs="仿宋"/>
                <w:highlight w:val="none"/>
                <w:lang w:val="en-US" w:eastAsia="zh-CN"/>
              </w:rPr>
              <w:t>20%（采取评定分离法时，权重为</w:t>
            </w:r>
            <w:r>
              <w:rPr>
                <w:rFonts w:hint="default" w:ascii="仿宋_GB2312" w:hAnsi="仿宋" w:cs="仿宋"/>
                <w:lang w:val="en-US" w:eastAsia="zh-CN"/>
              </w:rPr>
              <w:t>≤</w:t>
            </w:r>
            <w:r>
              <w:rPr>
                <w:rFonts w:hint="eastAsia" w:ascii="仿宋_GB2312" w:hAnsi="仿宋" w:cs="仿宋"/>
                <w:lang w:val="en-US" w:eastAsia="zh-CN"/>
              </w:rPr>
              <w:t>40%</w:t>
            </w:r>
            <w:r>
              <w:rPr>
                <w:rFonts w:hint="eastAsia" w:ascii="仿宋_GB2312" w:hAnsi="仿宋" w:cs="仿宋"/>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5000" w:type="pct"/>
            <w:gridSpan w:val="6"/>
            <w:vAlign w:val="center"/>
          </w:tcPr>
          <w:p>
            <w:pPr>
              <w:tabs>
                <w:tab w:val="left" w:pos="312"/>
              </w:tabs>
              <w:rPr>
                <w:rFonts w:hint="eastAsia"/>
              </w:rPr>
            </w:pPr>
            <w:r>
              <w:rPr>
                <w:rFonts w:hint="eastAsia"/>
              </w:rPr>
              <w:t>注：1．招标人应根据项目的特点在分值范围内设置各</w:t>
            </w:r>
            <w:r>
              <w:rPr>
                <w:rFonts w:hint="eastAsia"/>
                <w:lang w:val="en-US" w:eastAsia="zh-CN"/>
              </w:rPr>
              <w:t>评审</w:t>
            </w:r>
            <w:r>
              <w:rPr>
                <w:rFonts w:hint="eastAsia"/>
              </w:rPr>
              <w:t>项目的具体分值，各项分值之和为100分，该项权重为</w:t>
            </w:r>
            <w:r>
              <w:rPr>
                <w:rFonts w:hint="default" w:ascii="仿宋_GB2312" w:hAnsi="仿宋" w:cs="仿宋"/>
                <w:highlight w:val="none"/>
                <w:lang w:val="en-US" w:eastAsia="zh-CN"/>
              </w:rPr>
              <w:t>≤</w:t>
            </w:r>
            <w:r>
              <w:rPr>
                <w:rFonts w:hint="eastAsia" w:ascii="仿宋_GB2312" w:hAnsi="仿宋" w:cs="仿宋"/>
                <w:highlight w:val="none"/>
                <w:lang w:val="en-US" w:eastAsia="zh-CN"/>
              </w:rPr>
              <w:t>2</w:t>
            </w:r>
            <w:r>
              <w:rPr>
                <w:rFonts w:hint="eastAsia"/>
                <w:lang w:val="en-US" w:eastAsia="zh-CN"/>
              </w:rPr>
              <w:t>0%</w:t>
            </w:r>
            <w:r>
              <w:rPr>
                <w:rFonts w:hint="eastAsia" w:ascii="仿宋_GB2312" w:hAnsi="仿宋" w:cs="仿宋"/>
                <w:highlight w:val="none"/>
                <w:lang w:val="en-US" w:eastAsia="zh-CN"/>
              </w:rPr>
              <w:t>（采取评定分离法时，权重为</w:t>
            </w:r>
            <w:r>
              <w:rPr>
                <w:rFonts w:hint="default" w:ascii="仿宋_GB2312" w:hAnsi="仿宋" w:cs="仿宋"/>
                <w:lang w:val="en-US" w:eastAsia="zh-CN"/>
              </w:rPr>
              <w:t>≤</w:t>
            </w:r>
            <w:r>
              <w:rPr>
                <w:rFonts w:hint="eastAsia" w:ascii="仿宋_GB2312" w:hAnsi="仿宋" w:cs="仿宋"/>
                <w:lang w:val="en-US" w:eastAsia="zh-CN"/>
              </w:rPr>
              <w:t>40%</w:t>
            </w:r>
            <w:r>
              <w:rPr>
                <w:rFonts w:hint="eastAsia" w:ascii="仿宋_GB2312" w:hAnsi="仿宋" w:cs="仿宋"/>
                <w:highlight w:val="none"/>
                <w:lang w:val="en-US" w:eastAsia="zh-CN"/>
              </w:rPr>
              <w:t>）</w:t>
            </w:r>
            <w:r>
              <w:rPr>
                <w:rFonts w:hint="eastAsia"/>
              </w:rPr>
              <w:t>；</w:t>
            </w:r>
          </w:p>
          <w:p>
            <w:pPr>
              <w:tabs>
                <w:tab w:val="left" w:pos="312"/>
              </w:tabs>
              <w:ind w:firstLine="420" w:firstLineChars="200"/>
              <w:rPr>
                <w:rFonts w:hint="eastAsia"/>
                <w:lang w:eastAsia="zh-CN"/>
              </w:rPr>
            </w:pPr>
            <w:r>
              <w:rPr>
                <w:rFonts w:hint="eastAsia"/>
              </w:rPr>
              <w:t>2．计分表中的评审标准为通用模板，招标人可根据项目的实际情况对分值</w:t>
            </w:r>
            <w:r>
              <w:rPr>
                <w:rFonts w:hint="eastAsia"/>
                <w:lang w:eastAsia="zh-CN"/>
              </w:rPr>
              <w:t>、</w:t>
            </w:r>
            <w:r>
              <w:rPr>
                <w:rFonts w:hint="eastAsia"/>
              </w:rPr>
              <w:t>评审标准进行</w:t>
            </w:r>
            <w:r>
              <w:rPr>
                <w:rFonts w:hint="eastAsia"/>
                <w:lang w:val="en-US" w:eastAsia="zh-CN"/>
              </w:rPr>
              <w:t>适当调整</w:t>
            </w:r>
            <w:r>
              <w:rPr>
                <w:rFonts w:hint="eastAsia"/>
              </w:rPr>
              <w:t>；</w:t>
            </w:r>
            <w:r>
              <w:rPr>
                <w:rFonts w:hint="eastAsia"/>
                <w:lang w:val="en-US" w:eastAsia="zh-CN"/>
              </w:rPr>
              <w:t>如有</w:t>
            </w:r>
            <w:r>
              <w:rPr>
                <w:rFonts w:hint="eastAsia"/>
              </w:rPr>
              <w:t>补充</w:t>
            </w:r>
            <w:r>
              <w:rPr>
                <w:rFonts w:hint="eastAsia"/>
                <w:lang w:eastAsia="zh-CN"/>
              </w:rPr>
              <w:t>，</w:t>
            </w:r>
            <w:r>
              <w:rPr>
                <w:rFonts w:hint="eastAsia"/>
              </w:rPr>
              <w:t>列入“其他”栏</w:t>
            </w:r>
            <w:r>
              <w:rPr>
                <w:rFonts w:hint="eastAsia"/>
                <w:lang w:eastAsia="zh-CN"/>
              </w:rPr>
              <w:t>；</w:t>
            </w:r>
          </w:p>
          <w:p>
            <w:pPr>
              <w:tabs>
                <w:tab w:val="left" w:pos="312"/>
              </w:tabs>
              <w:ind w:firstLine="420" w:firstLineChars="200"/>
              <w:rPr>
                <w:rFonts w:hint="eastAsia"/>
                <w:lang w:eastAsia="zh-CN"/>
              </w:rPr>
            </w:pPr>
            <w:r>
              <w:rPr>
                <w:rFonts w:hint="eastAsia"/>
              </w:rPr>
              <w:t>3．专业工程招标时，招标人可根据项目实际情况对评审计分表中的评</w:t>
            </w:r>
            <w:r>
              <w:rPr>
                <w:rFonts w:hint="eastAsia"/>
                <w:lang w:val="en-US" w:eastAsia="zh-CN"/>
              </w:rPr>
              <w:t>审</w:t>
            </w:r>
            <w:r>
              <w:rPr>
                <w:rFonts w:hint="eastAsia"/>
              </w:rPr>
              <w:t>项目</w:t>
            </w:r>
            <w:r>
              <w:rPr>
                <w:rFonts w:hint="eastAsia"/>
                <w:lang w:val="en-US" w:eastAsia="zh-CN"/>
              </w:rPr>
              <w:t>及</w:t>
            </w:r>
            <w:r>
              <w:rPr>
                <w:rFonts w:hint="eastAsia"/>
              </w:rPr>
              <w:t>分值、评审标准进行适当调整</w:t>
            </w:r>
            <w:r>
              <w:rPr>
                <w:rFonts w:hint="eastAsia"/>
                <w:lang w:eastAsia="zh-CN"/>
              </w:rPr>
              <w:t>。</w:t>
            </w:r>
          </w:p>
          <w:p>
            <w:pPr>
              <w:tabs>
                <w:tab w:val="left" w:pos="312"/>
              </w:tabs>
              <w:ind w:firstLine="420" w:firstLineChars="200"/>
              <w:rPr>
                <w:rFonts w:hint="eastAsia"/>
                <w:lang w:eastAsia="zh-CN"/>
              </w:rPr>
            </w:pPr>
            <w:r>
              <w:rPr>
                <w:rFonts w:hint="eastAsia"/>
                <w:lang w:val="en-US" w:eastAsia="zh-CN"/>
              </w:rPr>
              <w:t>4</w:t>
            </w:r>
            <w:r>
              <w:rPr>
                <w:rFonts w:hint="eastAsia"/>
              </w:rPr>
              <w:t>．</w:t>
            </w:r>
            <w:r>
              <w:rPr>
                <w:rFonts w:hint="eastAsia"/>
                <w:lang w:eastAsia="zh-CN"/>
              </w:rPr>
              <w:t>由评标委员会独立评审计分，投标人的得分为去掉一个评审计分最高分和一个最低分后的平均值，</w:t>
            </w:r>
            <w:r>
              <w:rPr>
                <w:rFonts w:hint="eastAsia"/>
                <w:lang w:val="en-US" w:eastAsia="zh-CN"/>
              </w:rPr>
              <w:t>结果保留两位小数</w:t>
            </w:r>
            <w:r>
              <w:rPr>
                <w:rFonts w:hint="eastAsia"/>
                <w:lang w:eastAsia="zh-CN"/>
              </w:rPr>
              <w:t>。</w:t>
            </w:r>
          </w:p>
        </w:tc>
      </w:tr>
    </w:tbl>
    <w:p>
      <w:pPr>
        <w:pStyle w:val="2"/>
        <w:ind w:left="0" w:leftChars="0" w:firstLine="0" w:firstLineChars="0"/>
        <w:rPr>
          <w:rFonts w:hint="eastAsia" w:ascii="宋体" w:hAnsi="宋体" w:eastAsia="宋体" w:cs="宋体"/>
          <w:color w:val="000000"/>
          <w:sz w:val="24"/>
          <w:highlight w:val="none"/>
        </w:rPr>
      </w:pPr>
      <w:r>
        <w:rPr>
          <w:rFonts w:hint="eastAsia" w:ascii="仿宋" w:hAnsi="仿宋" w:eastAsia="仿宋" w:cs="仿宋"/>
          <w:sz w:val="32"/>
          <w:szCs w:val="32"/>
          <w:lang w:val="en-US" w:eastAsia="zh-CN"/>
        </w:rPr>
        <w:t>附表3-1：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b/>
          <w:bCs/>
          <w:color w:val="000000"/>
          <w:sz w:val="32"/>
          <w:szCs w:val="32"/>
          <w:highlight w:val="none"/>
          <w:lang w:eastAsia="zh-CN"/>
        </w:rPr>
        <w:t>技术标评审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适用于房屋建筑工程可行性研究、方案设计完成后启动的招标</w:t>
      </w:r>
      <w:r>
        <w:rPr>
          <w:rFonts w:hint="eastAsia" w:ascii="宋体" w:hAnsi="宋体" w:cs="宋体"/>
          <w:b/>
          <w:bCs/>
          <w:color w:val="000000"/>
          <w:sz w:val="24"/>
          <w:szCs w:val="24"/>
          <w:highlight w:val="none"/>
          <w:lang w:eastAsia="zh-CN"/>
        </w:rPr>
        <w:t>）</w:t>
      </w:r>
    </w:p>
    <w:tbl>
      <w:tblPr>
        <w:tblStyle w:val="12"/>
        <w:tblW w:w="10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9"/>
        <w:gridCol w:w="1170"/>
        <w:gridCol w:w="1549"/>
        <w:gridCol w:w="6184"/>
        <w:gridCol w:w="6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9" w:type="dxa"/>
            <w:vAlign w:val="center"/>
          </w:tcPr>
          <w:p>
            <w:pPr>
              <w:jc w:val="cente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序号</w:t>
            </w:r>
          </w:p>
        </w:tc>
        <w:tc>
          <w:tcPr>
            <w:tcW w:w="2719" w:type="dxa"/>
            <w:gridSpan w:val="2"/>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评审项目及分值范围</w:t>
            </w:r>
          </w:p>
        </w:tc>
        <w:tc>
          <w:tcPr>
            <w:tcW w:w="6184" w:type="dxa"/>
            <w:tcBorders>
              <w:righ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评审标准</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p>
        </w:tc>
        <w:tc>
          <w:tcPr>
            <w:tcW w:w="1170" w:type="dxa"/>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设计方案</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41-56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1549"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设计说明</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6184" w:type="dxa"/>
            <w:tcBorders>
              <w:right w:val="single" w:color="auto" w:sz="4" w:space="0"/>
            </w:tcBorders>
            <w:vAlign w:val="center"/>
          </w:tcPr>
          <w:p>
            <w:pPr>
              <w:numPr>
                <w:ilvl w:val="0"/>
                <w:numId w:val="2"/>
              </w:numPr>
              <w:jc w:val="left"/>
              <w:rPr>
                <w:rFonts w:hint="eastAsia"/>
              </w:rPr>
            </w:pPr>
            <w:r>
              <w:rPr>
                <w:rFonts w:hint="eastAsia"/>
              </w:rPr>
              <w:t>各专业设计说明是否完整、充分、准确；</w:t>
            </w:r>
          </w:p>
          <w:p>
            <w:pPr>
              <w:numPr>
                <w:ilvl w:val="0"/>
                <w:numId w:val="2"/>
              </w:numPr>
              <w:jc w:val="left"/>
              <w:rPr>
                <w:rFonts w:hint="eastAsia"/>
              </w:rPr>
            </w:pPr>
            <w:r>
              <w:rPr>
                <w:rFonts w:hint="eastAsia"/>
              </w:rPr>
              <w:t>项目规划设计各项指标是否满足任务书及规划设计要点，是否科学、合理；</w:t>
            </w:r>
          </w:p>
          <w:p>
            <w:pPr>
              <w:numPr>
                <w:ilvl w:val="0"/>
                <w:numId w:val="2"/>
              </w:numPr>
              <w:jc w:val="left"/>
              <w:rPr>
                <w:rFonts w:hint="default"/>
                <w:lang w:val="en-US"/>
              </w:rPr>
            </w:pPr>
            <w:r>
              <w:rPr>
                <w:rFonts w:hint="eastAsia"/>
              </w:rPr>
              <w:t>技术指标是否满足任务书要求，是否符合规划要求；</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总平面图布局及建筑功能（</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17-21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6184" w:type="dxa"/>
            <w:tcBorders>
              <w:right w:val="single" w:color="auto" w:sz="4" w:space="0"/>
            </w:tcBorders>
            <w:vAlign w:val="center"/>
          </w:tcPr>
          <w:p>
            <w:pPr>
              <w:numPr>
                <w:ilvl w:val="0"/>
                <w:numId w:val="3"/>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规划构思与功能布局是否新颖、合理；</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与周边环境是否协调；</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竖向设计是否合理；综合管网设计是否完整；</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交通流线及开口是否合理可行；</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停车位布置、消防、日照间距是否满足要求；</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建筑平面功能要求是否满足设计任务书要求；</w:t>
            </w:r>
          </w:p>
          <w:p>
            <w:pPr>
              <w:numPr>
                <w:ilvl w:val="0"/>
                <w:numId w:val="3"/>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工艺系统流程设计是否符合设计任务书要求等。</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建筑造型</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6184" w:type="dxa"/>
            <w:tcBorders>
              <w:right w:val="single" w:color="auto" w:sz="4" w:space="0"/>
            </w:tcBorders>
            <w:vAlign w:val="center"/>
          </w:tcPr>
          <w:p>
            <w:pPr>
              <w:numPr>
                <w:ilvl w:val="0"/>
                <w:numId w:val="4"/>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建筑创意、空间处理是否合理；</w:t>
            </w:r>
          </w:p>
          <w:p>
            <w:pPr>
              <w:numPr>
                <w:ilvl w:val="0"/>
                <w:numId w:val="4"/>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立面造型、比例尺度是否和谐美观；</w:t>
            </w:r>
          </w:p>
          <w:p>
            <w:pPr>
              <w:numPr>
                <w:ilvl w:val="0"/>
                <w:numId w:val="4"/>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建筑的功能和形式是否统一；</w:t>
            </w:r>
          </w:p>
          <w:p>
            <w:pPr>
              <w:numPr>
                <w:ilvl w:val="0"/>
                <w:numId w:val="4"/>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功能与形式是否统一；</w:t>
            </w:r>
          </w:p>
          <w:p>
            <w:pPr>
              <w:numPr>
                <w:ilvl w:val="0"/>
                <w:numId w:val="4"/>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与周围环境是否相协调；</w:t>
            </w:r>
          </w:p>
          <w:p>
            <w:pPr>
              <w:numPr>
                <w:ilvl w:val="0"/>
                <w:numId w:val="4"/>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是否能够较好的体现建筑风格等。</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结构及设备方案（</w:t>
            </w:r>
            <w:r>
              <w:rPr>
                <w:rFonts w:hint="eastAsia" w:asciiTheme="minorEastAsia" w:hAnsiTheme="minorEastAsia" w:eastAsiaTheme="minorEastAsia" w:cstheme="minorEastAsia"/>
                <w:color w:val="auto"/>
                <w:kern w:val="0"/>
                <w:szCs w:val="21"/>
                <w:highlight w:val="none"/>
                <w:lang w:val="en-US" w:eastAsia="zh-CN"/>
              </w:rPr>
              <w:t>4-6</w:t>
            </w:r>
            <w:r>
              <w:rPr>
                <w:rFonts w:hint="eastAsia" w:asciiTheme="minorEastAsia" w:hAnsiTheme="minorEastAsia" w:eastAsiaTheme="minorEastAsia" w:cstheme="minorEastAsia"/>
                <w:color w:val="auto"/>
                <w:kern w:val="0"/>
                <w:szCs w:val="21"/>
                <w:highlight w:val="none"/>
              </w:rPr>
              <w:t>分）</w:t>
            </w:r>
          </w:p>
        </w:tc>
        <w:tc>
          <w:tcPr>
            <w:tcW w:w="6184" w:type="dxa"/>
            <w:tcBorders>
              <w:right w:val="single" w:color="auto" w:sz="4" w:space="0"/>
            </w:tcBorders>
            <w:vAlign w:val="center"/>
          </w:tcPr>
          <w:p>
            <w:pPr>
              <w:numPr>
                <w:ilvl w:val="0"/>
                <w:numId w:val="5"/>
              </w:numPr>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结构方案的选型是否合理可行、是否满足设计任务书要求；</w:t>
            </w:r>
          </w:p>
          <w:p>
            <w:pPr>
              <w:numPr>
                <w:ilvl w:val="0"/>
                <w:numId w:val="5"/>
              </w:num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结构方案的设计依据是否符合规范及标准要求；</w:t>
            </w:r>
          </w:p>
          <w:p>
            <w:pPr>
              <w:numPr>
                <w:ilvl w:val="0"/>
                <w:numId w:val="5"/>
              </w:num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设备方案的选型是否合理可行、是否满足设计任务书要求等。</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绿色建筑与装配式建筑设计（</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6184" w:type="dxa"/>
            <w:tcBorders>
              <w:right w:val="single" w:color="auto" w:sz="4" w:space="0"/>
            </w:tcBorders>
            <w:vAlign w:val="center"/>
          </w:tcPr>
          <w:p>
            <w:pPr>
              <w:numPr>
                <w:ilvl w:val="0"/>
                <w:numId w:val="6"/>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绿色建筑（建筑节能）措施是否科学、合理；</w:t>
            </w:r>
          </w:p>
          <w:p>
            <w:pPr>
              <w:numPr>
                <w:ilvl w:val="0"/>
                <w:numId w:val="6"/>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装配式技术（如有）是否合理、可行等。</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设计深度</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p>
        </w:tc>
        <w:tc>
          <w:tcPr>
            <w:tcW w:w="6184" w:type="dxa"/>
            <w:tcBorders>
              <w:right w:val="single" w:color="auto" w:sz="4" w:space="0"/>
            </w:tcBorders>
            <w:vAlign w:val="center"/>
          </w:tcPr>
          <w:p>
            <w:pPr>
              <w:numPr>
                <w:ilvl w:val="0"/>
                <w:numId w:val="7"/>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是否符合设计任务书要求；</w:t>
            </w:r>
          </w:p>
          <w:p>
            <w:pPr>
              <w:numPr>
                <w:ilvl w:val="0"/>
                <w:numId w:val="7"/>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是否满足国家规定的《建筑工程设计文件编制深度规定》等。</w:t>
            </w:r>
          </w:p>
        </w:tc>
        <w:tc>
          <w:tcPr>
            <w:tcW w:w="676"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619"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p>
        </w:tc>
        <w:tc>
          <w:tcPr>
            <w:tcW w:w="1170" w:type="dxa"/>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总承包</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实施方</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案</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（14-20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1549" w:type="dxa"/>
            <w:vAlign w:val="center"/>
          </w:tcPr>
          <w:p>
            <w:pPr>
              <w:shd w:val="clear" w:color="auto" w:fill="auto"/>
              <w:jc w:val="center"/>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总承包管理方案及措施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8-10分</w:t>
            </w:r>
            <w:r>
              <w:rPr>
                <w:rFonts w:hint="eastAsia" w:ascii="宋体" w:hAnsi="宋体" w:cs="宋体"/>
                <w:color w:val="000000"/>
                <w:kern w:val="0"/>
                <w:szCs w:val="21"/>
                <w:highlight w:val="none"/>
                <w:lang w:eastAsia="zh-CN"/>
              </w:rPr>
              <w:t>）</w:t>
            </w:r>
          </w:p>
        </w:tc>
        <w:tc>
          <w:tcPr>
            <w:tcW w:w="6184" w:type="dxa"/>
            <w:tcBorders>
              <w:right w:val="single" w:color="auto" w:sz="4" w:space="0"/>
            </w:tcBorders>
            <w:vAlign w:val="center"/>
          </w:tcPr>
          <w:p>
            <w:pPr>
              <w:widowControl/>
              <w:numPr>
                <w:ilvl w:val="0"/>
                <w:numId w:val="8"/>
              </w:numPr>
              <w:shd w:val="clear" w:color="auto" w:fill="auto"/>
              <w:jc w:val="left"/>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总承包管理方案是否清晰并切实可行；</w:t>
            </w:r>
          </w:p>
          <w:p>
            <w:pPr>
              <w:widowControl/>
              <w:numPr>
                <w:ilvl w:val="0"/>
                <w:numId w:val="8"/>
              </w:numPr>
              <w:shd w:val="clear" w:color="auto" w:fill="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内容是否全面、完整；</w:t>
            </w:r>
          </w:p>
          <w:p>
            <w:pPr>
              <w:widowControl/>
              <w:numPr>
                <w:ilvl w:val="0"/>
                <w:numId w:val="8"/>
              </w:numPr>
              <w:shd w:val="clear" w:color="auto" w:fill="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部署及措施是否合理、先进、可靠；</w:t>
            </w:r>
          </w:p>
          <w:p>
            <w:pPr>
              <w:widowControl/>
              <w:numPr>
                <w:ilvl w:val="0"/>
                <w:numId w:val="8"/>
              </w:numPr>
              <w:shd w:val="clear" w:color="auto" w:fill="auto"/>
              <w:jc w:val="left"/>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能否满足项目管理需要等。</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549" w:type="dxa"/>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总承包管理重点、难点分析</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6-10分</w:t>
            </w:r>
            <w:r>
              <w:rPr>
                <w:rFonts w:hint="eastAsia" w:ascii="宋体" w:hAnsi="宋体" w:cs="宋体"/>
                <w:color w:val="000000"/>
                <w:kern w:val="0"/>
                <w:szCs w:val="21"/>
                <w:highlight w:val="none"/>
                <w:lang w:eastAsia="zh-CN"/>
              </w:rPr>
              <w:t>）</w:t>
            </w:r>
          </w:p>
        </w:tc>
        <w:tc>
          <w:tcPr>
            <w:tcW w:w="6184" w:type="dxa"/>
            <w:tcBorders>
              <w:right w:val="single" w:color="auto" w:sz="4" w:space="0"/>
            </w:tcBorders>
            <w:vAlign w:val="center"/>
          </w:tcPr>
          <w:p>
            <w:pPr>
              <w:numPr>
                <w:ilvl w:val="0"/>
                <w:numId w:val="9"/>
              </w:numPr>
              <w:shd w:val="clear" w:color="auto" w:fill="auto"/>
              <w:jc w:val="left"/>
              <w:rPr>
                <w:rFonts w:hint="eastAsia"/>
                <w:color w:val="000000"/>
                <w:highlight w:val="none"/>
              </w:rPr>
            </w:pPr>
            <w:r>
              <w:rPr>
                <w:rFonts w:hint="eastAsia"/>
                <w:color w:val="000000"/>
                <w:highlight w:val="none"/>
              </w:rPr>
              <w:t>总承包管理重难点控制是否得当；</w:t>
            </w:r>
          </w:p>
          <w:p>
            <w:pPr>
              <w:numPr>
                <w:ilvl w:val="0"/>
                <w:numId w:val="9"/>
              </w:numPr>
              <w:shd w:val="clear" w:color="auto" w:fill="auto"/>
              <w:jc w:val="left"/>
              <w:rPr>
                <w:rFonts w:hint="eastAsia"/>
                <w:color w:val="000000"/>
                <w:highlight w:val="none"/>
                <w:lang w:eastAsia="zh-CN"/>
              </w:rPr>
            </w:pPr>
            <w:r>
              <w:rPr>
                <w:rFonts w:hint="eastAsia"/>
                <w:color w:val="000000"/>
                <w:highlight w:val="none"/>
              </w:rPr>
              <w:t>处置措施是否具备针对性；</w:t>
            </w:r>
          </w:p>
          <w:p>
            <w:pPr>
              <w:numPr>
                <w:ilvl w:val="0"/>
                <w:numId w:val="9"/>
              </w:numPr>
              <w:shd w:val="clear" w:color="auto" w:fill="auto"/>
              <w:jc w:val="left"/>
              <w:rPr>
                <w:rFonts w:hint="eastAsia" w:eastAsia="宋体"/>
                <w:color w:val="000000" w:themeColor="text1"/>
                <w:lang w:eastAsia="zh-CN"/>
                <w14:textFill>
                  <w14:solidFill>
                    <w14:schemeClr w14:val="tx1"/>
                  </w14:solidFill>
                </w14:textFill>
              </w:rPr>
            </w:pPr>
            <w:r>
              <w:rPr>
                <w:rFonts w:hint="eastAsia"/>
                <w:color w:val="000000"/>
                <w:highlight w:val="none"/>
              </w:rPr>
              <w:t>能否满足项目需要等</w:t>
            </w:r>
            <w:r>
              <w:rPr>
                <w:rFonts w:hint="eastAsia"/>
                <w:color w:val="000000"/>
                <w:highlight w:val="none"/>
                <w:lang w:eastAsia="zh-CN"/>
              </w:rPr>
              <w:t>。</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1" w:hRule="atLeast"/>
          <w:jc w:val="center"/>
        </w:trPr>
        <w:tc>
          <w:tcPr>
            <w:tcW w:w="619"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1170" w:type="dxa"/>
            <w:vMerge w:val="restart"/>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szCs w:val="21"/>
                <w:highlight w:val="none"/>
              </w:rPr>
              <w:t>施工组织设计</w:t>
            </w:r>
            <w:r>
              <w:rPr>
                <w:rFonts w:hint="eastAsia" w:ascii="宋体" w:hAnsi="宋体"/>
                <w:color w:val="000000"/>
                <w:kern w:val="0"/>
                <w:sz w:val="21"/>
                <w:szCs w:val="21"/>
              </w:rPr>
              <w:t>（</w:t>
            </w:r>
            <w:r>
              <w:rPr>
                <w:rFonts w:hint="eastAsia" w:ascii="宋体" w:hAnsi="宋体"/>
                <w:color w:val="000000"/>
                <w:kern w:val="0"/>
                <w:sz w:val="21"/>
                <w:szCs w:val="21"/>
                <w:lang w:val="en-US" w:eastAsia="zh-CN"/>
              </w:rPr>
              <w:t>14</w:t>
            </w:r>
            <w:r>
              <w:rPr>
                <w:rFonts w:hint="eastAsia" w:ascii="宋体" w:hAnsi="宋体"/>
                <w:color w:val="000000"/>
                <w:kern w:val="0"/>
                <w:sz w:val="21"/>
                <w:szCs w:val="21"/>
              </w:rPr>
              <w:t>-2</w:t>
            </w:r>
            <w:r>
              <w:rPr>
                <w:rFonts w:hint="eastAsia" w:ascii="宋体" w:hAnsi="宋体"/>
                <w:color w:val="000000"/>
                <w:kern w:val="0"/>
                <w:sz w:val="21"/>
                <w:szCs w:val="21"/>
                <w:lang w:val="en-US" w:eastAsia="zh-CN"/>
              </w:rPr>
              <w:t>0</w:t>
            </w:r>
            <w:r>
              <w:rPr>
                <w:rFonts w:hint="eastAsia" w:ascii="宋体" w:hAnsi="宋体"/>
                <w:color w:val="000000"/>
                <w:kern w:val="0"/>
                <w:sz w:val="21"/>
                <w:szCs w:val="21"/>
              </w:rPr>
              <w:t>分）</w:t>
            </w:r>
          </w:p>
        </w:tc>
        <w:tc>
          <w:tcPr>
            <w:tcW w:w="1549" w:type="dxa"/>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w:t>
            </w:r>
          </w:p>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olor w:val="000000"/>
                <w:kern w:val="0"/>
                <w:sz w:val="21"/>
                <w:szCs w:val="21"/>
              </w:rPr>
              <w:t>（</w:t>
            </w:r>
            <w:r>
              <w:rPr>
                <w:rFonts w:hint="eastAsia" w:ascii="宋体" w:hAnsi="宋体"/>
                <w:color w:val="000000"/>
                <w:kern w:val="0"/>
                <w:sz w:val="21"/>
                <w:szCs w:val="21"/>
                <w:lang w:val="en-US" w:eastAsia="zh-CN"/>
              </w:rPr>
              <w:t>6</w:t>
            </w:r>
            <w:r>
              <w:rPr>
                <w:rFonts w:hint="eastAsia" w:ascii="宋体" w:hAnsi="宋体"/>
                <w:color w:val="000000"/>
                <w:kern w:val="0"/>
                <w:sz w:val="21"/>
                <w:szCs w:val="21"/>
              </w:rPr>
              <w:t>-</w:t>
            </w:r>
            <w:r>
              <w:rPr>
                <w:rFonts w:hint="eastAsia" w:ascii="宋体" w:hAnsi="宋体"/>
                <w:color w:val="000000"/>
                <w:kern w:val="0"/>
                <w:sz w:val="21"/>
                <w:szCs w:val="21"/>
                <w:lang w:val="en-US" w:eastAsia="zh-CN"/>
              </w:rPr>
              <w:t>8</w:t>
            </w:r>
            <w:r>
              <w:rPr>
                <w:rFonts w:hint="eastAsia" w:ascii="宋体" w:hAnsi="宋体"/>
                <w:color w:val="000000"/>
                <w:kern w:val="0"/>
                <w:sz w:val="21"/>
                <w:szCs w:val="21"/>
              </w:rPr>
              <w:t>分）</w:t>
            </w:r>
            <w:r>
              <w:rPr>
                <w:rFonts w:hint="eastAsia" w:ascii="宋体" w:hAnsi="宋体" w:eastAsia="宋体" w:cs="宋体"/>
                <w:color w:val="000000"/>
                <w:kern w:val="0"/>
                <w:szCs w:val="21"/>
                <w:highlight w:val="none"/>
              </w:rPr>
              <w:t xml:space="preserve">              </w:t>
            </w:r>
          </w:p>
        </w:tc>
        <w:tc>
          <w:tcPr>
            <w:tcW w:w="6184" w:type="dxa"/>
            <w:tcBorders>
              <w:right w:val="single" w:color="auto" w:sz="4" w:space="0"/>
            </w:tcBorders>
            <w:vAlign w:val="center"/>
          </w:tcPr>
          <w:p>
            <w:pPr>
              <w:numPr>
                <w:ilvl w:val="0"/>
                <w:numId w:val="10"/>
              </w:numPr>
              <w:shd w:val="clear" w:color="auto" w:fill="auto"/>
              <w:jc w:val="left"/>
              <w:rPr>
                <w:rFonts w:hint="eastAsia"/>
                <w:color w:val="000000"/>
                <w:highlight w:val="none"/>
              </w:rPr>
            </w:pPr>
            <w:r>
              <w:rPr>
                <w:rFonts w:hint="eastAsia"/>
                <w:color w:val="000000"/>
                <w:highlight w:val="none"/>
              </w:rPr>
              <w:t>对项目总体概况表述是否清晰、完整；</w:t>
            </w:r>
          </w:p>
          <w:p>
            <w:pPr>
              <w:numPr>
                <w:ilvl w:val="0"/>
                <w:numId w:val="10"/>
              </w:numPr>
              <w:shd w:val="clear" w:color="auto" w:fill="auto"/>
              <w:jc w:val="left"/>
              <w:rPr>
                <w:rFonts w:hint="eastAsia"/>
                <w:color w:val="000000"/>
                <w:highlight w:val="none"/>
              </w:rPr>
            </w:pPr>
            <w:r>
              <w:rPr>
                <w:rFonts w:hint="eastAsia"/>
                <w:color w:val="000000"/>
                <w:highlight w:val="none"/>
              </w:rPr>
              <w:t>部署及措施是否先进、可靠；</w:t>
            </w:r>
          </w:p>
          <w:p>
            <w:pPr>
              <w:numPr>
                <w:ilvl w:val="0"/>
                <w:numId w:val="10"/>
              </w:numPr>
              <w:shd w:val="clear" w:color="auto" w:fill="auto"/>
              <w:jc w:val="left"/>
              <w:rPr>
                <w:rFonts w:hint="eastAsia"/>
                <w:color w:val="000000"/>
                <w:highlight w:val="none"/>
                <w:lang w:eastAsia="zh-CN"/>
              </w:rPr>
            </w:pPr>
            <w:r>
              <w:rPr>
                <w:rFonts w:hint="eastAsia"/>
                <w:color w:val="000000"/>
                <w:highlight w:val="none"/>
              </w:rPr>
              <w:t>针对项目的重点、难点分析是否透彻，解决方案是否切实可行；</w:t>
            </w:r>
          </w:p>
          <w:p>
            <w:pPr>
              <w:numPr>
                <w:ilvl w:val="0"/>
                <w:numId w:val="10"/>
              </w:numPr>
              <w:shd w:val="clear" w:color="auto" w:fill="auto"/>
              <w:jc w:val="left"/>
              <w:rPr>
                <w:rFonts w:hint="eastAsia"/>
                <w:color w:val="000000" w:themeColor="text1"/>
                <w14:textFill>
                  <w14:solidFill>
                    <w14:schemeClr w14:val="tx1"/>
                  </w14:solidFill>
                </w14:textFill>
              </w:rPr>
            </w:pPr>
            <w:r>
              <w:rPr>
                <w:rFonts w:hint="eastAsia"/>
                <w:color w:val="000000"/>
                <w:highlight w:val="none"/>
              </w:rPr>
              <w:t>施工平面布置是否有针对性、合理，较好满足施工需要，是否符合安全、文明生产要求等。</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管理体系</w:t>
            </w:r>
          </w:p>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olor w:val="000000"/>
                <w:kern w:val="0"/>
                <w:sz w:val="21"/>
                <w:szCs w:val="21"/>
              </w:rPr>
              <w:t>（</w:t>
            </w:r>
            <w:r>
              <w:rPr>
                <w:rFonts w:hint="eastAsia" w:ascii="宋体" w:hAnsi="宋体"/>
                <w:color w:val="000000"/>
                <w:kern w:val="0"/>
                <w:sz w:val="21"/>
                <w:szCs w:val="21"/>
                <w:lang w:val="en-US" w:eastAsia="zh-CN"/>
              </w:rPr>
              <w:t>6</w:t>
            </w:r>
            <w:r>
              <w:rPr>
                <w:rFonts w:hint="eastAsia" w:ascii="宋体" w:hAnsi="宋体"/>
                <w:color w:val="000000"/>
                <w:kern w:val="0"/>
                <w:sz w:val="21"/>
                <w:szCs w:val="21"/>
              </w:rPr>
              <w:t>-</w:t>
            </w:r>
            <w:r>
              <w:rPr>
                <w:rFonts w:hint="eastAsia" w:ascii="宋体" w:hAnsi="宋体"/>
                <w:color w:val="000000"/>
                <w:kern w:val="0"/>
                <w:sz w:val="21"/>
                <w:szCs w:val="21"/>
                <w:lang w:val="en-US" w:eastAsia="zh-CN"/>
              </w:rPr>
              <w:t>8</w:t>
            </w:r>
            <w:r>
              <w:rPr>
                <w:rFonts w:hint="eastAsia" w:ascii="宋体" w:hAnsi="宋体"/>
                <w:color w:val="000000"/>
                <w:kern w:val="0"/>
                <w:sz w:val="21"/>
                <w:szCs w:val="21"/>
              </w:rPr>
              <w:t>分）</w:t>
            </w:r>
          </w:p>
        </w:tc>
        <w:tc>
          <w:tcPr>
            <w:tcW w:w="6184" w:type="dxa"/>
            <w:tcBorders>
              <w:right w:val="single" w:color="auto" w:sz="4" w:space="0"/>
            </w:tcBorders>
            <w:vAlign w:val="center"/>
          </w:tcPr>
          <w:p>
            <w:pPr>
              <w:numPr>
                <w:ilvl w:val="0"/>
                <w:numId w:val="11"/>
              </w:numPr>
              <w:shd w:val="clear" w:color="auto" w:fill="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质量、安全、环境保护目标是否明确；</w:t>
            </w:r>
          </w:p>
          <w:p>
            <w:pPr>
              <w:numPr>
                <w:ilvl w:val="0"/>
                <w:numId w:val="11"/>
              </w:numPr>
              <w:shd w:val="clear" w:color="auto" w:fill="auto"/>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管理机构是否健全；</w:t>
            </w:r>
          </w:p>
          <w:p>
            <w:pPr>
              <w:numPr>
                <w:ilvl w:val="0"/>
                <w:numId w:val="11"/>
              </w:numPr>
              <w:shd w:val="clear" w:color="auto" w:fill="auto"/>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职责分工是否明确；</w:t>
            </w:r>
          </w:p>
          <w:p>
            <w:pPr>
              <w:numPr>
                <w:ilvl w:val="0"/>
                <w:numId w:val="11"/>
              </w:numPr>
              <w:shd w:val="clear" w:color="auto" w:fill="auto"/>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管理制度是否健全；</w:t>
            </w:r>
          </w:p>
          <w:p>
            <w:pPr>
              <w:numPr>
                <w:ilvl w:val="0"/>
                <w:numId w:val="11"/>
              </w:numPr>
              <w:shd w:val="clear" w:color="auto" w:fill="auto"/>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实施与监控措施是否全面、有效；</w:t>
            </w:r>
          </w:p>
          <w:p>
            <w:pPr>
              <w:numPr>
                <w:ilvl w:val="0"/>
                <w:numId w:val="11"/>
              </w:numPr>
              <w:shd w:val="clear" w:color="auto" w:fill="auto"/>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总工期及节点工期是否满足招标文件要求；</w:t>
            </w:r>
          </w:p>
          <w:p>
            <w:pPr>
              <w:numPr>
                <w:ilvl w:val="0"/>
                <w:numId w:val="11"/>
              </w:numPr>
              <w:shd w:val="clear" w:color="auto" w:fill="auto"/>
              <w:jc w:val="left"/>
              <w:rPr>
                <w:rFonts w:hint="eastAsia"/>
                <w:color w:val="000000"/>
                <w:highlight w:val="none"/>
                <w:lang w:eastAsia="zh-CN"/>
              </w:rPr>
            </w:pPr>
            <w:r>
              <w:rPr>
                <w:rFonts w:hint="eastAsia" w:ascii="宋体" w:hAnsi="宋体" w:eastAsia="宋体" w:cs="宋体"/>
                <w:color w:val="000000"/>
                <w:kern w:val="0"/>
                <w:szCs w:val="21"/>
                <w:highlight w:val="none"/>
              </w:rPr>
              <w:t>施工进度计划内容是否全面；措施是否有力；</w:t>
            </w:r>
          </w:p>
          <w:p>
            <w:pPr>
              <w:numPr>
                <w:ilvl w:val="0"/>
                <w:numId w:val="11"/>
              </w:numPr>
              <w:shd w:val="clear" w:color="auto" w:fill="auto"/>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计划编制是否合理、可行等。</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549" w:type="dxa"/>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资源配备计划</w:t>
            </w:r>
            <w:r>
              <w:rPr>
                <w:rFonts w:hint="eastAsia" w:ascii="宋体" w:hAnsi="宋体"/>
                <w:color w:val="000000"/>
                <w:kern w:val="0"/>
                <w:sz w:val="21"/>
                <w:szCs w:val="21"/>
              </w:rPr>
              <w:t>（</w:t>
            </w:r>
            <w:r>
              <w:rPr>
                <w:rFonts w:hint="eastAsia" w:ascii="宋体" w:hAnsi="宋体"/>
                <w:color w:val="000000"/>
                <w:kern w:val="0"/>
                <w:sz w:val="21"/>
                <w:szCs w:val="21"/>
                <w:lang w:val="en-US" w:eastAsia="zh-CN"/>
              </w:rPr>
              <w:t>2</w:t>
            </w:r>
            <w:r>
              <w:rPr>
                <w:rFonts w:hint="eastAsia" w:ascii="宋体" w:hAnsi="宋体"/>
                <w:color w:val="000000"/>
                <w:kern w:val="0"/>
                <w:sz w:val="21"/>
                <w:szCs w:val="21"/>
              </w:rPr>
              <w:t>-</w:t>
            </w:r>
            <w:r>
              <w:rPr>
                <w:rFonts w:hint="eastAsia" w:ascii="宋体" w:hAnsi="宋体"/>
                <w:color w:val="000000"/>
                <w:kern w:val="0"/>
                <w:sz w:val="21"/>
                <w:szCs w:val="21"/>
                <w:lang w:val="en-US" w:eastAsia="zh-CN"/>
              </w:rPr>
              <w:t>4</w:t>
            </w:r>
            <w:r>
              <w:rPr>
                <w:rFonts w:hint="eastAsia" w:ascii="宋体" w:hAnsi="宋体"/>
                <w:color w:val="000000"/>
                <w:kern w:val="0"/>
                <w:sz w:val="21"/>
                <w:szCs w:val="21"/>
              </w:rPr>
              <w:t>分）</w:t>
            </w:r>
          </w:p>
        </w:tc>
        <w:tc>
          <w:tcPr>
            <w:tcW w:w="6184" w:type="dxa"/>
            <w:tcBorders>
              <w:right w:val="single" w:color="auto" w:sz="4" w:space="0"/>
            </w:tcBorders>
            <w:vAlign w:val="center"/>
          </w:tcPr>
          <w:p>
            <w:pPr>
              <w:numPr>
                <w:ilvl w:val="0"/>
                <w:numId w:val="12"/>
              </w:numPr>
              <w:shd w:val="clear" w:color="auto" w:fill="auto"/>
              <w:jc w:val="left"/>
              <w:rPr>
                <w:rFonts w:hint="eastAsia"/>
                <w:color w:val="000000"/>
                <w:highlight w:val="none"/>
                <w:lang w:eastAsia="zh-CN"/>
              </w:rPr>
            </w:pPr>
            <w:r>
              <w:rPr>
                <w:rFonts w:hint="eastAsia" w:ascii="宋体" w:hAnsi="宋体" w:eastAsia="宋体" w:cs="宋体"/>
                <w:color w:val="000000"/>
                <w:kern w:val="0"/>
                <w:szCs w:val="21"/>
                <w:highlight w:val="none"/>
              </w:rPr>
              <w:t>资源投入计划、施工部署、施工方法与进度计划是否能够相互呼应并较好的满足施工需要；</w:t>
            </w:r>
          </w:p>
          <w:p>
            <w:pPr>
              <w:numPr>
                <w:ilvl w:val="0"/>
                <w:numId w:val="12"/>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调配投入计划是否合理、准确等。</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619"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1170" w:type="dxa"/>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Times New Roman" w:hAnsi="Times New Roman" w:eastAsia="宋体" w:cs="Times New Roman"/>
                <w:kern w:val="2"/>
                <w:sz w:val="21"/>
                <w:szCs w:val="24"/>
                <w:lang w:val="en-US" w:eastAsia="zh-CN" w:bidi="ar-SA"/>
              </w:rPr>
            </w:pPr>
            <w:r>
              <w:rPr>
                <w:rFonts w:hint="eastAsia" w:ascii="宋体" w:hAnsi="宋体"/>
                <w:color w:val="000000"/>
                <w:kern w:val="0"/>
                <w:sz w:val="21"/>
                <w:szCs w:val="21"/>
                <w:lang w:val="en-US" w:eastAsia="zh-CN"/>
              </w:rPr>
              <w:t>（2-4分）</w:t>
            </w:r>
          </w:p>
        </w:tc>
        <w:tc>
          <w:tcPr>
            <w:tcW w:w="1549" w:type="dxa"/>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方案</w:t>
            </w:r>
          </w:p>
          <w:p>
            <w:pPr>
              <w:jc w:val="center"/>
              <w:rPr>
                <w:rFonts w:hint="eastAsia" w:ascii="宋体" w:hAnsi="宋体" w:eastAsia="宋体" w:cs="宋体"/>
                <w:kern w:val="2"/>
                <w:sz w:val="21"/>
                <w:szCs w:val="24"/>
                <w:highlight w:val="yellow"/>
                <w:lang w:val="en-US" w:eastAsia="zh-CN" w:bidi="ar-SA"/>
              </w:rPr>
            </w:pPr>
            <w:r>
              <w:rPr>
                <w:rFonts w:hint="eastAsia" w:ascii="宋体" w:hAnsi="宋体"/>
                <w:color w:val="000000"/>
                <w:kern w:val="0"/>
                <w:sz w:val="21"/>
                <w:szCs w:val="21"/>
                <w:lang w:val="en-US" w:eastAsia="zh-CN"/>
              </w:rPr>
              <w:t>（2-4分）</w:t>
            </w:r>
          </w:p>
        </w:tc>
        <w:tc>
          <w:tcPr>
            <w:tcW w:w="6184" w:type="dxa"/>
            <w:tcBorders>
              <w:right w:val="single" w:color="auto" w:sz="4" w:space="0"/>
            </w:tcBorders>
            <w:vAlign w:val="center"/>
          </w:tcPr>
          <w:p>
            <w:pPr>
              <w:spacing w:line="440" w:lineRule="exact"/>
              <w:rPr>
                <w:rFonts w:hint="eastAsia" w:ascii="宋体" w:hAnsi="宋体" w:eastAsia="宋体" w:cs="Times New Roman"/>
                <w:color w:val="auto"/>
                <w:kern w:val="2"/>
                <w:sz w:val="21"/>
                <w:szCs w:val="24"/>
                <w:highlight w:val="yellow"/>
                <w:lang w:val="en-US" w:eastAsia="zh-CN" w:bidi="ar-SA"/>
              </w:rPr>
            </w:pPr>
            <w:r>
              <w:rPr>
                <w:rFonts w:hint="eastAsia" w:ascii="宋体" w:hAnsi="宋体" w:cs="Times New Roman"/>
                <w:color w:val="auto"/>
                <w:kern w:val="2"/>
                <w:sz w:val="21"/>
                <w:szCs w:val="24"/>
                <w:highlight w:val="none"/>
                <w:lang w:val="en-US" w:eastAsia="zh-CN" w:bidi="ar-SA"/>
              </w:rPr>
              <w:t>风险防范的内容包括但不限于市场价格变动的风险、设计变更的风险、施工技术及组织管理变化造成的风险。</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619"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1170" w:type="dxa"/>
            <w:vMerge w:val="restart"/>
            <w:vAlign w:val="center"/>
          </w:tcPr>
          <w:p>
            <w:pPr>
              <w:shd w:val="clear" w:color="auto" w:fill="auto"/>
              <w:jc w:val="center"/>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建筑信息模型及其他</w:t>
            </w:r>
            <w:r>
              <w:rPr>
                <w:rFonts w:hint="eastAsia" w:ascii="宋体" w:hAnsi="宋体"/>
                <w:color w:val="000000"/>
                <w:kern w:val="0"/>
                <w:sz w:val="21"/>
                <w:szCs w:val="21"/>
              </w:rPr>
              <w:t>（</w:t>
            </w:r>
            <w:r>
              <w:rPr>
                <w:rFonts w:hint="eastAsia" w:ascii="宋体" w:hAnsi="宋体"/>
                <w:color w:val="000000"/>
                <w:kern w:val="0"/>
                <w:sz w:val="21"/>
                <w:szCs w:val="21"/>
                <w:lang w:val="en-US" w:eastAsia="zh-CN"/>
              </w:rPr>
              <w:t>0</w:t>
            </w:r>
            <w:r>
              <w:rPr>
                <w:rFonts w:hint="eastAsia" w:ascii="宋体" w:hAnsi="宋体"/>
                <w:color w:val="000000"/>
                <w:kern w:val="0"/>
                <w:sz w:val="21"/>
                <w:szCs w:val="21"/>
              </w:rPr>
              <w:t>-</w:t>
            </w:r>
            <w:r>
              <w:rPr>
                <w:rFonts w:hint="eastAsia" w:ascii="宋体" w:hAnsi="宋体"/>
                <w:color w:val="000000"/>
                <w:kern w:val="0"/>
                <w:sz w:val="21"/>
                <w:szCs w:val="21"/>
                <w:lang w:val="en-US" w:eastAsia="zh-CN"/>
              </w:rPr>
              <w:t>12</w:t>
            </w:r>
            <w:r>
              <w:rPr>
                <w:rFonts w:hint="eastAsia" w:ascii="宋体" w:hAnsi="宋体"/>
                <w:color w:val="000000"/>
                <w:kern w:val="0"/>
                <w:sz w:val="21"/>
                <w:szCs w:val="21"/>
              </w:rPr>
              <w:t>分）</w:t>
            </w:r>
          </w:p>
          <w:p>
            <w:pPr>
              <w:jc w:val="center"/>
              <w:rPr>
                <w:rFonts w:hint="eastAsia" w:ascii="宋体" w:hAnsi="宋体" w:eastAsia="宋体" w:cs="宋体"/>
                <w:kern w:val="2"/>
                <w:sz w:val="21"/>
                <w:szCs w:val="24"/>
                <w:highlight w:val="yellow"/>
                <w:lang w:val="en-US" w:eastAsia="zh-CN" w:bidi="ar-SA"/>
              </w:rPr>
            </w:pPr>
          </w:p>
        </w:tc>
        <w:tc>
          <w:tcPr>
            <w:tcW w:w="1549" w:type="dxa"/>
            <w:vAlign w:val="center"/>
          </w:tcPr>
          <w:p>
            <w:pPr>
              <w:shd w:val="clear" w:color="auto" w:fill="auto"/>
              <w:jc w:val="center"/>
              <w:rPr>
                <w:rFonts w:hint="eastAsia"/>
              </w:rPr>
            </w:pPr>
            <w:r>
              <w:rPr>
                <w:rFonts w:hint="eastAsia"/>
              </w:rPr>
              <w:t>BIM技术</w:t>
            </w:r>
          </w:p>
          <w:p>
            <w:pPr>
              <w:shd w:val="clear" w:color="auto" w:fill="auto"/>
              <w:jc w:val="center"/>
              <w:rPr>
                <w:rFonts w:hint="eastAsia"/>
              </w:rPr>
            </w:pPr>
            <w:r>
              <w:rPr>
                <w:rFonts w:hint="eastAsia"/>
              </w:rPr>
              <w:t>应用</w:t>
            </w:r>
          </w:p>
          <w:p>
            <w:pPr>
              <w:pStyle w:val="11"/>
              <w:jc w:val="center"/>
              <w:rPr>
                <w:rFonts w:hint="eastAsia" w:ascii="宋体" w:hAnsi="宋体" w:eastAsia="宋体" w:cs="宋体"/>
                <w:kern w:val="0"/>
                <w:sz w:val="21"/>
              </w:rPr>
            </w:pPr>
            <w:r>
              <w:rPr>
                <w:rFonts w:hint="eastAsia" w:ascii="宋体" w:hAnsi="宋体" w:eastAsia="宋体" w:cs="宋体"/>
                <w:kern w:val="0"/>
                <w:sz w:val="21"/>
              </w:rPr>
              <w:t>（如有）</w:t>
            </w:r>
          </w:p>
          <w:p>
            <w:pPr>
              <w:pStyle w:val="11"/>
              <w:jc w:val="center"/>
              <w:rPr>
                <w:rFonts w:hint="default" w:eastAsia="宋体"/>
                <w:lang w:val="en-US" w:eastAsia="zh-CN"/>
              </w:rPr>
            </w:pPr>
            <w:r>
              <w:rPr>
                <w:rFonts w:hint="eastAsia" w:ascii="宋体" w:hAnsi="宋体" w:cs="宋体"/>
                <w:kern w:val="0"/>
                <w:sz w:val="21"/>
                <w:lang w:eastAsia="zh-CN"/>
              </w:rPr>
              <w:t>（</w:t>
            </w:r>
            <w:r>
              <w:rPr>
                <w:rFonts w:hint="eastAsia" w:ascii="宋体" w:hAnsi="宋体" w:cs="宋体"/>
                <w:kern w:val="0"/>
                <w:sz w:val="21"/>
                <w:lang w:val="en-US" w:eastAsia="zh-CN"/>
              </w:rPr>
              <w:t>0-4分）</w:t>
            </w:r>
          </w:p>
        </w:tc>
        <w:tc>
          <w:tcPr>
            <w:tcW w:w="6184" w:type="dxa"/>
            <w:tcBorders>
              <w:right w:val="single" w:color="auto" w:sz="4" w:space="0"/>
            </w:tcBorders>
            <w:vAlign w:val="center"/>
          </w:tcPr>
          <w:p>
            <w:pPr>
              <w:numPr>
                <w:ilvl w:val="0"/>
                <w:numId w:val="13"/>
              </w:numPr>
              <w:shd w:val="clear" w:color="auto" w:fill="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BIM技术应用管理体系、管理制度、保障措施是否齐全；</w:t>
            </w:r>
          </w:p>
          <w:p>
            <w:pPr>
              <w:numPr>
                <w:ilvl w:val="0"/>
                <w:numId w:val="13"/>
              </w:numPr>
              <w:shd w:val="clear" w:color="auto" w:fill="auto"/>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BIM应用流程与计划是否完整、有效；</w:t>
            </w:r>
          </w:p>
          <w:p>
            <w:pPr>
              <w:numPr>
                <w:ilvl w:val="0"/>
                <w:numId w:val="13"/>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重点工艺节点及施工流程BIM三维模型是否科学、合理等</w:t>
            </w:r>
            <w:r>
              <w:rPr>
                <w:rFonts w:hint="eastAsia" w:ascii="宋体" w:hAnsi="宋体" w:eastAsia="宋体" w:cs="宋体"/>
                <w:color w:val="000000"/>
                <w:kern w:val="0"/>
                <w:szCs w:val="21"/>
                <w:highlight w:val="none"/>
                <w:lang w:eastAsia="zh-CN"/>
              </w:rPr>
              <w:t>。</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619"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70" w:type="dxa"/>
            <w:vMerge w:val="continue"/>
            <w:vAlign w:val="center"/>
          </w:tcPr>
          <w:p>
            <w:pPr>
              <w:jc w:val="center"/>
              <w:rPr>
                <w:rFonts w:hint="eastAsia" w:ascii="宋体" w:hAnsi="宋体" w:eastAsia="宋体" w:cs="宋体"/>
                <w:kern w:val="2"/>
                <w:sz w:val="21"/>
                <w:szCs w:val="24"/>
                <w:highlight w:val="yellow"/>
                <w:lang w:val="en-US" w:eastAsia="zh-CN" w:bidi="ar-SA"/>
              </w:rPr>
            </w:pPr>
          </w:p>
        </w:tc>
        <w:tc>
          <w:tcPr>
            <w:tcW w:w="1549" w:type="dxa"/>
            <w:vAlign w:val="center"/>
          </w:tcPr>
          <w:p>
            <w:pPr>
              <w:widowControl/>
              <w:spacing w:line="280" w:lineRule="exact"/>
              <w:jc w:val="center"/>
              <w:rPr>
                <w:rFonts w:hint="eastAsia" w:ascii="宋体" w:hAnsi="宋体" w:eastAsia="宋体" w:cs="宋体"/>
                <w:bCs/>
                <w:kern w:val="0"/>
                <w:sz w:val="21"/>
              </w:rPr>
            </w:pPr>
            <w:r>
              <w:rPr>
                <w:rFonts w:hint="eastAsia" w:ascii="宋体" w:hAnsi="宋体" w:eastAsia="宋体" w:cs="宋体"/>
                <w:bCs/>
                <w:kern w:val="0"/>
                <w:sz w:val="21"/>
              </w:rPr>
              <w:t>其他</w:t>
            </w:r>
            <w:r>
              <w:rPr>
                <w:rFonts w:hint="eastAsia" w:ascii="宋体" w:hAnsi="宋体" w:eastAsia="宋体" w:cs="宋体"/>
                <w:kern w:val="0"/>
                <w:sz w:val="21"/>
              </w:rPr>
              <w:t>（如有）</w:t>
            </w:r>
          </w:p>
          <w:p>
            <w:pPr>
              <w:jc w:val="center"/>
              <w:rPr>
                <w:rFonts w:hint="eastAsia" w:ascii="宋体" w:hAnsi="宋体" w:eastAsia="宋体" w:cs="宋体"/>
                <w:kern w:val="2"/>
                <w:sz w:val="21"/>
                <w:szCs w:val="24"/>
                <w:highlight w:val="yellow"/>
                <w:lang w:val="en-US" w:eastAsia="zh-CN" w:bidi="ar-SA"/>
              </w:rPr>
            </w:pPr>
            <w:r>
              <w:rPr>
                <w:rFonts w:hint="eastAsia" w:ascii="宋体" w:hAnsi="宋体" w:cs="宋体"/>
                <w:kern w:val="0"/>
                <w:sz w:val="21"/>
                <w:lang w:eastAsia="zh-CN"/>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宋体" w:hAnsi="宋体" w:cs="宋体"/>
                <w:kern w:val="0"/>
                <w:sz w:val="21"/>
                <w:lang w:val="en-US" w:eastAsia="zh-CN"/>
              </w:rPr>
              <w:t>）</w:t>
            </w:r>
          </w:p>
        </w:tc>
        <w:tc>
          <w:tcPr>
            <w:tcW w:w="6184" w:type="dxa"/>
            <w:tcBorders>
              <w:right w:val="single" w:color="auto" w:sz="4" w:space="0"/>
            </w:tcBorders>
            <w:vAlign w:val="center"/>
          </w:tcPr>
          <w:p>
            <w:pPr>
              <w:jc w:val="left"/>
              <w:rPr>
                <w:rFonts w:hint="default" w:ascii="宋体" w:hAnsi="宋体" w:eastAsia="宋体" w:cs="Times New Roman"/>
                <w:color w:val="auto"/>
                <w:kern w:val="2"/>
                <w:sz w:val="21"/>
                <w:szCs w:val="24"/>
                <w:highlight w:val="yellow"/>
                <w:lang w:val="en-US" w:eastAsia="zh-CN" w:bidi="ar-SA"/>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p>
        </w:tc>
        <w:tc>
          <w:tcPr>
            <w:tcW w:w="676"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789" w:type="dxa"/>
            <w:gridSpan w:val="2"/>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满分</w:t>
            </w:r>
          </w:p>
        </w:tc>
        <w:tc>
          <w:tcPr>
            <w:tcW w:w="1549" w:type="dxa"/>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100分</w:t>
            </w:r>
          </w:p>
        </w:tc>
        <w:tc>
          <w:tcPr>
            <w:tcW w:w="6184" w:type="dxa"/>
            <w:tcBorders>
              <w:top w:val="single" w:color="auto" w:sz="4" w:space="0"/>
            </w:tcBorders>
            <w:vAlign w:val="center"/>
          </w:tcPr>
          <w:p>
            <w:pPr>
              <w:tabs>
                <w:tab w:val="left" w:pos="312"/>
              </w:tabs>
              <w:jc w:val="center"/>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权重</w:t>
            </w:r>
            <w:r>
              <w:rPr>
                <w:rFonts w:hint="default" w:ascii="仿宋_GB2312" w:hAnsi="仿宋" w:cs="仿宋"/>
                <w:lang w:val="en-US" w:eastAsia="zh-CN"/>
              </w:rPr>
              <w:t>≤</w:t>
            </w:r>
            <w:r>
              <w:rPr>
                <w:rFonts w:hint="eastAsia" w:ascii="仿宋_GB2312" w:hAnsi="仿宋" w:cs="仿宋"/>
                <w:lang w:val="en-US" w:eastAsia="zh-CN"/>
              </w:rPr>
              <w:t>20%</w:t>
            </w:r>
          </w:p>
        </w:tc>
        <w:tc>
          <w:tcPr>
            <w:tcW w:w="676" w:type="dxa"/>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2" w:hRule="atLeast"/>
          <w:jc w:val="center"/>
        </w:trPr>
        <w:tc>
          <w:tcPr>
            <w:tcW w:w="10198" w:type="dxa"/>
            <w:gridSpan w:val="5"/>
            <w:tcBorders>
              <w:top w:val="single" w:color="auto" w:sz="4" w:space="0"/>
            </w:tcBorders>
            <w:vAlign w:val="center"/>
          </w:tcPr>
          <w:p>
            <w:pPr>
              <w:tabs>
                <w:tab w:val="left" w:pos="312"/>
              </w:tabs>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注：1．招标人应根据项目的特点在分值范围内设置各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评审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项目的具体分值，各项分值之和为100分，该项权重为</w:t>
            </w:r>
            <w:r>
              <w:rPr>
                <w:rFonts w:hint="default" w:ascii="仿宋_GB2312" w:hAnsi="仿宋" w:cs="仿宋"/>
                <w:lang w:val="en-US" w:eastAsia="zh-CN"/>
              </w:rPr>
              <w:t>≤</w:t>
            </w:r>
            <w:r>
              <w:rPr>
                <w:rFonts w:hint="eastAsia" w:ascii="仿宋_GB2312" w:hAnsi="仿宋" w:cs="仿宋"/>
                <w:lang w:val="en-US" w:eastAsia="zh-CN"/>
              </w:rPr>
              <w:t>20%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2．计分表中的评审标准为通用模板，招标人可根据项目的实际情况对评审标准进行补充，补充内容列入“其他”栏；</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3．专业工程招标时，招标人可根据项目实际情况对评审计分表中的评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及分值范围</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、评审标准进行适当调整；</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4．技术方案中应当具备的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评审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项目缺项的，该项目计零分；</w:t>
            </w:r>
          </w:p>
          <w:p>
            <w:pPr>
              <w:tabs>
                <w:tab w:val="left" w:pos="312"/>
              </w:tabs>
              <w:ind w:firstLine="420"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eastAsia="宋体" w:cs="宋体"/>
                <w:bCs/>
                <w:color w:val="000000"/>
                <w:szCs w:val="21"/>
                <w:highlight w:val="none"/>
                <w:lang w:eastAsia="zh-CN"/>
              </w:rPr>
              <w:t>评委对各投标人同一评分内容量化打分时，如最高得分与最低得分相差25%（含25%）以上时，应做出合理的解释说明，否则不予计分。</w:t>
            </w:r>
            <w:r>
              <w:rPr>
                <w:rFonts w:hint="eastAsia" w:ascii="宋体" w:hAnsi="宋体" w:eastAsia="宋体" w:cs="宋体"/>
                <w:bCs/>
                <w:color w:val="000000"/>
                <w:szCs w:val="21"/>
                <w:highlight w:val="none"/>
              </w:rPr>
              <w:t>技术标评标时凡被评标委员会明确为明示和暗示的，应在技术标总得分（乘完权重后）中扣除：明示扣5分，暗示扣3分。</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．由评标委员会独立评审计分，投标人的得分为去掉一个评审计分最高分和一个最低分后的平均值</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结果保留两位小数</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bl>
    <w:p>
      <w:pPr>
        <w:pStyle w:val="1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附表3-2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仿宋" w:hAnsi="仿宋" w:eastAsia="仿宋" w:cs="仿宋"/>
          <w:b/>
          <w:bCs/>
          <w:color w:val="000000"/>
          <w:sz w:val="32"/>
          <w:szCs w:val="32"/>
          <w:highlight w:val="none"/>
          <w:lang w:eastAsia="zh-CN"/>
        </w:rPr>
        <w:t>技术标评审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适用于市政工程可行性研究、方案设计完成后启动的招标</w:t>
      </w:r>
      <w:r>
        <w:rPr>
          <w:rFonts w:hint="eastAsia" w:ascii="宋体" w:hAnsi="宋体" w:eastAsia="宋体" w:cs="宋体"/>
          <w:b/>
          <w:bCs/>
          <w:color w:val="000000"/>
          <w:sz w:val="24"/>
          <w:szCs w:val="24"/>
          <w:highlight w:val="none"/>
          <w:lang w:eastAsia="zh-CN"/>
        </w:rPr>
        <w:t>）</w:t>
      </w:r>
    </w:p>
    <w:tbl>
      <w:tblPr>
        <w:tblStyle w:val="12"/>
        <w:tblW w:w="59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1236"/>
        <w:gridCol w:w="1375"/>
        <w:gridCol w:w="5994"/>
        <w:gridCol w:w="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Align w:val="center"/>
          </w:tcPr>
          <w:p>
            <w:pPr>
              <w:jc w:val="cente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序号</w:t>
            </w:r>
          </w:p>
        </w:tc>
        <w:tc>
          <w:tcPr>
            <w:tcW w:w="1291" w:type="pct"/>
            <w:gridSpan w:val="2"/>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评审项目及分值范围</w:t>
            </w:r>
          </w:p>
        </w:tc>
        <w:tc>
          <w:tcPr>
            <w:tcW w:w="2964" w:type="pct"/>
            <w:tcBorders>
              <w:righ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评审标准</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p>
        </w:tc>
        <w:tc>
          <w:tcPr>
            <w:tcW w:w="611" w:type="pct"/>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设计方案（</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38-56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679"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设计说明（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2964" w:type="pct"/>
            <w:tcBorders>
              <w:right w:val="single" w:color="auto" w:sz="4" w:space="0"/>
            </w:tcBorders>
          </w:tcPr>
          <w:p>
            <w:pPr>
              <w:numPr>
                <w:ilvl w:val="0"/>
                <w:numId w:val="14"/>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各专业设计说明是否完整、充分、准确；</w:t>
            </w:r>
          </w:p>
          <w:p>
            <w:pPr>
              <w:numPr>
                <w:ilvl w:val="0"/>
                <w:numId w:val="14"/>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项目规划设计各项指标是否满足任务书及规划设计要点，是否科学、合理；</w:t>
            </w:r>
          </w:p>
          <w:p>
            <w:pPr>
              <w:numPr>
                <w:ilvl w:val="0"/>
                <w:numId w:val="14"/>
              </w:numPr>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技术指标是否满足任务书要求，是否符合规划要求；</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对项目的理解及设计思路</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2964" w:type="pct"/>
            <w:tcBorders>
              <w:right w:val="single" w:color="auto" w:sz="4" w:space="0"/>
            </w:tcBorders>
          </w:tcPr>
          <w:p>
            <w:pPr>
              <w:numPr>
                <w:ilvl w:val="0"/>
                <w:numId w:val="15"/>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对项目的理解是否正确、全面；</w:t>
            </w:r>
          </w:p>
          <w:p>
            <w:pPr>
              <w:numPr>
                <w:ilvl w:val="0"/>
                <w:numId w:val="15"/>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设计思路是否清晰、科学、合理、可行；</w:t>
            </w:r>
          </w:p>
          <w:p>
            <w:pPr>
              <w:numPr>
                <w:ilvl w:val="0"/>
                <w:numId w:val="15"/>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总体布置方案、节点方案是否合理、符合规范等。</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工程设计</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方案</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9-16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2964" w:type="pct"/>
            <w:tcBorders>
              <w:right w:val="single" w:color="auto" w:sz="4" w:space="0"/>
            </w:tcBorders>
          </w:tcPr>
          <w:p>
            <w:pPr>
              <w:numPr>
                <w:ilvl w:val="0"/>
                <w:numId w:val="16"/>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工程设计方案是否合理、符合规范；</w:t>
            </w:r>
          </w:p>
          <w:p>
            <w:pPr>
              <w:numPr>
                <w:ilvl w:val="0"/>
                <w:numId w:val="16"/>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对重点、难点、关键性技术问题是否有切实可行的对策措施；</w:t>
            </w:r>
          </w:p>
          <w:p>
            <w:pPr>
              <w:numPr>
                <w:ilvl w:val="0"/>
                <w:numId w:val="16"/>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是否具备较强的针对性、操作性和可实施性等。</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质量、造价控制措施（</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2964" w:type="pct"/>
            <w:tcBorders>
              <w:right w:val="single" w:color="auto" w:sz="4" w:space="0"/>
            </w:tcBorders>
          </w:tcPr>
          <w:p>
            <w:pPr>
              <w:numPr>
                <w:ilvl w:val="0"/>
                <w:numId w:val="17"/>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质量保证体系及措施是否完善、有效、可行；</w:t>
            </w:r>
          </w:p>
          <w:p>
            <w:pPr>
              <w:numPr>
                <w:ilvl w:val="0"/>
                <w:numId w:val="17"/>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计价依据及使用情况是否合理；</w:t>
            </w:r>
          </w:p>
          <w:p>
            <w:pPr>
              <w:numPr>
                <w:ilvl w:val="0"/>
                <w:numId w:val="17"/>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工程造价的控制措施是否具体、合理、可行等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设计深度</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5分）</w:t>
            </w:r>
          </w:p>
        </w:tc>
        <w:tc>
          <w:tcPr>
            <w:tcW w:w="2964" w:type="pct"/>
            <w:tcBorders>
              <w:right w:val="single" w:color="auto" w:sz="4" w:space="0"/>
            </w:tcBorders>
          </w:tcPr>
          <w:p>
            <w:pPr>
              <w:numPr>
                <w:ilvl w:val="0"/>
                <w:numId w:val="18"/>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是否符合设计任务书要求；</w:t>
            </w:r>
          </w:p>
          <w:p>
            <w:pPr>
              <w:numPr>
                <w:ilvl w:val="0"/>
                <w:numId w:val="18"/>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是否满足国家规定的《建筑工程设计文件编制深度规定》等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tc>
        <w:tc>
          <w:tcPr>
            <w:tcW w:w="40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jc w:val="center"/>
        </w:trPr>
        <w:tc>
          <w:tcPr>
            <w:tcW w:w="339"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p>
        </w:tc>
        <w:tc>
          <w:tcPr>
            <w:tcW w:w="611" w:type="pct"/>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总承包</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实施方</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案</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（14-20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679" w:type="pct"/>
            <w:vAlign w:val="center"/>
          </w:tcPr>
          <w:p>
            <w:pPr>
              <w:shd w:val="clear" w:color="auto" w:fill="auto"/>
              <w:jc w:val="center"/>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总承包管理方案及措施</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8-10分</w:t>
            </w:r>
            <w:r>
              <w:rPr>
                <w:rFonts w:hint="eastAsia" w:ascii="宋体" w:hAnsi="宋体" w:cs="宋体"/>
                <w:color w:val="000000"/>
                <w:kern w:val="0"/>
                <w:szCs w:val="21"/>
                <w:highlight w:val="none"/>
                <w:lang w:eastAsia="zh-CN"/>
              </w:rPr>
              <w:t>）</w:t>
            </w:r>
          </w:p>
        </w:tc>
        <w:tc>
          <w:tcPr>
            <w:tcW w:w="2964" w:type="pct"/>
            <w:tcBorders>
              <w:right w:val="single" w:color="auto" w:sz="4" w:space="0"/>
            </w:tcBorders>
            <w:vAlign w:val="center"/>
          </w:tcPr>
          <w:p>
            <w:pPr>
              <w:widowControl/>
              <w:numPr>
                <w:ilvl w:val="0"/>
                <w:numId w:val="0"/>
              </w:numPr>
              <w:shd w:val="clear" w:color="auto" w:fill="auto"/>
              <w:jc w:val="left"/>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总承包管理方案是否清晰并切实可行；</w:t>
            </w:r>
          </w:p>
          <w:p>
            <w:pPr>
              <w:widowControl/>
              <w:numPr>
                <w:ilvl w:val="0"/>
                <w:numId w:val="0"/>
              </w:numPr>
              <w:shd w:val="clear" w:color="auto" w:fill="auto"/>
              <w:jc w:val="left"/>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内容是否全面、完整；</w:t>
            </w:r>
          </w:p>
          <w:p>
            <w:pPr>
              <w:widowControl/>
              <w:numPr>
                <w:ilvl w:val="0"/>
                <w:numId w:val="0"/>
              </w:numPr>
              <w:shd w:val="clear" w:color="auto" w:fill="auto"/>
              <w:jc w:val="left"/>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rPr>
              <w:t>部署及措施是否合理、先进、可靠；</w:t>
            </w:r>
          </w:p>
          <w:p>
            <w:pPr>
              <w:widowControl/>
              <w:numPr>
                <w:ilvl w:val="0"/>
                <w:numId w:val="0"/>
              </w:numPr>
              <w:shd w:val="clear" w:color="auto" w:fill="auto"/>
              <w:jc w:val="left"/>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cs="宋体"/>
                <w:color w:val="000000"/>
                <w:kern w:val="0"/>
                <w:szCs w:val="21"/>
                <w:highlight w:val="none"/>
                <w:lang w:val="en-US" w:eastAsia="zh-CN"/>
              </w:rPr>
              <w:t>4、</w:t>
            </w:r>
            <w:r>
              <w:rPr>
                <w:rFonts w:hint="eastAsia" w:ascii="宋体" w:hAnsi="宋体" w:eastAsia="宋体" w:cs="宋体"/>
                <w:color w:val="000000"/>
                <w:kern w:val="0"/>
                <w:szCs w:val="21"/>
                <w:highlight w:val="none"/>
              </w:rPr>
              <w:t>能否满足项目管理需要等。</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679" w:type="pct"/>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总承包管理重点、难点分析</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6-10分</w:t>
            </w:r>
            <w:r>
              <w:rPr>
                <w:rFonts w:hint="eastAsia" w:ascii="宋体" w:hAnsi="宋体" w:cs="宋体"/>
                <w:color w:val="000000"/>
                <w:kern w:val="0"/>
                <w:szCs w:val="21"/>
                <w:highlight w:val="none"/>
                <w:lang w:eastAsia="zh-CN"/>
              </w:rPr>
              <w:t>）</w:t>
            </w:r>
          </w:p>
        </w:tc>
        <w:tc>
          <w:tcPr>
            <w:tcW w:w="2964" w:type="pct"/>
            <w:tcBorders>
              <w:right w:val="single" w:color="auto" w:sz="4" w:space="0"/>
            </w:tcBorders>
            <w:vAlign w:val="center"/>
          </w:tcPr>
          <w:p>
            <w:pPr>
              <w:numPr>
                <w:ilvl w:val="0"/>
                <w:numId w:val="0"/>
              </w:numPr>
              <w:shd w:val="clear" w:color="auto" w:fill="auto"/>
              <w:jc w:val="left"/>
              <w:rPr>
                <w:rFonts w:hint="eastAsia"/>
                <w:color w:val="000000"/>
                <w:highlight w:val="none"/>
              </w:rPr>
            </w:pPr>
            <w:r>
              <w:rPr>
                <w:rFonts w:hint="eastAsia"/>
                <w:color w:val="000000"/>
                <w:highlight w:val="none"/>
                <w:lang w:val="en-US" w:eastAsia="zh-CN"/>
              </w:rPr>
              <w:t>1、</w:t>
            </w:r>
            <w:r>
              <w:rPr>
                <w:rFonts w:hint="eastAsia"/>
                <w:color w:val="000000"/>
                <w:highlight w:val="none"/>
              </w:rPr>
              <w:t>总承包管理重难点控制是否得当；</w:t>
            </w:r>
          </w:p>
          <w:p>
            <w:pPr>
              <w:numPr>
                <w:ilvl w:val="0"/>
                <w:numId w:val="0"/>
              </w:numPr>
              <w:shd w:val="clear" w:color="auto" w:fill="auto"/>
              <w:jc w:val="left"/>
              <w:rPr>
                <w:rFonts w:hint="eastAsia"/>
                <w:color w:val="000000"/>
                <w:highlight w:val="none"/>
                <w:lang w:eastAsia="zh-CN"/>
              </w:rPr>
            </w:pPr>
            <w:r>
              <w:rPr>
                <w:rFonts w:hint="eastAsia"/>
                <w:color w:val="000000"/>
                <w:highlight w:val="none"/>
                <w:lang w:val="en-US" w:eastAsia="zh-CN"/>
              </w:rPr>
              <w:t>2、</w:t>
            </w:r>
            <w:r>
              <w:rPr>
                <w:rFonts w:hint="eastAsia"/>
                <w:color w:val="000000"/>
                <w:highlight w:val="none"/>
              </w:rPr>
              <w:t>处置措施是否具备针对性；</w:t>
            </w:r>
          </w:p>
          <w:p>
            <w:pPr>
              <w:numPr>
                <w:ilvl w:val="0"/>
                <w:numId w:val="0"/>
              </w:numPr>
              <w:shd w:val="clear" w:color="auto" w:fill="auto"/>
              <w:jc w:val="left"/>
              <w:rPr>
                <w:rFonts w:hint="eastAsia" w:eastAsia="宋体"/>
                <w:color w:val="000000" w:themeColor="text1"/>
                <w:lang w:eastAsia="zh-CN"/>
                <w14:textFill>
                  <w14:solidFill>
                    <w14:schemeClr w14:val="tx1"/>
                  </w14:solidFill>
                </w14:textFill>
              </w:rPr>
            </w:pPr>
            <w:r>
              <w:rPr>
                <w:rFonts w:hint="eastAsia"/>
                <w:color w:val="000000"/>
                <w:highlight w:val="none"/>
                <w:lang w:val="en-US" w:eastAsia="zh-CN"/>
              </w:rPr>
              <w:t>3、</w:t>
            </w:r>
            <w:r>
              <w:rPr>
                <w:rFonts w:hint="eastAsia"/>
                <w:color w:val="000000"/>
                <w:highlight w:val="none"/>
              </w:rPr>
              <w:t>能否满足项目需要等</w:t>
            </w:r>
            <w:r>
              <w:rPr>
                <w:rFonts w:hint="eastAsia"/>
                <w:color w:val="000000"/>
                <w:highlight w:val="none"/>
                <w:lang w:eastAsia="zh-CN"/>
              </w:rPr>
              <w:t>。</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339" w:type="pct"/>
            <w:vMerge w:val="restart"/>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611" w:type="pct"/>
            <w:vMerge w:val="restart"/>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szCs w:val="21"/>
                <w:highlight w:val="none"/>
              </w:rPr>
              <w:t>施工组织设计</w:t>
            </w:r>
            <w:r>
              <w:rPr>
                <w:rFonts w:hint="eastAsia" w:ascii="宋体" w:hAnsi="宋体"/>
                <w:color w:val="000000"/>
                <w:kern w:val="0"/>
                <w:sz w:val="21"/>
                <w:szCs w:val="21"/>
                <w:lang w:val="en-US" w:eastAsia="zh-CN"/>
              </w:rPr>
              <w:t>（14</w:t>
            </w:r>
            <w:r>
              <w:rPr>
                <w:rFonts w:hint="eastAsia" w:ascii="宋体" w:hAnsi="宋体"/>
                <w:color w:val="000000"/>
                <w:kern w:val="0"/>
                <w:sz w:val="21"/>
                <w:szCs w:val="21"/>
              </w:rPr>
              <w:t>-2</w:t>
            </w:r>
            <w:r>
              <w:rPr>
                <w:rFonts w:hint="eastAsia" w:ascii="宋体" w:hAnsi="宋体"/>
                <w:color w:val="000000"/>
                <w:kern w:val="0"/>
                <w:sz w:val="21"/>
                <w:szCs w:val="21"/>
                <w:lang w:val="en-US" w:eastAsia="zh-CN"/>
              </w:rPr>
              <w:t>0</w:t>
            </w:r>
            <w:r>
              <w:rPr>
                <w:rFonts w:hint="eastAsia" w:ascii="宋体" w:hAnsi="宋体"/>
                <w:color w:val="000000"/>
                <w:kern w:val="0"/>
                <w:sz w:val="21"/>
                <w:szCs w:val="21"/>
              </w:rPr>
              <w:t>分）</w:t>
            </w:r>
          </w:p>
        </w:tc>
        <w:tc>
          <w:tcPr>
            <w:tcW w:w="679" w:type="pct"/>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w:t>
            </w:r>
          </w:p>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技术措施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olor w:val="000000"/>
                <w:kern w:val="0"/>
                <w:sz w:val="21"/>
                <w:szCs w:val="21"/>
              </w:rPr>
              <w:t>（</w:t>
            </w:r>
            <w:r>
              <w:rPr>
                <w:rFonts w:hint="eastAsia" w:ascii="宋体" w:hAnsi="宋体"/>
                <w:color w:val="000000"/>
                <w:kern w:val="0"/>
                <w:sz w:val="21"/>
                <w:szCs w:val="21"/>
                <w:lang w:val="en-US" w:eastAsia="zh-CN"/>
              </w:rPr>
              <w:t>6</w:t>
            </w:r>
            <w:r>
              <w:rPr>
                <w:rFonts w:hint="eastAsia" w:ascii="宋体" w:hAnsi="宋体"/>
                <w:color w:val="000000"/>
                <w:kern w:val="0"/>
                <w:sz w:val="21"/>
                <w:szCs w:val="21"/>
              </w:rPr>
              <w:t>-</w:t>
            </w:r>
            <w:r>
              <w:rPr>
                <w:rFonts w:hint="eastAsia" w:ascii="宋体" w:hAnsi="宋体"/>
                <w:color w:val="000000"/>
                <w:kern w:val="0"/>
                <w:sz w:val="21"/>
                <w:szCs w:val="21"/>
                <w:lang w:val="en-US" w:eastAsia="zh-CN"/>
              </w:rPr>
              <w:t>8</w:t>
            </w:r>
            <w:r>
              <w:rPr>
                <w:rFonts w:hint="eastAsia" w:ascii="宋体" w:hAnsi="宋体"/>
                <w:color w:val="000000"/>
                <w:kern w:val="0"/>
                <w:sz w:val="21"/>
                <w:szCs w:val="21"/>
              </w:rPr>
              <w:t>分）</w:t>
            </w:r>
            <w:r>
              <w:rPr>
                <w:rFonts w:hint="eastAsia" w:ascii="宋体" w:hAnsi="宋体" w:eastAsia="宋体" w:cs="宋体"/>
                <w:color w:val="000000"/>
                <w:kern w:val="0"/>
                <w:szCs w:val="21"/>
                <w:highlight w:val="none"/>
              </w:rPr>
              <w:t xml:space="preserve">              </w:t>
            </w:r>
          </w:p>
        </w:tc>
        <w:tc>
          <w:tcPr>
            <w:tcW w:w="2964" w:type="pct"/>
            <w:tcBorders>
              <w:right w:val="single" w:color="auto" w:sz="4" w:space="0"/>
            </w:tcBorders>
            <w:vAlign w:val="center"/>
          </w:tcPr>
          <w:p>
            <w:pPr>
              <w:numPr>
                <w:ilvl w:val="0"/>
                <w:numId w:val="0"/>
              </w:numPr>
              <w:shd w:val="clear" w:color="auto" w:fill="auto"/>
              <w:jc w:val="left"/>
              <w:rPr>
                <w:rFonts w:hint="eastAsia"/>
                <w:color w:val="000000"/>
                <w:highlight w:val="none"/>
              </w:rPr>
            </w:pPr>
            <w:r>
              <w:rPr>
                <w:rFonts w:hint="eastAsia"/>
                <w:color w:val="000000"/>
                <w:highlight w:val="none"/>
                <w:lang w:val="en-US" w:eastAsia="zh-CN"/>
              </w:rPr>
              <w:t>1、</w:t>
            </w:r>
            <w:r>
              <w:rPr>
                <w:rFonts w:hint="eastAsia"/>
                <w:color w:val="000000"/>
                <w:highlight w:val="none"/>
              </w:rPr>
              <w:t>对项目总体概况表述是否清晰、完整；</w:t>
            </w:r>
          </w:p>
          <w:p>
            <w:pPr>
              <w:numPr>
                <w:ilvl w:val="0"/>
                <w:numId w:val="0"/>
              </w:numPr>
              <w:shd w:val="clear" w:color="auto" w:fill="auto"/>
              <w:jc w:val="left"/>
              <w:rPr>
                <w:rFonts w:hint="eastAsia"/>
                <w:color w:val="000000"/>
                <w:highlight w:val="none"/>
              </w:rPr>
            </w:pPr>
            <w:r>
              <w:rPr>
                <w:rFonts w:hint="eastAsia"/>
                <w:color w:val="000000"/>
                <w:highlight w:val="none"/>
                <w:lang w:val="en-US" w:eastAsia="zh-CN"/>
              </w:rPr>
              <w:t>2、</w:t>
            </w:r>
            <w:r>
              <w:rPr>
                <w:rFonts w:hint="eastAsia"/>
                <w:color w:val="000000"/>
                <w:highlight w:val="none"/>
              </w:rPr>
              <w:t>部署及措施是否先进、可靠；</w:t>
            </w:r>
          </w:p>
          <w:p>
            <w:pPr>
              <w:numPr>
                <w:ilvl w:val="0"/>
                <w:numId w:val="0"/>
              </w:numPr>
              <w:shd w:val="clear" w:color="auto" w:fill="auto"/>
              <w:jc w:val="left"/>
              <w:rPr>
                <w:rFonts w:hint="eastAsia"/>
                <w:color w:val="000000"/>
                <w:highlight w:val="none"/>
                <w:lang w:eastAsia="zh-CN"/>
              </w:rPr>
            </w:pPr>
            <w:r>
              <w:rPr>
                <w:rFonts w:hint="eastAsia"/>
                <w:color w:val="000000"/>
                <w:highlight w:val="none"/>
                <w:lang w:val="en-US" w:eastAsia="zh-CN"/>
              </w:rPr>
              <w:t>3、</w:t>
            </w:r>
            <w:r>
              <w:rPr>
                <w:rFonts w:hint="eastAsia"/>
                <w:color w:val="000000"/>
                <w:highlight w:val="none"/>
              </w:rPr>
              <w:t>针对项目的重点、难点分析是否透彻，解决方案是否切实可行；</w:t>
            </w:r>
          </w:p>
          <w:p>
            <w:pPr>
              <w:numPr>
                <w:ilvl w:val="0"/>
                <w:numId w:val="0"/>
              </w:numPr>
              <w:shd w:val="clear" w:color="auto" w:fill="auto"/>
              <w:jc w:val="left"/>
              <w:rPr>
                <w:rFonts w:hint="eastAsia"/>
                <w:color w:val="000000" w:themeColor="text1"/>
                <w14:textFill>
                  <w14:solidFill>
                    <w14:schemeClr w14:val="tx1"/>
                  </w14:solidFill>
                </w14:textFill>
              </w:rPr>
            </w:pPr>
            <w:r>
              <w:rPr>
                <w:rFonts w:hint="eastAsia"/>
                <w:color w:val="000000"/>
                <w:highlight w:val="none"/>
                <w:lang w:val="en-US" w:eastAsia="zh-CN"/>
              </w:rPr>
              <w:t>4、</w:t>
            </w:r>
            <w:r>
              <w:rPr>
                <w:rFonts w:hint="eastAsia"/>
                <w:color w:val="000000"/>
                <w:highlight w:val="none"/>
              </w:rPr>
              <w:t>施工平面布置是否有针对性、合理，较好满足施工需要，是否符合安全、文明生产要求等。</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9"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管理体系</w:t>
            </w:r>
          </w:p>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color w:val="000000"/>
                <w:kern w:val="0"/>
                <w:sz w:val="21"/>
                <w:szCs w:val="21"/>
              </w:rPr>
              <w:t>（</w:t>
            </w:r>
            <w:r>
              <w:rPr>
                <w:rFonts w:hint="eastAsia" w:ascii="宋体" w:hAnsi="宋体"/>
                <w:color w:val="000000"/>
                <w:kern w:val="0"/>
                <w:sz w:val="21"/>
                <w:szCs w:val="21"/>
                <w:lang w:val="en-US" w:eastAsia="zh-CN"/>
              </w:rPr>
              <w:t>6</w:t>
            </w:r>
            <w:r>
              <w:rPr>
                <w:rFonts w:hint="eastAsia" w:ascii="宋体" w:hAnsi="宋体"/>
                <w:color w:val="000000"/>
                <w:kern w:val="0"/>
                <w:sz w:val="21"/>
                <w:szCs w:val="21"/>
              </w:rPr>
              <w:t>-</w:t>
            </w:r>
            <w:r>
              <w:rPr>
                <w:rFonts w:hint="eastAsia" w:ascii="宋体" w:hAnsi="宋体"/>
                <w:color w:val="000000"/>
                <w:kern w:val="0"/>
                <w:sz w:val="21"/>
                <w:szCs w:val="21"/>
                <w:lang w:val="en-US" w:eastAsia="zh-CN"/>
              </w:rPr>
              <w:t>8</w:t>
            </w:r>
            <w:r>
              <w:rPr>
                <w:rFonts w:hint="eastAsia" w:ascii="宋体" w:hAnsi="宋体"/>
                <w:color w:val="000000"/>
                <w:kern w:val="0"/>
                <w:sz w:val="21"/>
                <w:szCs w:val="21"/>
              </w:rPr>
              <w:t>分）</w:t>
            </w:r>
          </w:p>
        </w:tc>
        <w:tc>
          <w:tcPr>
            <w:tcW w:w="2964" w:type="pct"/>
            <w:tcBorders>
              <w:right w:val="single" w:color="auto" w:sz="4" w:space="0"/>
            </w:tcBorders>
            <w:vAlign w:val="center"/>
          </w:tcPr>
          <w:p>
            <w:pPr>
              <w:numPr>
                <w:ilvl w:val="0"/>
                <w:numId w:val="0"/>
              </w:numPr>
              <w:shd w:val="clear" w:color="auto" w:fill="auto"/>
              <w:jc w:val="left"/>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质量、安全、环境保护目标是否明确；</w:t>
            </w:r>
          </w:p>
          <w:p>
            <w:pPr>
              <w:numPr>
                <w:ilvl w:val="0"/>
                <w:numId w:val="0"/>
              </w:numPr>
              <w:shd w:val="clear" w:color="auto" w:fill="auto"/>
              <w:jc w:val="left"/>
              <w:rPr>
                <w:rFonts w:hint="eastAsia" w:ascii="宋体" w:hAnsi="宋体" w:eastAsia="宋体" w:cs="宋体"/>
                <w:bCs/>
                <w:color w:val="000000"/>
                <w:szCs w:val="21"/>
                <w:highlight w:val="none"/>
              </w:rPr>
            </w:pP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管理机构是否健全；</w:t>
            </w:r>
          </w:p>
          <w:p>
            <w:pPr>
              <w:numPr>
                <w:ilvl w:val="0"/>
                <w:numId w:val="0"/>
              </w:numPr>
              <w:shd w:val="clear" w:color="auto" w:fill="auto"/>
              <w:jc w:val="left"/>
              <w:rPr>
                <w:rFonts w:hint="eastAsia" w:ascii="宋体" w:hAnsi="宋体" w:eastAsia="宋体" w:cs="宋体"/>
                <w:bCs/>
                <w:color w:val="000000"/>
                <w:szCs w:val="21"/>
                <w:highlight w:val="none"/>
              </w:rPr>
            </w:pP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rPr>
              <w:t>职责分工是否明确；</w:t>
            </w:r>
          </w:p>
          <w:p>
            <w:pPr>
              <w:numPr>
                <w:ilvl w:val="0"/>
                <w:numId w:val="0"/>
              </w:numPr>
              <w:shd w:val="clear" w:color="auto" w:fill="auto"/>
              <w:jc w:val="left"/>
              <w:rPr>
                <w:rFonts w:hint="eastAsia" w:ascii="宋体" w:hAnsi="宋体" w:eastAsia="宋体" w:cs="宋体"/>
                <w:bCs/>
                <w:color w:val="000000"/>
                <w:szCs w:val="21"/>
                <w:highlight w:val="none"/>
              </w:rPr>
            </w:pPr>
            <w:r>
              <w:rPr>
                <w:rFonts w:hint="eastAsia" w:ascii="宋体" w:hAnsi="宋体" w:cs="宋体"/>
                <w:color w:val="000000"/>
                <w:kern w:val="0"/>
                <w:szCs w:val="21"/>
                <w:highlight w:val="none"/>
                <w:lang w:val="en-US" w:eastAsia="zh-CN"/>
              </w:rPr>
              <w:t>4、</w:t>
            </w:r>
            <w:r>
              <w:rPr>
                <w:rFonts w:hint="eastAsia" w:ascii="宋体" w:hAnsi="宋体" w:eastAsia="宋体" w:cs="宋体"/>
                <w:color w:val="000000"/>
                <w:kern w:val="0"/>
                <w:szCs w:val="21"/>
                <w:highlight w:val="none"/>
              </w:rPr>
              <w:t>管理制度是否健全；</w:t>
            </w:r>
          </w:p>
          <w:p>
            <w:pPr>
              <w:numPr>
                <w:ilvl w:val="0"/>
                <w:numId w:val="0"/>
              </w:numPr>
              <w:shd w:val="clear" w:color="auto" w:fill="auto"/>
              <w:jc w:val="left"/>
              <w:rPr>
                <w:rFonts w:hint="eastAsia" w:ascii="宋体" w:hAnsi="宋体" w:eastAsia="宋体" w:cs="宋体"/>
                <w:bCs/>
                <w:color w:val="000000"/>
                <w:szCs w:val="21"/>
                <w:highlight w:val="none"/>
              </w:rPr>
            </w:pPr>
            <w:r>
              <w:rPr>
                <w:rFonts w:hint="eastAsia" w:ascii="宋体" w:hAnsi="宋体" w:cs="宋体"/>
                <w:color w:val="000000"/>
                <w:kern w:val="0"/>
                <w:szCs w:val="21"/>
                <w:highlight w:val="none"/>
                <w:lang w:val="en-US" w:eastAsia="zh-CN"/>
              </w:rPr>
              <w:t>5、</w:t>
            </w:r>
            <w:r>
              <w:rPr>
                <w:rFonts w:hint="eastAsia" w:ascii="宋体" w:hAnsi="宋体" w:eastAsia="宋体" w:cs="宋体"/>
                <w:color w:val="000000"/>
                <w:kern w:val="0"/>
                <w:szCs w:val="21"/>
                <w:highlight w:val="none"/>
              </w:rPr>
              <w:t>实施与监控措施是否全面、有效；</w:t>
            </w:r>
          </w:p>
          <w:p>
            <w:pPr>
              <w:numPr>
                <w:ilvl w:val="0"/>
                <w:numId w:val="0"/>
              </w:numPr>
              <w:shd w:val="clear" w:color="auto" w:fill="auto"/>
              <w:jc w:val="left"/>
              <w:rPr>
                <w:rFonts w:hint="eastAsia" w:ascii="宋体" w:hAnsi="宋体" w:eastAsia="宋体" w:cs="宋体"/>
                <w:bCs/>
                <w:color w:val="000000"/>
                <w:szCs w:val="21"/>
                <w:highlight w:val="none"/>
              </w:rPr>
            </w:pPr>
            <w:r>
              <w:rPr>
                <w:rFonts w:hint="eastAsia" w:ascii="宋体" w:hAnsi="宋体" w:cs="宋体"/>
                <w:color w:val="000000"/>
                <w:kern w:val="0"/>
                <w:szCs w:val="21"/>
                <w:highlight w:val="none"/>
                <w:lang w:val="en-US" w:eastAsia="zh-CN"/>
              </w:rPr>
              <w:t>6、</w:t>
            </w:r>
            <w:r>
              <w:rPr>
                <w:rFonts w:hint="eastAsia" w:ascii="宋体" w:hAnsi="宋体" w:eastAsia="宋体" w:cs="宋体"/>
                <w:color w:val="000000"/>
                <w:kern w:val="0"/>
                <w:szCs w:val="21"/>
                <w:highlight w:val="none"/>
              </w:rPr>
              <w:t>总工期及节点工期是否满足招标文件要求；</w:t>
            </w:r>
          </w:p>
          <w:p>
            <w:pPr>
              <w:numPr>
                <w:ilvl w:val="0"/>
                <w:numId w:val="0"/>
              </w:numPr>
              <w:shd w:val="clear" w:color="auto" w:fill="auto"/>
              <w:jc w:val="left"/>
              <w:rPr>
                <w:rFonts w:hint="eastAsia"/>
                <w:color w:val="000000"/>
                <w:highlight w:val="none"/>
                <w:lang w:eastAsia="zh-CN"/>
              </w:rPr>
            </w:pPr>
            <w:r>
              <w:rPr>
                <w:rFonts w:hint="eastAsia" w:ascii="宋体" w:hAnsi="宋体" w:cs="宋体"/>
                <w:color w:val="000000"/>
                <w:kern w:val="0"/>
                <w:szCs w:val="21"/>
                <w:highlight w:val="none"/>
                <w:lang w:val="en-US" w:eastAsia="zh-CN"/>
              </w:rPr>
              <w:t>7、</w:t>
            </w:r>
            <w:r>
              <w:rPr>
                <w:rFonts w:hint="eastAsia" w:ascii="宋体" w:hAnsi="宋体" w:eastAsia="宋体" w:cs="宋体"/>
                <w:color w:val="000000"/>
                <w:kern w:val="0"/>
                <w:szCs w:val="21"/>
                <w:highlight w:val="none"/>
              </w:rPr>
              <w:t>施工进度计划内容是否全面；措施是否有力；</w:t>
            </w:r>
          </w:p>
          <w:p>
            <w:pPr>
              <w:numPr>
                <w:ilvl w:val="0"/>
                <w:numId w:val="0"/>
              </w:numPr>
              <w:shd w:val="clear" w:color="auto" w:fill="auto"/>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cs="宋体"/>
                <w:color w:val="000000"/>
                <w:kern w:val="0"/>
                <w:szCs w:val="21"/>
                <w:highlight w:val="none"/>
                <w:lang w:val="en-US" w:eastAsia="zh-CN"/>
              </w:rPr>
              <w:t>8、</w:t>
            </w:r>
            <w:r>
              <w:rPr>
                <w:rFonts w:hint="eastAsia" w:ascii="宋体" w:hAnsi="宋体" w:eastAsia="宋体" w:cs="宋体"/>
                <w:color w:val="000000"/>
                <w:kern w:val="0"/>
                <w:szCs w:val="21"/>
                <w:highlight w:val="none"/>
              </w:rPr>
              <w:t>计划编制是否合理、可行等。</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79" w:type="pct"/>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资源配备计划</w:t>
            </w:r>
            <w:r>
              <w:rPr>
                <w:rFonts w:hint="eastAsia" w:ascii="宋体" w:hAnsi="宋体"/>
                <w:color w:val="000000"/>
                <w:kern w:val="0"/>
                <w:sz w:val="21"/>
                <w:szCs w:val="21"/>
              </w:rPr>
              <w:t>（</w:t>
            </w:r>
            <w:r>
              <w:rPr>
                <w:rFonts w:hint="eastAsia" w:ascii="宋体" w:hAnsi="宋体"/>
                <w:color w:val="000000"/>
                <w:kern w:val="0"/>
                <w:sz w:val="21"/>
                <w:szCs w:val="21"/>
                <w:lang w:val="en-US" w:eastAsia="zh-CN"/>
              </w:rPr>
              <w:t>2</w:t>
            </w:r>
            <w:r>
              <w:rPr>
                <w:rFonts w:hint="eastAsia" w:ascii="宋体" w:hAnsi="宋体"/>
                <w:color w:val="000000"/>
                <w:kern w:val="0"/>
                <w:sz w:val="21"/>
                <w:szCs w:val="21"/>
              </w:rPr>
              <w:t>-</w:t>
            </w:r>
            <w:r>
              <w:rPr>
                <w:rFonts w:hint="eastAsia" w:ascii="宋体" w:hAnsi="宋体"/>
                <w:color w:val="000000"/>
                <w:kern w:val="0"/>
                <w:sz w:val="21"/>
                <w:szCs w:val="21"/>
                <w:lang w:val="en-US" w:eastAsia="zh-CN"/>
              </w:rPr>
              <w:t>4</w:t>
            </w:r>
            <w:r>
              <w:rPr>
                <w:rFonts w:hint="eastAsia" w:ascii="宋体" w:hAnsi="宋体"/>
                <w:color w:val="000000"/>
                <w:kern w:val="0"/>
                <w:sz w:val="21"/>
                <w:szCs w:val="21"/>
              </w:rPr>
              <w:t>分）</w:t>
            </w:r>
          </w:p>
        </w:tc>
        <w:tc>
          <w:tcPr>
            <w:tcW w:w="2964" w:type="pct"/>
            <w:tcBorders>
              <w:right w:val="single" w:color="auto" w:sz="4" w:space="0"/>
            </w:tcBorders>
            <w:vAlign w:val="center"/>
          </w:tcPr>
          <w:p>
            <w:pPr>
              <w:numPr>
                <w:ilvl w:val="0"/>
                <w:numId w:val="0"/>
              </w:numPr>
              <w:shd w:val="clear" w:color="auto" w:fill="auto"/>
              <w:jc w:val="left"/>
              <w:rPr>
                <w:rFonts w:hint="eastAsia"/>
                <w:color w:val="000000"/>
                <w:highlight w:val="none"/>
                <w:lang w:eastAsia="zh-CN"/>
              </w:rPr>
            </w:pP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资源投入计划、施工部署、施工方法与进度计划是否能够相互呼应并较好的满足施工需要；</w:t>
            </w:r>
          </w:p>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调配投入计划是否合理、准确等。</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39" w:type="pc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611" w:type="pct"/>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Times New Roman" w:hAnsi="Times New Roman" w:eastAsia="宋体" w:cs="Times New Roman"/>
                <w:kern w:val="2"/>
                <w:sz w:val="21"/>
                <w:szCs w:val="24"/>
                <w:lang w:val="en-US" w:eastAsia="zh-CN" w:bidi="ar-SA"/>
              </w:rPr>
            </w:pPr>
            <w:r>
              <w:rPr>
                <w:rFonts w:hint="eastAsia" w:ascii="宋体" w:hAnsi="宋体"/>
                <w:color w:val="000000"/>
                <w:kern w:val="0"/>
                <w:sz w:val="21"/>
                <w:szCs w:val="21"/>
                <w:lang w:val="en-US" w:eastAsia="zh-CN"/>
              </w:rPr>
              <w:t>（2-4分）</w:t>
            </w:r>
          </w:p>
        </w:tc>
        <w:tc>
          <w:tcPr>
            <w:tcW w:w="679" w:type="pct"/>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方案</w:t>
            </w:r>
          </w:p>
          <w:p>
            <w:pPr>
              <w:jc w:val="center"/>
              <w:rPr>
                <w:rFonts w:hint="eastAsia" w:ascii="宋体" w:hAnsi="宋体" w:eastAsia="宋体" w:cs="宋体"/>
                <w:kern w:val="2"/>
                <w:sz w:val="21"/>
                <w:szCs w:val="24"/>
                <w:highlight w:val="yellow"/>
                <w:lang w:val="en-US" w:eastAsia="zh-CN" w:bidi="ar-SA"/>
              </w:rPr>
            </w:pPr>
            <w:r>
              <w:rPr>
                <w:rFonts w:hint="eastAsia" w:ascii="宋体" w:hAnsi="宋体"/>
                <w:color w:val="000000"/>
                <w:kern w:val="0"/>
                <w:sz w:val="21"/>
                <w:szCs w:val="21"/>
                <w:lang w:val="en-US" w:eastAsia="zh-CN"/>
              </w:rPr>
              <w:t>（2-4分）</w:t>
            </w:r>
          </w:p>
        </w:tc>
        <w:tc>
          <w:tcPr>
            <w:tcW w:w="2964" w:type="pct"/>
            <w:tcBorders>
              <w:right w:val="single" w:color="auto" w:sz="4" w:space="0"/>
            </w:tcBorders>
            <w:vAlign w:val="center"/>
          </w:tcPr>
          <w:p>
            <w:pPr>
              <w:bidi w:val="0"/>
              <w:rPr>
                <w:rFonts w:hint="eastAsia" w:ascii="宋体" w:hAnsi="宋体" w:eastAsia="宋体" w:cs="Times New Roman"/>
                <w:color w:val="auto"/>
                <w:kern w:val="2"/>
                <w:szCs w:val="24"/>
                <w:highlight w:val="yellow"/>
                <w:lang w:val="en-US" w:eastAsia="zh-CN" w:bidi="ar-SA"/>
              </w:rPr>
            </w:pPr>
            <w:r>
              <w:rPr>
                <w:rFonts w:hint="eastAsia" w:ascii="宋体" w:hAnsi="宋体" w:eastAsia="宋体" w:cs="宋体"/>
                <w:color w:val="000000"/>
                <w:kern w:val="0"/>
                <w:szCs w:val="21"/>
                <w:highlight w:val="none"/>
                <w:lang w:val="en-US" w:eastAsia="zh-CN"/>
              </w:rPr>
              <w:t>风险防范的内容包括但不限于市场价格变动的风险、设计变更的风险、施工技术及组织管理变化造成的风险。</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339"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611" w:type="pct"/>
            <w:vMerge w:val="restart"/>
            <w:vAlign w:val="center"/>
          </w:tcPr>
          <w:p>
            <w:pPr>
              <w:shd w:val="clear" w:color="auto" w:fill="auto"/>
              <w:jc w:val="center"/>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建筑信息模型及其他</w:t>
            </w:r>
          </w:p>
          <w:p>
            <w:pPr>
              <w:shd w:val="clear" w:color="auto" w:fill="auto"/>
              <w:jc w:val="center"/>
              <w:rPr>
                <w:rFonts w:hint="eastAsia" w:ascii="宋体" w:hAnsi="宋体" w:eastAsia="宋体" w:cs="宋体"/>
                <w:bCs/>
                <w:color w:val="000000"/>
                <w:kern w:val="0"/>
                <w:szCs w:val="21"/>
                <w:highlight w:val="none"/>
              </w:rPr>
            </w:pPr>
            <w:r>
              <w:rPr>
                <w:rFonts w:hint="eastAsia" w:ascii="宋体" w:hAnsi="宋体"/>
                <w:color w:val="000000"/>
                <w:kern w:val="0"/>
                <w:sz w:val="21"/>
                <w:szCs w:val="21"/>
              </w:rPr>
              <w:t>（</w:t>
            </w:r>
            <w:r>
              <w:rPr>
                <w:rFonts w:hint="eastAsia" w:ascii="宋体" w:hAnsi="宋体"/>
                <w:color w:val="000000"/>
                <w:kern w:val="0"/>
                <w:sz w:val="21"/>
                <w:szCs w:val="21"/>
                <w:lang w:val="en-US" w:eastAsia="zh-CN"/>
              </w:rPr>
              <w:t>0</w:t>
            </w:r>
            <w:r>
              <w:rPr>
                <w:rFonts w:hint="eastAsia" w:ascii="宋体" w:hAnsi="宋体"/>
                <w:color w:val="000000"/>
                <w:kern w:val="0"/>
                <w:sz w:val="21"/>
                <w:szCs w:val="21"/>
              </w:rPr>
              <w:t>-</w:t>
            </w:r>
            <w:r>
              <w:rPr>
                <w:rFonts w:hint="eastAsia" w:ascii="宋体" w:hAnsi="宋体"/>
                <w:color w:val="000000"/>
                <w:kern w:val="0"/>
                <w:sz w:val="21"/>
                <w:szCs w:val="21"/>
                <w:lang w:val="en-US" w:eastAsia="zh-CN"/>
              </w:rPr>
              <w:t>12</w:t>
            </w:r>
            <w:r>
              <w:rPr>
                <w:rFonts w:hint="eastAsia" w:ascii="宋体" w:hAnsi="宋体"/>
                <w:color w:val="000000"/>
                <w:kern w:val="0"/>
                <w:sz w:val="21"/>
                <w:szCs w:val="21"/>
              </w:rPr>
              <w:t>分）</w:t>
            </w:r>
          </w:p>
          <w:p>
            <w:pPr>
              <w:jc w:val="center"/>
              <w:rPr>
                <w:rFonts w:hint="eastAsia" w:ascii="宋体" w:hAnsi="宋体" w:eastAsia="宋体" w:cs="宋体"/>
                <w:kern w:val="2"/>
                <w:sz w:val="21"/>
                <w:szCs w:val="24"/>
                <w:highlight w:val="yellow"/>
                <w:lang w:val="en-US" w:eastAsia="zh-CN" w:bidi="ar-SA"/>
              </w:rPr>
            </w:pPr>
          </w:p>
        </w:tc>
        <w:tc>
          <w:tcPr>
            <w:tcW w:w="679" w:type="pct"/>
            <w:vAlign w:val="center"/>
          </w:tcPr>
          <w:p>
            <w:pPr>
              <w:shd w:val="clear" w:color="auto" w:fill="auto"/>
              <w:jc w:val="center"/>
              <w:rPr>
                <w:rFonts w:hint="eastAsia"/>
              </w:rPr>
            </w:pPr>
            <w:r>
              <w:rPr>
                <w:rFonts w:hint="eastAsia"/>
              </w:rPr>
              <w:t>BIM技术</w:t>
            </w:r>
          </w:p>
          <w:p>
            <w:pPr>
              <w:shd w:val="clear" w:color="auto" w:fill="auto"/>
              <w:jc w:val="center"/>
              <w:rPr>
                <w:rFonts w:hint="eastAsia"/>
              </w:rPr>
            </w:pPr>
            <w:r>
              <w:rPr>
                <w:rFonts w:hint="eastAsia"/>
              </w:rPr>
              <w:t>应用</w:t>
            </w:r>
          </w:p>
          <w:p>
            <w:pPr>
              <w:pStyle w:val="11"/>
              <w:jc w:val="center"/>
              <w:rPr>
                <w:rFonts w:hint="eastAsia" w:ascii="宋体" w:hAnsi="宋体" w:eastAsia="宋体" w:cs="宋体"/>
                <w:kern w:val="0"/>
                <w:sz w:val="21"/>
              </w:rPr>
            </w:pPr>
            <w:r>
              <w:rPr>
                <w:rFonts w:hint="eastAsia" w:ascii="宋体" w:hAnsi="宋体" w:eastAsia="宋体" w:cs="宋体"/>
                <w:kern w:val="0"/>
                <w:sz w:val="21"/>
              </w:rPr>
              <w:t>（如有）</w:t>
            </w:r>
          </w:p>
          <w:p>
            <w:pPr>
              <w:pStyle w:val="11"/>
              <w:jc w:val="center"/>
              <w:rPr>
                <w:rFonts w:hint="default" w:eastAsia="宋体"/>
                <w:lang w:val="en-US" w:eastAsia="zh-CN"/>
              </w:rPr>
            </w:pPr>
            <w:r>
              <w:rPr>
                <w:rFonts w:hint="eastAsia" w:ascii="宋体" w:hAnsi="宋体" w:cs="宋体"/>
                <w:kern w:val="0"/>
                <w:sz w:val="21"/>
                <w:lang w:eastAsia="zh-CN"/>
              </w:rPr>
              <w:t>（</w:t>
            </w:r>
            <w:r>
              <w:rPr>
                <w:rFonts w:hint="eastAsia" w:ascii="宋体" w:hAnsi="宋体" w:cs="宋体"/>
                <w:kern w:val="0"/>
                <w:sz w:val="21"/>
                <w:lang w:val="en-US" w:eastAsia="zh-CN"/>
              </w:rPr>
              <w:t>0-4分）</w:t>
            </w:r>
          </w:p>
        </w:tc>
        <w:tc>
          <w:tcPr>
            <w:tcW w:w="2964" w:type="pct"/>
            <w:tcBorders>
              <w:right w:val="single" w:color="auto" w:sz="4" w:space="0"/>
            </w:tcBorders>
            <w:vAlign w:val="center"/>
          </w:tcPr>
          <w:p>
            <w:pPr>
              <w:numPr>
                <w:ilvl w:val="0"/>
                <w:numId w:val="0"/>
              </w:numPr>
              <w:shd w:val="clear" w:color="auto" w:fill="auto"/>
              <w:jc w:val="left"/>
              <w:rPr>
                <w:rFonts w:hint="eastAsia" w:ascii="宋体" w:hAnsi="宋体" w:eastAsia="宋体" w:cs="宋体"/>
                <w:color w:val="000000"/>
                <w:kern w:val="0"/>
                <w:szCs w:val="21"/>
                <w:highlight w:val="none"/>
              </w:rPr>
            </w:pPr>
            <w:r>
              <w:rPr>
                <w:rFonts w:hint="eastAsia" w:ascii="宋体" w:hAnsi="宋体" w:cs="宋体"/>
                <w:color w:val="000000"/>
                <w:kern w:val="0"/>
                <w:szCs w:val="21"/>
                <w:highlight w:val="none"/>
                <w:lang w:val="en-US" w:eastAsia="zh-CN"/>
              </w:rPr>
              <w:t>1、</w:t>
            </w:r>
            <w:r>
              <w:rPr>
                <w:rFonts w:hint="eastAsia" w:ascii="宋体" w:hAnsi="宋体" w:eastAsia="宋体" w:cs="宋体"/>
                <w:color w:val="000000"/>
                <w:kern w:val="0"/>
                <w:szCs w:val="21"/>
                <w:highlight w:val="none"/>
              </w:rPr>
              <w:t>BIM技术应用管理体系、管理制度、保障措施是否齐全；</w:t>
            </w:r>
          </w:p>
          <w:p>
            <w:pPr>
              <w:numPr>
                <w:ilvl w:val="0"/>
                <w:numId w:val="0"/>
              </w:numPr>
              <w:shd w:val="clear" w:color="auto" w:fill="auto"/>
              <w:jc w:val="left"/>
              <w:rPr>
                <w:rFonts w:hint="eastAsia" w:ascii="宋体" w:hAnsi="宋体" w:eastAsia="宋体" w:cs="宋体"/>
                <w:color w:val="000000"/>
                <w:szCs w:val="21"/>
                <w:highlight w:val="none"/>
              </w:rPr>
            </w:pPr>
            <w:r>
              <w:rPr>
                <w:rFonts w:hint="eastAsia" w:ascii="宋体" w:hAnsi="宋体" w:cs="宋体"/>
                <w:color w:val="000000"/>
                <w:kern w:val="0"/>
                <w:szCs w:val="21"/>
                <w:highlight w:val="none"/>
                <w:lang w:val="en-US" w:eastAsia="zh-CN"/>
              </w:rPr>
              <w:t>2、</w:t>
            </w:r>
            <w:r>
              <w:rPr>
                <w:rFonts w:hint="eastAsia" w:ascii="宋体" w:hAnsi="宋体" w:eastAsia="宋体" w:cs="宋体"/>
                <w:color w:val="000000"/>
                <w:kern w:val="0"/>
                <w:szCs w:val="21"/>
                <w:highlight w:val="none"/>
              </w:rPr>
              <w:t>BIM应用流程与计划是否完整、有效；</w:t>
            </w:r>
          </w:p>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rPr>
              <w:t>重点工艺节点及施工流程BIM三维模型是否科学、合理等</w:t>
            </w:r>
            <w:r>
              <w:rPr>
                <w:rFonts w:hint="eastAsia" w:ascii="宋体" w:hAnsi="宋体" w:eastAsia="宋体" w:cs="宋体"/>
                <w:color w:val="000000"/>
                <w:kern w:val="0"/>
                <w:szCs w:val="21"/>
                <w:highlight w:val="none"/>
                <w:lang w:eastAsia="zh-CN"/>
              </w:rPr>
              <w:t>。</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339"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611" w:type="pct"/>
            <w:vMerge w:val="continue"/>
            <w:vAlign w:val="center"/>
          </w:tcPr>
          <w:p>
            <w:pPr>
              <w:jc w:val="center"/>
              <w:rPr>
                <w:rFonts w:hint="eastAsia" w:ascii="宋体" w:hAnsi="宋体" w:eastAsia="宋体" w:cs="宋体"/>
                <w:kern w:val="2"/>
                <w:sz w:val="21"/>
                <w:szCs w:val="24"/>
                <w:highlight w:val="yellow"/>
                <w:lang w:val="en-US" w:eastAsia="zh-CN" w:bidi="ar-SA"/>
              </w:rPr>
            </w:pPr>
          </w:p>
        </w:tc>
        <w:tc>
          <w:tcPr>
            <w:tcW w:w="679" w:type="pct"/>
            <w:vAlign w:val="center"/>
          </w:tcPr>
          <w:p>
            <w:pPr>
              <w:widowControl/>
              <w:spacing w:line="280" w:lineRule="exact"/>
              <w:jc w:val="center"/>
              <w:rPr>
                <w:rFonts w:hint="eastAsia" w:ascii="宋体" w:hAnsi="宋体" w:eastAsia="宋体" w:cs="宋体"/>
                <w:bCs/>
                <w:kern w:val="0"/>
                <w:sz w:val="21"/>
              </w:rPr>
            </w:pPr>
            <w:r>
              <w:rPr>
                <w:rFonts w:hint="eastAsia" w:ascii="宋体" w:hAnsi="宋体" w:eastAsia="宋体" w:cs="宋体"/>
                <w:bCs/>
                <w:kern w:val="0"/>
                <w:sz w:val="21"/>
              </w:rPr>
              <w:t>其他</w:t>
            </w:r>
            <w:r>
              <w:rPr>
                <w:rFonts w:hint="eastAsia" w:ascii="宋体" w:hAnsi="宋体" w:eastAsia="宋体" w:cs="宋体"/>
                <w:kern w:val="0"/>
                <w:sz w:val="21"/>
              </w:rPr>
              <w:t>（如有）</w:t>
            </w:r>
          </w:p>
          <w:p>
            <w:pPr>
              <w:jc w:val="center"/>
              <w:rPr>
                <w:rFonts w:hint="eastAsia" w:ascii="宋体" w:hAnsi="宋体" w:eastAsia="宋体" w:cs="宋体"/>
                <w:kern w:val="2"/>
                <w:sz w:val="21"/>
                <w:szCs w:val="24"/>
                <w:highlight w:val="yellow"/>
                <w:lang w:val="en-US" w:eastAsia="zh-CN" w:bidi="ar-SA"/>
              </w:rPr>
            </w:pPr>
            <w:r>
              <w:rPr>
                <w:rFonts w:hint="eastAsia" w:ascii="宋体" w:hAnsi="宋体" w:cs="宋体"/>
                <w:kern w:val="0"/>
                <w:sz w:val="21"/>
                <w:lang w:eastAsia="zh-CN"/>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w:t>
            </w:r>
            <w:r>
              <w:rPr>
                <w:rFonts w:hint="eastAsia" w:ascii="宋体" w:hAnsi="宋体" w:cs="宋体"/>
                <w:kern w:val="0"/>
                <w:sz w:val="21"/>
                <w:lang w:val="en-US" w:eastAsia="zh-CN"/>
              </w:rPr>
              <w:t>）</w:t>
            </w:r>
          </w:p>
        </w:tc>
        <w:tc>
          <w:tcPr>
            <w:tcW w:w="2964" w:type="pct"/>
            <w:tcBorders>
              <w:right w:val="single" w:color="auto" w:sz="4" w:space="0"/>
            </w:tcBorders>
            <w:vAlign w:val="center"/>
          </w:tcPr>
          <w:p>
            <w:pPr>
              <w:jc w:val="left"/>
              <w:rPr>
                <w:rFonts w:hint="default" w:ascii="宋体" w:hAnsi="宋体" w:eastAsia="宋体" w:cs="Times New Roman"/>
                <w:color w:val="auto"/>
                <w:kern w:val="2"/>
                <w:sz w:val="21"/>
                <w:szCs w:val="24"/>
                <w:highlight w:val="yellow"/>
                <w:lang w:val="en-US" w:eastAsia="zh-CN" w:bidi="ar-SA"/>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p>
        </w:tc>
        <w:tc>
          <w:tcPr>
            <w:tcW w:w="40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339" w:type="pct"/>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满分</w:t>
            </w:r>
          </w:p>
        </w:tc>
        <w:tc>
          <w:tcPr>
            <w:tcW w:w="1291" w:type="pct"/>
            <w:gridSpan w:val="2"/>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100分</w:t>
            </w:r>
          </w:p>
        </w:tc>
        <w:tc>
          <w:tcPr>
            <w:tcW w:w="2964" w:type="pct"/>
            <w:tcBorders>
              <w:top w:val="single" w:color="auto" w:sz="4" w:space="0"/>
            </w:tcBorders>
            <w:vAlign w:val="center"/>
          </w:tcPr>
          <w:p>
            <w:pPr>
              <w:tabs>
                <w:tab w:val="left" w:pos="312"/>
              </w:tabs>
              <w:jc w:val="center"/>
              <w:rPr>
                <w:rFonts w:hint="default"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权重</w:t>
            </w:r>
            <w:r>
              <w:rPr>
                <w:rFonts w:hint="default" w:ascii="仿宋_GB2312" w:hAnsi="仿宋" w:cs="仿宋"/>
                <w:lang w:val="en-US" w:eastAsia="zh-CN"/>
              </w:rPr>
              <w:t>≤</w:t>
            </w:r>
            <w:r>
              <w:rPr>
                <w:rFonts w:hint="eastAsia" w:ascii="仿宋_GB2312" w:hAnsi="仿宋" w:cs="仿宋"/>
                <w:lang w:val="en-US" w:eastAsia="zh-CN"/>
              </w:rPr>
              <w:t>20%</w:t>
            </w:r>
          </w:p>
        </w:tc>
        <w:tc>
          <w:tcPr>
            <w:tcW w:w="405" w:type="pct"/>
            <w:tcBorders>
              <w:top w:val="single" w:color="auto" w:sz="4" w:space="0"/>
            </w:tcBorders>
            <w:vAlign w:val="center"/>
          </w:tcPr>
          <w:p>
            <w:pPr>
              <w:tabs>
                <w:tab w:val="left" w:pos="312"/>
              </w:tabs>
              <w:jc w:val="cente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2" w:hRule="atLeast"/>
          <w:jc w:val="center"/>
        </w:trPr>
        <w:tc>
          <w:tcPr>
            <w:tcW w:w="5000" w:type="pct"/>
            <w:gridSpan w:val="5"/>
            <w:tcBorders>
              <w:top w:val="single" w:color="auto" w:sz="4" w:space="0"/>
            </w:tcBorders>
            <w:vAlign w:val="center"/>
          </w:tcPr>
          <w:p>
            <w:pPr>
              <w:tabs>
                <w:tab w:val="left" w:pos="312"/>
              </w:tabs>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注：1．招标人应根据项目的特点在分值范围内设置各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评审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项目的具体分值，各项分值之和为100分，该项权重为</w:t>
            </w:r>
            <w:r>
              <w:rPr>
                <w:rFonts w:hint="default" w:ascii="仿宋_GB2312" w:hAnsi="仿宋" w:cs="仿宋"/>
                <w:lang w:val="en-US" w:eastAsia="zh-CN"/>
              </w:rPr>
              <w:t>≤</w:t>
            </w:r>
            <w:r>
              <w:rPr>
                <w:rFonts w:hint="eastAsia" w:ascii="仿宋_GB2312" w:hAnsi="仿宋" w:cs="仿宋"/>
                <w:lang w:val="en-US" w:eastAsia="zh-CN"/>
              </w:rPr>
              <w:t>20%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2．计分表中的评审标准为通用模板，招标人可根据项目的实际情况对评审标准进行补充，补充内容列入“其他”栏；</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3．专业工程招标时，招标人可根据项目实际情况对评审计分表中的评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及分值范围</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、评审标准进行适当调整；</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4．技术方案中应当具备的</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评审</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项目缺项的，该项目计零分；</w:t>
            </w:r>
          </w:p>
          <w:p>
            <w:pPr>
              <w:tabs>
                <w:tab w:val="left" w:pos="312"/>
              </w:tabs>
              <w:ind w:firstLine="420" w:firstLineChars="20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eastAsia="宋体" w:cs="宋体"/>
                <w:bCs/>
                <w:color w:val="000000"/>
                <w:szCs w:val="21"/>
                <w:highlight w:val="none"/>
                <w:lang w:eastAsia="zh-CN"/>
              </w:rPr>
              <w:t>评委对各投标人同一评分内容量化打分时，如最高得分与最低得分相差25%（含25%）以上时，应做出合理的解释说明，否则不予计分。</w:t>
            </w:r>
            <w:r>
              <w:rPr>
                <w:rFonts w:hint="eastAsia" w:ascii="宋体" w:hAnsi="宋体" w:eastAsia="宋体" w:cs="宋体"/>
                <w:bCs/>
                <w:color w:val="000000"/>
                <w:szCs w:val="21"/>
                <w:highlight w:val="none"/>
              </w:rPr>
              <w:t>技术标评标时凡被评标委员会明确为明示和暗示的，应在技术标总得分（乘完权重后）中扣除：明示扣5分，暗示扣3分。</w:t>
            </w: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．由评标委员会独立评审计分，投标人的得分为去掉一个评审计分最高分和一个最低分后的平均值</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结果保留两位小数</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tc>
      </w:tr>
    </w:tbl>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page"/>
      </w:r>
    </w:p>
    <w:p>
      <w:pPr>
        <w:spacing w:line="360" w:lineRule="auto"/>
        <w:rPr>
          <w:rFonts w:hint="eastAsia" w:ascii="宋体" w:hAnsi="宋体" w:cs="宋体"/>
          <w:color w:val="000000"/>
          <w:sz w:val="24"/>
          <w:highlight w:val="none"/>
          <w:lang w:val="en-US" w:eastAsia="zh-CN"/>
        </w:rPr>
      </w:pPr>
      <w:r>
        <w:rPr>
          <w:rFonts w:hint="eastAsia" w:ascii="仿宋" w:hAnsi="仿宋" w:eastAsia="仿宋" w:cs="仿宋"/>
          <w:color w:val="000000"/>
          <w:sz w:val="32"/>
          <w:szCs w:val="32"/>
          <w:highlight w:val="none"/>
          <w:lang w:val="en-US" w:eastAsia="zh-CN"/>
        </w:rPr>
        <w:t>附表3-3：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4"/>
          <w:highlight w:val="none"/>
          <w:lang w:val="en-US" w:eastAsia="zh-CN"/>
        </w:rPr>
      </w:pPr>
      <w:r>
        <w:rPr>
          <w:rFonts w:hint="eastAsia" w:ascii="仿宋" w:hAnsi="仿宋" w:eastAsia="仿宋" w:cs="仿宋"/>
          <w:b/>
          <w:bCs/>
          <w:color w:val="000000"/>
          <w:sz w:val="32"/>
          <w:szCs w:val="32"/>
          <w:highlight w:val="none"/>
          <w:lang w:eastAsia="zh-CN"/>
        </w:rPr>
        <w:t>技术标评审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rPr>
        <w:t>适用于初步设计完成后启动的招标</w:t>
      </w:r>
      <w:r>
        <w:rPr>
          <w:rFonts w:hint="eastAsia" w:ascii="宋体" w:hAnsi="宋体" w:cs="宋体"/>
          <w:b/>
          <w:bCs/>
          <w:color w:val="000000"/>
          <w:sz w:val="24"/>
          <w:highlight w:val="none"/>
          <w:lang w:eastAsia="zh-CN"/>
        </w:rPr>
        <w:t>）</w:t>
      </w:r>
    </w:p>
    <w:tbl>
      <w:tblPr>
        <w:tblStyle w:val="12"/>
        <w:tblW w:w="58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1192"/>
        <w:gridCol w:w="2452"/>
        <w:gridCol w:w="4995"/>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条款号</w:t>
            </w:r>
          </w:p>
        </w:tc>
        <w:tc>
          <w:tcPr>
            <w:tcW w:w="1834" w:type="pct"/>
            <w:gridSpan w:val="2"/>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评审项目及分值范围</w:t>
            </w:r>
          </w:p>
        </w:tc>
        <w:tc>
          <w:tcPr>
            <w:tcW w:w="2513" w:type="pct"/>
            <w:tcBorders>
              <w:right w:val="single" w:color="auto" w:sz="4"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评审标准</w:t>
            </w:r>
          </w:p>
        </w:tc>
        <w:tc>
          <w:tcPr>
            <w:tcW w:w="361" w:type="pct"/>
            <w:tcBorders>
              <w:left w:val="single" w:color="auto" w:sz="4"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290"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599"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w:t>
            </w: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方案（</w:t>
            </w:r>
            <w:r>
              <w:rPr>
                <w:rFonts w:hint="eastAsia" w:ascii="宋体" w:hAnsi="宋体" w:cs="宋体"/>
                <w:color w:val="000000"/>
                <w:szCs w:val="21"/>
                <w:highlight w:val="none"/>
                <w:lang w:val="en-US" w:eastAsia="zh-CN"/>
              </w:rPr>
              <w:t>20-27</w:t>
            </w:r>
            <w:r>
              <w:rPr>
                <w:rFonts w:hint="eastAsia" w:ascii="宋体" w:hAnsi="宋体" w:eastAsia="宋体" w:cs="宋体"/>
                <w:color w:val="000000"/>
                <w:szCs w:val="21"/>
                <w:highlight w:val="none"/>
              </w:rPr>
              <w:t>分）</w:t>
            </w:r>
          </w:p>
        </w:tc>
        <w:tc>
          <w:tcPr>
            <w:tcW w:w="1234" w:type="pct"/>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设计说明</w:t>
            </w:r>
          </w:p>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8-10</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各专业设计说明是否完整、充分、准确；</w:t>
            </w:r>
          </w:p>
        </w:tc>
        <w:tc>
          <w:tcPr>
            <w:tcW w:w="361"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优化设计</w:t>
            </w:r>
          </w:p>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12-17</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19"/>
              </w:numPr>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合理化建议是否可行</w:t>
            </w:r>
            <w:r>
              <w:rPr>
                <w:rFonts w:hint="eastAsia" w:ascii="宋体" w:hAnsi="宋体" w:eastAsia="宋体" w:cs="宋体"/>
                <w:color w:val="000000"/>
                <w:kern w:val="0"/>
                <w:szCs w:val="21"/>
                <w:highlight w:val="none"/>
                <w:lang w:eastAsia="zh-CN"/>
              </w:rPr>
              <w:t>；</w:t>
            </w:r>
          </w:p>
          <w:p>
            <w:pPr>
              <w:widowControl/>
              <w:numPr>
                <w:ilvl w:val="0"/>
                <w:numId w:val="19"/>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对项目特点难点准确把握、关键问题解决方案是否完整可行；</w:t>
            </w:r>
          </w:p>
          <w:p>
            <w:pPr>
              <w:widowControl/>
              <w:numPr>
                <w:ilvl w:val="0"/>
                <w:numId w:val="19"/>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优化设计是否能实现初步设计的各项指标且控制在工程概算内；</w:t>
            </w:r>
          </w:p>
          <w:p>
            <w:pPr>
              <w:widowControl/>
              <w:numPr>
                <w:ilvl w:val="0"/>
                <w:numId w:val="19"/>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新技术、新材料、新设备、新工艺的采用是否可行、可靠且经济等。</w:t>
            </w:r>
          </w:p>
        </w:tc>
        <w:tc>
          <w:tcPr>
            <w:tcW w:w="361"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6" w:hRule="atLeast"/>
          <w:jc w:val="center"/>
        </w:trPr>
        <w:tc>
          <w:tcPr>
            <w:tcW w:w="290"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599" w:type="pct"/>
            <w:vMerge w:val="restar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w:t>
            </w:r>
          </w:p>
          <w:p>
            <w:pPr>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实施方案</w:t>
            </w:r>
          </w:p>
          <w:p>
            <w:pPr>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15-24</w:t>
            </w:r>
            <w:r>
              <w:rPr>
                <w:rFonts w:hint="eastAsia" w:ascii="宋体" w:hAnsi="宋体" w:eastAsia="宋体" w:cs="宋体"/>
                <w:color w:val="000000"/>
                <w:kern w:val="0"/>
                <w:szCs w:val="21"/>
                <w:highlight w:val="none"/>
              </w:rPr>
              <w:t>分）</w:t>
            </w:r>
          </w:p>
        </w:tc>
        <w:tc>
          <w:tcPr>
            <w:tcW w:w="1234"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总承包管理方案及措施（</w:t>
            </w:r>
            <w:r>
              <w:rPr>
                <w:rFonts w:hint="eastAsia" w:ascii="宋体" w:hAnsi="宋体" w:cs="宋体"/>
                <w:color w:val="000000"/>
                <w:kern w:val="0"/>
                <w:szCs w:val="21"/>
                <w:highlight w:val="none"/>
                <w:lang w:val="en-US" w:eastAsia="zh-CN"/>
              </w:rPr>
              <w:t>9-14</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总承包管理方案是否清晰并切实可行；</w:t>
            </w:r>
          </w:p>
          <w:p>
            <w:pPr>
              <w:widowControl/>
              <w:numPr>
                <w:ilvl w:val="0"/>
                <w:numId w:val="2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内容是否全面、完整；</w:t>
            </w:r>
          </w:p>
          <w:p>
            <w:pPr>
              <w:widowControl/>
              <w:numPr>
                <w:ilvl w:val="0"/>
                <w:numId w:val="2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部署及措施是否合理、先进、可靠；能否满足项目管理需要等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kern w:val="0"/>
                <w:szCs w:val="21"/>
                <w:highlight w:val="none"/>
              </w:rPr>
            </w:pPr>
          </w:p>
        </w:tc>
        <w:tc>
          <w:tcPr>
            <w:tcW w:w="1234"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总承包管理重点、难点分析（</w:t>
            </w:r>
            <w:r>
              <w:rPr>
                <w:rFonts w:hint="eastAsia" w:ascii="宋体" w:hAnsi="宋体" w:cs="宋体"/>
                <w:color w:val="000000"/>
                <w:kern w:val="0"/>
                <w:szCs w:val="21"/>
                <w:highlight w:val="none"/>
                <w:lang w:val="en-US" w:eastAsia="zh-CN"/>
              </w:rPr>
              <w:t>6-10</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numPr>
                <w:ilvl w:val="0"/>
                <w:numId w:val="21"/>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总承包管理重难点控制是否得当；</w:t>
            </w:r>
          </w:p>
          <w:p>
            <w:pPr>
              <w:numPr>
                <w:ilvl w:val="0"/>
                <w:numId w:val="21"/>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处置措施是否具备针对性；</w:t>
            </w:r>
          </w:p>
          <w:p>
            <w:pPr>
              <w:numPr>
                <w:ilvl w:val="0"/>
                <w:numId w:val="21"/>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能否满足项目需要等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290"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599"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w:t>
            </w:r>
            <w:r>
              <w:rPr>
                <w:rFonts w:hint="eastAsia" w:ascii="宋体" w:hAnsi="宋体" w:cs="宋体"/>
                <w:color w:val="000000"/>
                <w:szCs w:val="21"/>
                <w:highlight w:val="none"/>
                <w:lang w:val="en-US" w:eastAsia="zh-CN"/>
              </w:rPr>
              <w:t>34-</w:t>
            </w:r>
            <w:r>
              <w:rPr>
                <w:rFonts w:hint="eastAsia" w:ascii="宋体" w:hAnsi="宋体" w:eastAsia="宋体" w:cs="宋体"/>
                <w:color w:val="000000"/>
                <w:szCs w:val="21"/>
                <w:highlight w:val="none"/>
              </w:rPr>
              <w:t>4</w:t>
            </w: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分）</w:t>
            </w:r>
          </w:p>
        </w:tc>
        <w:tc>
          <w:tcPr>
            <w:tcW w:w="1234"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施工方案与技术措施</w:t>
            </w:r>
          </w:p>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8-</w:t>
            </w:r>
            <w:r>
              <w:rPr>
                <w:rFonts w:hint="eastAsia" w:ascii="宋体" w:hAnsi="宋体" w:eastAsia="宋体" w:cs="宋体"/>
                <w:color w:val="000000"/>
                <w:kern w:val="0"/>
                <w:szCs w:val="21"/>
                <w:highlight w:val="none"/>
              </w:rPr>
              <w:t>10分）</w:t>
            </w:r>
          </w:p>
        </w:tc>
        <w:tc>
          <w:tcPr>
            <w:tcW w:w="2513" w:type="pct"/>
            <w:tcBorders>
              <w:right w:val="single" w:color="auto" w:sz="4" w:space="0"/>
            </w:tcBorders>
            <w:noWrap w:val="0"/>
            <w:vAlign w:val="center"/>
          </w:tcPr>
          <w:p>
            <w:pPr>
              <w:widowControl/>
              <w:numPr>
                <w:ilvl w:val="0"/>
                <w:numId w:val="22"/>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对项目总体概况表述是否清晰、完整；</w:t>
            </w:r>
          </w:p>
          <w:p>
            <w:pPr>
              <w:widowControl/>
              <w:numPr>
                <w:ilvl w:val="0"/>
                <w:numId w:val="22"/>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部署及措施是否先进、可靠；</w:t>
            </w:r>
          </w:p>
          <w:p>
            <w:pPr>
              <w:widowControl/>
              <w:numPr>
                <w:ilvl w:val="0"/>
                <w:numId w:val="22"/>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针对项目的重点、难点分析是否透彻，解决方案是否切实可行；</w:t>
            </w:r>
          </w:p>
          <w:p>
            <w:pPr>
              <w:widowControl/>
              <w:numPr>
                <w:ilvl w:val="0"/>
                <w:numId w:val="22"/>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施工平面布置是否有针对性、合理，较好满足施工需要，是否符合安全、文明生产要求等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质量管理体系与措施</w:t>
            </w:r>
          </w:p>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8-10</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3"/>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质量目标是否明确，是否优于招标文件的要求；</w:t>
            </w:r>
          </w:p>
          <w:p>
            <w:pPr>
              <w:widowControl/>
              <w:numPr>
                <w:ilvl w:val="0"/>
                <w:numId w:val="23"/>
              </w:numPr>
              <w:ind w:left="0" w:leftChars="0"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管理机构是否健全，职责分工是否明确；</w:t>
            </w:r>
          </w:p>
          <w:p>
            <w:pPr>
              <w:widowControl/>
              <w:numPr>
                <w:ilvl w:val="0"/>
                <w:numId w:val="23"/>
              </w:numPr>
              <w:ind w:left="0" w:leftChars="0" w:firstLine="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管理制度是否齐全；</w:t>
            </w:r>
          </w:p>
          <w:p>
            <w:pPr>
              <w:widowControl/>
              <w:numPr>
                <w:ilvl w:val="0"/>
                <w:numId w:val="23"/>
              </w:numPr>
              <w:ind w:left="0" w:leftChars="0" w:firstLine="0" w:firstLineChars="0"/>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实施与监控措施是否全面、有效等。</w:t>
            </w:r>
          </w:p>
        </w:tc>
        <w:tc>
          <w:tcPr>
            <w:tcW w:w="361" w:type="pct"/>
            <w:tcBorders>
              <w:left w:val="single" w:color="auto" w:sz="4" w:space="0"/>
            </w:tcBorders>
            <w:noWrap w:val="0"/>
            <w:vAlign w:val="center"/>
          </w:tcPr>
          <w:p>
            <w:pPr>
              <w:jc w:val="left"/>
              <w:rPr>
                <w:rFonts w:hint="eastAsia" w:ascii="宋体" w:hAnsi="宋体" w:eastAsia="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6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安全管理体系与措施</w:t>
            </w:r>
          </w:p>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8-10</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4"/>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安全目标是否明确，是否优于招标文件的要求；</w:t>
            </w:r>
          </w:p>
          <w:p>
            <w:pPr>
              <w:widowControl/>
              <w:numPr>
                <w:ilvl w:val="0"/>
                <w:numId w:val="24"/>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管理机构是否健全，职责分工是否明确；</w:t>
            </w:r>
          </w:p>
          <w:p>
            <w:pPr>
              <w:widowControl/>
              <w:numPr>
                <w:ilvl w:val="0"/>
                <w:numId w:val="24"/>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管理制度是否齐全；</w:t>
            </w:r>
          </w:p>
          <w:p>
            <w:pPr>
              <w:widowControl/>
              <w:numPr>
                <w:ilvl w:val="0"/>
                <w:numId w:val="24"/>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实施与监控措施是否全面、有效等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环境保护管理体系与措施（</w:t>
            </w:r>
            <w:r>
              <w:rPr>
                <w:rFonts w:hint="eastAsia" w:ascii="宋体" w:hAnsi="宋体" w:cs="宋体"/>
                <w:color w:val="000000"/>
                <w:kern w:val="0"/>
                <w:szCs w:val="21"/>
                <w:highlight w:val="none"/>
                <w:lang w:val="en-US" w:eastAsia="zh-CN"/>
              </w:rPr>
              <w:t>4-6</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5"/>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环境管理目标是否明确，是否优于招标文件的要求；</w:t>
            </w:r>
          </w:p>
          <w:p>
            <w:pPr>
              <w:widowControl/>
              <w:numPr>
                <w:ilvl w:val="0"/>
                <w:numId w:val="25"/>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管理机构是否健全，职责分工是否明确；</w:t>
            </w:r>
          </w:p>
          <w:p>
            <w:pPr>
              <w:widowControl/>
              <w:numPr>
                <w:ilvl w:val="0"/>
                <w:numId w:val="25"/>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管理制度是否齐全；</w:t>
            </w:r>
          </w:p>
          <w:p>
            <w:pPr>
              <w:widowControl/>
              <w:numPr>
                <w:ilvl w:val="0"/>
                <w:numId w:val="25"/>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实施与监控措施是否全面、有效等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6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工程进度计划与保证措施（</w:t>
            </w:r>
            <w:r>
              <w:rPr>
                <w:rFonts w:hint="eastAsia" w:ascii="宋体" w:hAnsi="宋体" w:cs="宋体"/>
                <w:color w:val="000000"/>
                <w:kern w:val="0"/>
                <w:szCs w:val="21"/>
                <w:highlight w:val="none"/>
                <w:lang w:val="en-US" w:eastAsia="zh-CN"/>
              </w:rPr>
              <w:t>4-6</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6"/>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总工期及节点工期是否满足招标文件要求；</w:t>
            </w:r>
          </w:p>
          <w:p>
            <w:pPr>
              <w:widowControl/>
              <w:numPr>
                <w:ilvl w:val="0"/>
                <w:numId w:val="26"/>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施工进度计划内容是否全面，线路是否清晰、准确、完整，计划编制是否合理、可行；</w:t>
            </w:r>
          </w:p>
          <w:p>
            <w:pPr>
              <w:widowControl/>
              <w:numPr>
                <w:ilvl w:val="0"/>
                <w:numId w:val="26"/>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措施是否有力、合理、可行等。</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vMerge w:val="continue"/>
            <w:noWrap w:val="0"/>
            <w:vAlign w:val="center"/>
          </w:tcPr>
          <w:p>
            <w:pPr>
              <w:jc w:val="center"/>
              <w:rPr>
                <w:rFonts w:hint="eastAsia" w:ascii="宋体" w:hAnsi="宋体" w:eastAsia="宋体" w:cs="宋体"/>
                <w:color w:val="000000"/>
                <w:szCs w:val="21"/>
                <w:highlight w:val="none"/>
              </w:rPr>
            </w:pPr>
          </w:p>
        </w:tc>
        <w:tc>
          <w:tcPr>
            <w:tcW w:w="599" w:type="pct"/>
            <w:vMerge w:val="continue"/>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资源配备计划</w:t>
            </w:r>
          </w:p>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val="en-US" w:eastAsia="zh-CN"/>
              </w:rPr>
              <w:t>2-3</w:t>
            </w:r>
            <w:r>
              <w:rPr>
                <w:rFonts w:hint="eastAsia" w:ascii="宋体" w:hAnsi="宋体" w:eastAsia="宋体" w:cs="宋体"/>
                <w:color w:val="000000"/>
                <w:kern w:val="0"/>
                <w:szCs w:val="21"/>
                <w:highlight w:val="none"/>
              </w:rPr>
              <w:t>分）</w:t>
            </w:r>
          </w:p>
        </w:tc>
        <w:tc>
          <w:tcPr>
            <w:tcW w:w="2513" w:type="pct"/>
            <w:tcBorders>
              <w:right w:val="single" w:color="auto" w:sz="4" w:space="0"/>
            </w:tcBorders>
            <w:noWrap w:val="0"/>
            <w:vAlign w:val="center"/>
          </w:tcPr>
          <w:p>
            <w:pPr>
              <w:widowControl/>
              <w:numPr>
                <w:ilvl w:val="0"/>
                <w:numId w:val="27"/>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资源投入计划、施工部署、施工方法与进度计划是否能够相互呼应并较好的满足施工需要；</w:t>
            </w:r>
          </w:p>
          <w:p>
            <w:pPr>
              <w:widowControl/>
              <w:numPr>
                <w:ilvl w:val="0"/>
                <w:numId w:val="27"/>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调配投入计划是否合理、准确等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290" w:type="pc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w:t>
            </w:r>
          </w:p>
        </w:tc>
        <w:tc>
          <w:tcPr>
            <w:tcW w:w="599" w:type="pct"/>
            <w:noWrap w:val="0"/>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宋体" w:hAnsi="宋体" w:eastAsia="宋体" w:cs="宋体"/>
                <w:color w:val="000000"/>
                <w:szCs w:val="21"/>
                <w:highlight w:val="none"/>
              </w:rPr>
            </w:pPr>
            <w:r>
              <w:rPr>
                <w:rFonts w:hint="eastAsia" w:ascii="宋体" w:hAnsi="宋体"/>
                <w:color w:val="000000"/>
                <w:kern w:val="0"/>
                <w:sz w:val="21"/>
                <w:szCs w:val="21"/>
                <w:lang w:val="en-US" w:eastAsia="zh-CN"/>
              </w:rPr>
              <w:t>（2-4分）</w:t>
            </w:r>
          </w:p>
        </w:tc>
        <w:tc>
          <w:tcPr>
            <w:tcW w:w="1234" w:type="pct"/>
            <w:noWrap w:val="0"/>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方案</w:t>
            </w:r>
          </w:p>
          <w:p>
            <w:pPr>
              <w:jc w:val="center"/>
              <w:rPr>
                <w:rFonts w:hint="eastAsia" w:ascii="宋体" w:hAnsi="宋体" w:eastAsia="宋体" w:cs="宋体"/>
                <w:color w:val="000000"/>
                <w:kern w:val="0"/>
                <w:szCs w:val="21"/>
                <w:highlight w:val="none"/>
              </w:rPr>
            </w:pPr>
            <w:r>
              <w:rPr>
                <w:rFonts w:hint="eastAsia" w:ascii="宋体" w:hAnsi="宋体"/>
                <w:color w:val="000000"/>
                <w:kern w:val="0"/>
                <w:sz w:val="21"/>
                <w:szCs w:val="21"/>
                <w:lang w:val="en-US" w:eastAsia="zh-CN"/>
              </w:rPr>
              <w:t>（2-4分）</w:t>
            </w:r>
          </w:p>
        </w:tc>
        <w:tc>
          <w:tcPr>
            <w:tcW w:w="2513" w:type="pct"/>
            <w:tcBorders>
              <w:right w:val="single" w:color="auto" w:sz="4" w:space="0"/>
            </w:tcBorders>
            <w:noWrap w:val="0"/>
            <w:vAlign w:val="center"/>
          </w:tcPr>
          <w:p>
            <w:pPr>
              <w:bidi w:val="0"/>
              <w:rPr>
                <w:rFonts w:hint="eastAsia" w:ascii="宋体" w:hAnsi="宋体" w:eastAsia="宋体" w:cs="宋体"/>
                <w:color w:val="000000"/>
                <w:kern w:val="0"/>
                <w:szCs w:val="21"/>
                <w:highlight w:val="none"/>
              </w:rPr>
            </w:pPr>
            <w:r>
              <w:rPr>
                <w:rFonts w:hint="eastAsia"/>
                <w:lang w:val="en-US" w:eastAsia="zh-CN"/>
              </w:rPr>
              <w:t>风险防范的内容包括但不限于市场价格变动的风险、设计变更的风险、施工技术及组织管理变化造成的风险。</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0"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w:t>
            </w:r>
          </w:p>
        </w:tc>
        <w:tc>
          <w:tcPr>
            <w:tcW w:w="599"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bCs/>
                <w:color w:val="000000"/>
                <w:kern w:val="0"/>
                <w:szCs w:val="21"/>
                <w:highlight w:val="none"/>
              </w:rPr>
              <w:t>建筑信息模型及其他（</w:t>
            </w:r>
            <w:r>
              <w:rPr>
                <w:rFonts w:hint="eastAsia" w:ascii="宋体" w:hAnsi="宋体" w:cs="宋体"/>
                <w:bCs/>
                <w:color w:val="000000"/>
                <w:kern w:val="0"/>
                <w:szCs w:val="21"/>
                <w:highlight w:val="none"/>
                <w:lang w:val="en-US" w:eastAsia="zh-CN"/>
              </w:rPr>
              <w:t>0-12</w:t>
            </w:r>
            <w:r>
              <w:rPr>
                <w:rFonts w:hint="eastAsia" w:ascii="宋体" w:hAnsi="宋体" w:eastAsia="宋体" w:cs="宋体"/>
                <w:bCs/>
                <w:color w:val="000000"/>
                <w:kern w:val="0"/>
                <w:szCs w:val="21"/>
                <w:highlight w:val="none"/>
              </w:rPr>
              <w:t>分）</w:t>
            </w:r>
          </w:p>
        </w:tc>
        <w:tc>
          <w:tcPr>
            <w:tcW w:w="1234" w:type="pct"/>
            <w:noWrap w:val="0"/>
            <w:vAlign w:val="center"/>
          </w:tcPr>
          <w:p>
            <w:pPr>
              <w:pStyle w:val="11"/>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BIM技术应用（如有）</w:t>
            </w:r>
          </w:p>
          <w:p>
            <w:pPr>
              <w:jc w:val="center"/>
              <w:rPr>
                <w:rFonts w:hint="eastAsia" w:ascii="宋体" w:hAnsi="宋体" w:eastAsia="宋体" w:cs="宋体"/>
                <w:color w:val="000000"/>
                <w:kern w:val="0"/>
                <w:szCs w:val="21"/>
                <w:highlight w:val="none"/>
              </w:rPr>
            </w:pPr>
            <w:r>
              <w:rPr>
                <w:rFonts w:hint="eastAsia" w:ascii="宋体" w:hAnsi="宋体" w:eastAsia="宋体" w:cs="Times New Roman"/>
                <w:color w:val="000000"/>
                <w:kern w:val="0"/>
                <w:sz w:val="21"/>
                <w:szCs w:val="21"/>
                <w:lang w:val="en-US" w:eastAsia="zh-CN" w:bidi="ar-SA"/>
              </w:rPr>
              <w:t>（0-</w:t>
            </w:r>
            <w:r>
              <w:rPr>
                <w:rFonts w:hint="eastAsia" w:ascii="宋体" w:hAnsi="宋体" w:cs="Times New Roman"/>
                <w:color w:val="000000"/>
                <w:kern w:val="0"/>
                <w:sz w:val="21"/>
                <w:szCs w:val="21"/>
                <w:lang w:val="en-US" w:eastAsia="zh-CN" w:bidi="ar-SA"/>
              </w:rPr>
              <w:t>4</w:t>
            </w:r>
            <w:r>
              <w:rPr>
                <w:rFonts w:hint="eastAsia" w:ascii="宋体" w:hAnsi="宋体" w:eastAsia="宋体" w:cs="Times New Roman"/>
                <w:color w:val="000000"/>
                <w:kern w:val="0"/>
                <w:sz w:val="21"/>
                <w:szCs w:val="21"/>
                <w:lang w:val="en-US" w:eastAsia="zh-CN" w:bidi="ar-SA"/>
              </w:rPr>
              <w:t>分）</w:t>
            </w:r>
          </w:p>
        </w:tc>
        <w:tc>
          <w:tcPr>
            <w:tcW w:w="2513" w:type="pct"/>
            <w:tcBorders>
              <w:right w:val="single" w:color="auto" w:sz="4" w:space="0"/>
            </w:tcBorders>
            <w:noWrap w:val="0"/>
            <w:vAlign w:val="center"/>
          </w:tcPr>
          <w:p>
            <w:pPr>
              <w:numPr>
                <w:ilvl w:val="0"/>
                <w:numId w:val="28"/>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BIM技术应用管理体系、管理制度、保障措施是否齐全；</w:t>
            </w:r>
          </w:p>
          <w:p>
            <w:pPr>
              <w:numPr>
                <w:ilvl w:val="0"/>
                <w:numId w:val="28"/>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BIM应用流程与计划是否完整、有效；</w:t>
            </w:r>
          </w:p>
          <w:p>
            <w:pPr>
              <w:numPr>
                <w:ilvl w:val="0"/>
                <w:numId w:val="28"/>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重点工艺节点及施工流程BIM三维模型是否科学、合理等</w:t>
            </w:r>
            <w:r>
              <w:rPr>
                <w:rFonts w:hint="eastAsia" w:ascii="宋体" w:hAnsi="宋体" w:eastAsia="宋体" w:cs="宋体"/>
                <w:color w:val="000000"/>
                <w:kern w:val="0"/>
                <w:szCs w:val="21"/>
                <w:highlight w:val="none"/>
                <w:lang w:eastAsia="zh-CN"/>
              </w:rPr>
              <w:t>。</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290" w:type="pct"/>
            <w:vMerge w:val="continue"/>
            <w:tcBorders>
              <w:bottom w:val="single" w:color="auto" w:sz="4" w:space="0"/>
            </w:tcBorders>
            <w:noWrap w:val="0"/>
            <w:vAlign w:val="center"/>
          </w:tcPr>
          <w:p>
            <w:pPr>
              <w:jc w:val="center"/>
              <w:rPr>
                <w:rFonts w:hint="eastAsia" w:ascii="宋体" w:hAnsi="宋体" w:eastAsia="宋体" w:cs="宋体"/>
                <w:color w:val="000000"/>
                <w:szCs w:val="21"/>
                <w:highlight w:val="none"/>
              </w:rPr>
            </w:pPr>
          </w:p>
        </w:tc>
        <w:tc>
          <w:tcPr>
            <w:tcW w:w="599" w:type="pct"/>
            <w:vMerge w:val="continue"/>
            <w:tcBorders>
              <w:bottom w:val="single" w:color="auto" w:sz="4" w:space="0"/>
            </w:tcBorders>
            <w:noWrap w:val="0"/>
            <w:vAlign w:val="center"/>
          </w:tcPr>
          <w:p>
            <w:pPr>
              <w:jc w:val="center"/>
              <w:rPr>
                <w:rFonts w:hint="eastAsia" w:ascii="宋体" w:hAnsi="宋体" w:eastAsia="宋体" w:cs="宋体"/>
                <w:color w:val="000000"/>
                <w:szCs w:val="21"/>
                <w:highlight w:val="none"/>
              </w:rPr>
            </w:pPr>
          </w:p>
        </w:tc>
        <w:tc>
          <w:tcPr>
            <w:tcW w:w="1234" w:type="pct"/>
            <w:noWrap w:val="0"/>
            <w:vAlign w:val="center"/>
          </w:tcPr>
          <w:p>
            <w:pPr>
              <w:pStyle w:val="11"/>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其他（如有）</w:t>
            </w:r>
          </w:p>
          <w:p>
            <w:pPr>
              <w:pStyle w:val="11"/>
              <w:jc w:val="center"/>
              <w:rPr>
                <w:rFonts w:hint="eastAsia" w:ascii="宋体" w:hAnsi="宋体" w:eastAsia="宋体" w:cs="宋体"/>
                <w:color w:val="000000"/>
                <w:kern w:val="0"/>
                <w:szCs w:val="21"/>
                <w:highlight w:val="none"/>
              </w:rPr>
            </w:pPr>
            <w:r>
              <w:rPr>
                <w:rFonts w:hint="eastAsia" w:ascii="宋体" w:hAnsi="宋体" w:eastAsia="宋体" w:cs="Times New Roman"/>
                <w:color w:val="000000"/>
                <w:kern w:val="0"/>
                <w:sz w:val="21"/>
                <w:szCs w:val="21"/>
                <w:lang w:val="en-US" w:eastAsia="zh-CN" w:bidi="ar-SA"/>
              </w:rPr>
              <w:t>（0-</w:t>
            </w:r>
            <w:r>
              <w:rPr>
                <w:rFonts w:hint="eastAsia" w:ascii="宋体" w:hAnsi="宋体" w:cs="Times New Roman"/>
                <w:color w:val="000000"/>
                <w:kern w:val="0"/>
                <w:sz w:val="21"/>
                <w:szCs w:val="21"/>
                <w:lang w:val="en-US" w:eastAsia="zh-CN" w:bidi="ar-SA"/>
              </w:rPr>
              <w:t>8</w:t>
            </w:r>
            <w:r>
              <w:rPr>
                <w:rFonts w:hint="eastAsia" w:ascii="宋体" w:hAnsi="宋体" w:eastAsia="宋体" w:cs="Times New Roman"/>
                <w:color w:val="000000"/>
                <w:kern w:val="0"/>
                <w:sz w:val="21"/>
                <w:szCs w:val="21"/>
                <w:lang w:val="en-US" w:eastAsia="zh-CN" w:bidi="ar-SA"/>
              </w:rPr>
              <w:t>分）</w:t>
            </w:r>
          </w:p>
        </w:tc>
        <w:tc>
          <w:tcPr>
            <w:tcW w:w="2513" w:type="pct"/>
            <w:tcBorders>
              <w:right w:val="single" w:color="auto" w:sz="4" w:space="0"/>
            </w:tcBorders>
            <w:noWrap w:val="0"/>
            <w:vAlign w:val="center"/>
          </w:tcPr>
          <w:p>
            <w:pPr>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p>
        </w:tc>
        <w:tc>
          <w:tcPr>
            <w:tcW w:w="361"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0" w:type="pct"/>
            <w:gridSpan w:val="2"/>
            <w:tcBorders>
              <w:top w:val="single" w:color="auto" w:sz="4" w:space="0"/>
            </w:tcBorders>
            <w:noWrap w:val="0"/>
            <w:vAlign w:val="center"/>
          </w:tcPr>
          <w:p>
            <w:pPr>
              <w:tabs>
                <w:tab w:val="left" w:pos="312"/>
              </w:tabs>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满分</w:t>
            </w:r>
          </w:p>
        </w:tc>
        <w:tc>
          <w:tcPr>
            <w:tcW w:w="1234" w:type="pct"/>
            <w:tcBorders>
              <w:top w:val="single" w:color="auto" w:sz="4" w:space="0"/>
            </w:tcBorders>
            <w:noWrap w:val="0"/>
            <w:vAlign w:val="center"/>
          </w:tcPr>
          <w:p>
            <w:pPr>
              <w:tabs>
                <w:tab w:val="left" w:pos="312"/>
              </w:tabs>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100分</w:t>
            </w:r>
          </w:p>
        </w:tc>
        <w:tc>
          <w:tcPr>
            <w:tcW w:w="2513" w:type="pct"/>
            <w:tcBorders>
              <w:top w:val="single" w:color="auto" w:sz="4" w:space="0"/>
            </w:tcBorders>
            <w:noWrap w:val="0"/>
            <w:vAlign w:val="center"/>
          </w:tcPr>
          <w:p>
            <w:pPr>
              <w:tabs>
                <w:tab w:val="left" w:pos="312"/>
              </w:tabs>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权重</w:t>
            </w:r>
            <w:r>
              <w:rPr>
                <w:rFonts w:hint="default" w:ascii="仿宋_GB2312" w:hAnsi="仿宋" w:cs="仿宋"/>
                <w:lang w:val="en-US" w:eastAsia="zh-CN"/>
              </w:rPr>
              <w:t>≤</w:t>
            </w:r>
            <w:r>
              <w:rPr>
                <w:rFonts w:hint="eastAsia" w:ascii="仿宋_GB2312" w:hAnsi="仿宋" w:cs="仿宋"/>
                <w:lang w:val="en-US" w:eastAsia="zh-CN"/>
              </w:rPr>
              <w:t>20%</w:t>
            </w:r>
          </w:p>
        </w:tc>
        <w:tc>
          <w:tcPr>
            <w:tcW w:w="361" w:type="pct"/>
            <w:tcBorders>
              <w:top w:val="single" w:color="auto" w:sz="4" w:space="0"/>
            </w:tcBorders>
            <w:noWrap w:val="0"/>
            <w:vAlign w:val="center"/>
          </w:tcPr>
          <w:p>
            <w:pPr>
              <w:tabs>
                <w:tab w:val="left" w:pos="312"/>
              </w:tabs>
              <w:jc w:val="center"/>
              <w:rPr>
                <w:rFonts w:hint="eastAsia" w:ascii="宋体" w:hAnsi="宋体" w:eastAsia="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6" w:hRule="atLeast"/>
          <w:jc w:val="center"/>
        </w:trPr>
        <w:tc>
          <w:tcPr>
            <w:tcW w:w="5000" w:type="pct"/>
            <w:gridSpan w:val="5"/>
            <w:tcBorders>
              <w:top w:val="single" w:color="auto" w:sz="4" w:space="0"/>
            </w:tcBorders>
            <w:noWrap w:val="0"/>
            <w:vAlign w:val="center"/>
          </w:tcPr>
          <w:p>
            <w:pPr>
              <w:tabs>
                <w:tab w:val="left" w:pos="312"/>
              </w:tabs>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注：1．招标人应根据项目的特点在分值范围内设置各</w:t>
            </w:r>
            <w:r>
              <w:rPr>
                <w:rFonts w:hint="eastAsia" w:ascii="宋体" w:hAnsi="宋体" w:cs="宋体"/>
                <w:bCs/>
                <w:color w:val="000000"/>
                <w:szCs w:val="21"/>
                <w:highlight w:val="none"/>
                <w:lang w:val="en-US" w:eastAsia="zh-CN"/>
              </w:rPr>
              <w:t>评审</w:t>
            </w:r>
            <w:r>
              <w:rPr>
                <w:rFonts w:hint="eastAsia" w:ascii="宋体" w:hAnsi="宋体" w:eastAsia="宋体" w:cs="宋体"/>
                <w:bCs/>
                <w:color w:val="000000"/>
                <w:szCs w:val="21"/>
                <w:highlight w:val="none"/>
              </w:rPr>
              <w:t>项目的具体分值，各项分值之和为100分，该项权重为</w:t>
            </w:r>
            <w:r>
              <w:rPr>
                <w:rFonts w:hint="default" w:ascii="仿宋_GB2312" w:hAnsi="仿宋" w:cs="仿宋"/>
                <w:lang w:val="en-US" w:eastAsia="zh-CN"/>
              </w:rPr>
              <w:t>≤</w:t>
            </w:r>
            <w:r>
              <w:rPr>
                <w:rFonts w:hint="eastAsia" w:ascii="仿宋_GB2312" w:hAnsi="仿宋" w:cs="仿宋"/>
                <w:lang w:val="en-US" w:eastAsia="zh-CN"/>
              </w:rPr>
              <w:t>20%</w:t>
            </w:r>
            <w:r>
              <w:rPr>
                <w:rFonts w:hint="eastAsia" w:ascii="宋体" w:hAnsi="宋体" w:eastAsia="宋体" w:cs="宋体"/>
                <w:bCs/>
                <w:color w:val="000000"/>
                <w:szCs w:val="21"/>
                <w:highlight w:val="none"/>
              </w:rPr>
              <w:t>；</w:t>
            </w:r>
          </w:p>
          <w:p>
            <w:pPr>
              <w:tabs>
                <w:tab w:val="left" w:pos="312"/>
              </w:tabs>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2．计分表中的评审标准为通用模板，招标人可根据项目的实际情况对评审标准进行补充，补充内容列入“其他”栏；</w:t>
            </w:r>
          </w:p>
          <w:p>
            <w:pPr>
              <w:tabs>
                <w:tab w:val="left" w:pos="312"/>
              </w:tabs>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3．专业工程招标时，招标人可根据项目实际情况对评审计分表中的评</w:t>
            </w:r>
            <w:r>
              <w:rPr>
                <w:rFonts w:hint="eastAsia" w:ascii="宋体" w:hAnsi="宋体" w:eastAsia="宋体" w:cs="宋体"/>
                <w:bCs/>
                <w:color w:val="000000"/>
                <w:szCs w:val="21"/>
                <w:highlight w:val="none"/>
                <w:lang w:val="en-US" w:eastAsia="zh-CN"/>
              </w:rPr>
              <w:t>审</w:t>
            </w:r>
            <w:r>
              <w:rPr>
                <w:rFonts w:hint="eastAsia" w:ascii="宋体" w:hAnsi="宋体" w:eastAsia="宋体" w:cs="宋体"/>
                <w:bCs/>
                <w:color w:val="000000"/>
                <w:szCs w:val="21"/>
                <w:highlight w:val="none"/>
              </w:rPr>
              <w:t>项目</w:t>
            </w:r>
            <w:r>
              <w:rPr>
                <w:rFonts w:hint="eastAsia" w:ascii="宋体" w:hAnsi="宋体" w:eastAsia="宋体" w:cs="宋体"/>
                <w:bCs/>
                <w:color w:val="000000"/>
                <w:szCs w:val="21"/>
                <w:highlight w:val="none"/>
                <w:lang w:val="en-US" w:eastAsia="zh-CN"/>
              </w:rPr>
              <w:t>及分值范围</w:t>
            </w:r>
            <w:r>
              <w:rPr>
                <w:rFonts w:hint="eastAsia" w:ascii="宋体" w:hAnsi="宋体" w:eastAsia="宋体" w:cs="宋体"/>
                <w:bCs/>
                <w:color w:val="000000"/>
                <w:szCs w:val="21"/>
                <w:highlight w:val="none"/>
              </w:rPr>
              <w:t>、评审标准进行适当调整；</w:t>
            </w:r>
          </w:p>
          <w:p>
            <w:pPr>
              <w:tabs>
                <w:tab w:val="left" w:pos="312"/>
              </w:tabs>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4</w:t>
            </w:r>
            <w:r>
              <w:rPr>
                <w:rFonts w:hint="eastAsia" w:ascii="宋体" w:hAnsi="宋体" w:eastAsia="宋体" w:cs="宋体"/>
                <w:bCs/>
                <w:color w:val="000000"/>
                <w:szCs w:val="21"/>
                <w:highlight w:val="none"/>
              </w:rPr>
              <w:t>．技术方案中应当具备的</w:t>
            </w:r>
            <w:r>
              <w:rPr>
                <w:rFonts w:hint="eastAsia" w:ascii="宋体" w:hAnsi="宋体" w:cs="宋体"/>
                <w:bCs/>
                <w:color w:val="000000"/>
                <w:szCs w:val="21"/>
                <w:highlight w:val="none"/>
                <w:lang w:val="en-US" w:eastAsia="zh-CN"/>
              </w:rPr>
              <w:t>评审</w:t>
            </w:r>
            <w:r>
              <w:rPr>
                <w:rFonts w:hint="eastAsia" w:ascii="宋体" w:hAnsi="宋体" w:eastAsia="宋体" w:cs="宋体"/>
                <w:bCs/>
                <w:color w:val="000000"/>
                <w:szCs w:val="21"/>
                <w:highlight w:val="none"/>
              </w:rPr>
              <w:t>项目缺项的，该项目计零分；</w:t>
            </w:r>
          </w:p>
          <w:p>
            <w:pPr>
              <w:tabs>
                <w:tab w:val="left" w:pos="312"/>
              </w:tabs>
              <w:ind w:firstLine="420" w:firstLineChars="200"/>
              <w:rPr>
                <w:rFonts w:hint="eastAsia" w:ascii="宋体" w:hAnsi="宋体" w:eastAsia="宋体" w:cs="宋体"/>
                <w:b/>
                <w:color w:val="000000"/>
                <w:szCs w:val="21"/>
                <w:highlight w:val="none"/>
              </w:rPr>
            </w:pPr>
            <w:r>
              <w:rPr>
                <w:rFonts w:hint="eastAsia" w:ascii="宋体" w:hAnsi="宋体" w:eastAsia="宋体" w:cs="宋体"/>
                <w:bCs/>
                <w:color w:val="000000"/>
                <w:szCs w:val="21"/>
                <w:highlight w:val="none"/>
                <w:lang w:val="en-US" w:eastAsia="zh-CN"/>
              </w:rPr>
              <w:t>5</w:t>
            </w:r>
            <w:r>
              <w:rPr>
                <w:rFonts w:hint="eastAsia" w:ascii="宋体" w:hAnsi="宋体" w:eastAsia="宋体" w:cs="宋体"/>
                <w:bCs/>
                <w:color w:val="000000"/>
                <w:szCs w:val="21"/>
                <w:highlight w:val="none"/>
              </w:rPr>
              <w:t>．</w:t>
            </w:r>
            <w:r>
              <w:rPr>
                <w:rFonts w:hint="eastAsia" w:ascii="宋体" w:hAnsi="宋体" w:eastAsia="宋体" w:cs="宋体"/>
                <w:bCs/>
                <w:color w:val="000000"/>
                <w:szCs w:val="21"/>
                <w:highlight w:val="none"/>
                <w:lang w:eastAsia="zh-CN"/>
              </w:rPr>
              <w:t>评委对各投标人同一评分内容量化打分时，如最高得分与最低得分相差25%（含25%）以上时，应做出合理的解释说明，否则不予计分。</w:t>
            </w:r>
            <w:r>
              <w:rPr>
                <w:rFonts w:hint="eastAsia" w:ascii="宋体" w:hAnsi="宋体" w:eastAsia="宋体" w:cs="宋体"/>
                <w:bCs/>
                <w:color w:val="000000"/>
                <w:szCs w:val="21"/>
                <w:highlight w:val="none"/>
              </w:rPr>
              <w:t>技术标评标时凡被评标委员会明确为明示和暗示的，应在技术标总得分（乘完权重后）中扣除：明示扣5分，暗示扣3分。</w:t>
            </w:r>
          </w:p>
          <w:p>
            <w:pPr>
              <w:tabs>
                <w:tab w:val="left" w:pos="312"/>
              </w:tabs>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6</w:t>
            </w:r>
            <w:r>
              <w:rPr>
                <w:rFonts w:hint="eastAsia" w:ascii="宋体" w:hAnsi="宋体" w:eastAsia="宋体" w:cs="宋体"/>
                <w:bCs/>
                <w:color w:val="000000"/>
                <w:szCs w:val="21"/>
                <w:highlight w:val="none"/>
              </w:rPr>
              <w:t>．由评标委员会独立评审计分，投标人的得分为去掉一个评审计分最高分和一个最低分后的平均值</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结果保留两位小数</w:t>
            </w:r>
            <w:r>
              <w:rPr>
                <w:rFonts w:hint="eastAsia" w:ascii="宋体" w:hAnsi="宋体" w:eastAsia="宋体" w:cs="宋体"/>
                <w:bCs/>
                <w:color w:val="000000"/>
                <w:szCs w:val="21"/>
                <w:highlight w:val="none"/>
              </w:rPr>
              <w:t>。</w:t>
            </w:r>
          </w:p>
        </w:tc>
      </w:tr>
    </w:tbl>
    <w:p>
      <w:pPr>
        <w:pStyle w:val="11"/>
        <w:rPr>
          <w:rFonts w:hint="eastAsia"/>
        </w:rPr>
      </w:pPr>
    </w:p>
    <w:p>
      <w:pPr>
        <w:pStyle w:val="11"/>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br w:type="page"/>
      </w:r>
    </w:p>
    <w:p>
      <w:pPr>
        <w:pStyle w:val="2"/>
        <w:ind w:left="0" w:leftChars="0" w:firstLine="0" w:firstLineChars="0"/>
        <w:rPr>
          <w:rFonts w:hint="eastAsia" w:ascii="宋体" w:hAnsi="宋体" w:eastAsia="宋体" w:cs="宋体"/>
          <w:color w:val="000000"/>
          <w:sz w:val="24"/>
          <w:highlight w:val="none"/>
        </w:rPr>
      </w:pPr>
      <w:r>
        <w:rPr>
          <w:rFonts w:hint="eastAsia" w:ascii="仿宋" w:hAnsi="仿宋" w:eastAsia="仿宋" w:cs="仿宋"/>
          <w:sz w:val="32"/>
          <w:szCs w:val="32"/>
          <w:lang w:val="en-US" w:eastAsia="zh-CN"/>
        </w:rPr>
        <w:t>附表3-4：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b/>
          <w:bCs/>
          <w:color w:val="000000"/>
          <w:sz w:val="32"/>
          <w:szCs w:val="32"/>
          <w:highlight w:val="none"/>
          <w:lang w:eastAsia="zh-CN"/>
        </w:rPr>
        <w:t>技术标</w:t>
      </w:r>
      <w:r>
        <w:rPr>
          <w:rFonts w:hint="eastAsia" w:ascii="仿宋" w:hAnsi="仿宋" w:eastAsia="仿宋" w:cs="仿宋"/>
          <w:b/>
          <w:bCs/>
          <w:color w:val="000000"/>
          <w:sz w:val="32"/>
          <w:szCs w:val="32"/>
          <w:highlight w:val="none"/>
          <w:lang w:val="en-US" w:eastAsia="zh-CN"/>
        </w:rPr>
        <w:t>定性</w:t>
      </w:r>
      <w:r>
        <w:rPr>
          <w:rFonts w:hint="eastAsia" w:ascii="仿宋" w:hAnsi="仿宋" w:eastAsia="仿宋" w:cs="仿宋"/>
          <w:b/>
          <w:bCs/>
          <w:color w:val="000000"/>
          <w:sz w:val="32"/>
          <w:szCs w:val="32"/>
          <w:highlight w:val="none"/>
          <w:lang w:eastAsia="zh-CN"/>
        </w:rPr>
        <w:t>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适用于房屋建筑工程可行性研究、方案设计完成后启动的招标</w:t>
      </w:r>
      <w:r>
        <w:rPr>
          <w:rFonts w:hint="eastAsia" w:ascii="宋体" w:hAnsi="宋体" w:cs="宋体"/>
          <w:b/>
          <w:bCs/>
          <w:color w:val="000000"/>
          <w:sz w:val="24"/>
          <w:szCs w:val="24"/>
          <w:highlight w:val="none"/>
          <w:lang w:eastAsia="zh-CN"/>
        </w:rPr>
        <w:t>）</w:t>
      </w:r>
    </w:p>
    <w:tbl>
      <w:tblPr>
        <w:tblStyle w:val="12"/>
        <w:tblW w:w="10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500"/>
        <w:gridCol w:w="978"/>
        <w:gridCol w:w="3966"/>
        <w:gridCol w:w="1645"/>
        <w:gridCol w:w="23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2" w:type="dxa"/>
            <w:vAlign w:val="center"/>
          </w:tcPr>
          <w:p>
            <w:pPr>
              <w:jc w:val="cente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序号</w:t>
            </w:r>
          </w:p>
        </w:tc>
        <w:tc>
          <w:tcPr>
            <w:tcW w:w="1478" w:type="dxa"/>
            <w:gridSpan w:val="2"/>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评审项目</w:t>
            </w:r>
          </w:p>
        </w:tc>
        <w:tc>
          <w:tcPr>
            <w:tcW w:w="3966" w:type="dxa"/>
            <w:tcBorders>
              <w:righ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内容</w:t>
            </w:r>
          </w:p>
        </w:tc>
        <w:tc>
          <w:tcPr>
            <w:tcW w:w="1645" w:type="dxa"/>
            <w:tcBorders>
              <w:left w:val="single" w:color="auto" w:sz="4" w:space="0"/>
            </w:tcBorders>
            <w:vAlign w:val="center"/>
          </w:tcPr>
          <w:p>
            <w:pPr>
              <w:jc w:val="center"/>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优点</w:t>
            </w:r>
          </w:p>
        </w:tc>
        <w:tc>
          <w:tcPr>
            <w:tcW w:w="2377" w:type="dxa"/>
            <w:tcBorders>
              <w:left w:val="single" w:color="auto" w:sz="4" w:space="0"/>
            </w:tcBorders>
            <w:vAlign w:val="center"/>
          </w:tcPr>
          <w:p>
            <w:pPr>
              <w:jc w:val="center"/>
              <w:rPr>
                <w:rFonts w:hint="default"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p>
        </w:tc>
        <w:tc>
          <w:tcPr>
            <w:tcW w:w="500" w:type="dxa"/>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设计方案</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设计</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说明</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966" w:type="dxa"/>
            <w:tcBorders>
              <w:right w:val="single" w:color="auto" w:sz="4" w:space="0"/>
            </w:tcBorders>
            <w:vAlign w:val="center"/>
          </w:tcPr>
          <w:p>
            <w:pPr>
              <w:numPr>
                <w:ilvl w:val="0"/>
                <w:numId w:val="0"/>
              </w:numPr>
              <w:jc w:val="left"/>
              <w:rPr>
                <w:rFonts w:hint="default"/>
                <w:lang w:val="en-US"/>
              </w:rPr>
            </w:pPr>
            <w:r>
              <w:rPr>
                <w:rFonts w:hint="eastAsia"/>
              </w:rPr>
              <w:t>各专业设计说明</w:t>
            </w:r>
            <w:r>
              <w:rPr>
                <w:rFonts w:hint="eastAsia"/>
                <w:lang w:val="en-US" w:eastAsia="zh-CN"/>
              </w:rPr>
              <w:t>情况</w:t>
            </w:r>
            <w:r>
              <w:rPr>
                <w:rFonts w:hint="eastAsia"/>
              </w:rPr>
              <w:t>；项目规划设计各项指标是否满足任务书及规划设计要点，是否科学、合理；技术指标是否满足任务书要求，是否符合规划要求；</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总平面图布局及建筑功能</w:t>
            </w:r>
          </w:p>
        </w:tc>
        <w:tc>
          <w:tcPr>
            <w:tcW w:w="3966" w:type="dxa"/>
            <w:tcBorders>
              <w:right w:val="single" w:color="auto" w:sz="4" w:space="0"/>
            </w:tcBorders>
            <w:vAlign w:val="center"/>
          </w:tcPr>
          <w:p>
            <w:pPr>
              <w:numPr>
                <w:ilvl w:val="0"/>
                <w:numId w:val="0"/>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规划构思与功能布局是否新颖、合理；与周边环境是否协调；竖向设计是否合理；综合管网设计是否完整；交通流线及开口是否合理可行；停车位布置、消防、日照间距是否满足要求；建筑平面功能要求是否满足设计任务书要求；工艺系统流程设计是否符合设计任务书要求等。</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建筑造型</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966" w:type="dxa"/>
            <w:tcBorders>
              <w:right w:val="single" w:color="auto" w:sz="4" w:space="0"/>
            </w:tcBorders>
            <w:vAlign w:val="center"/>
          </w:tcPr>
          <w:p>
            <w:pPr>
              <w:numPr>
                <w:ilvl w:val="0"/>
                <w:numId w:val="0"/>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建筑创意、空间处理是否合理；立面造型、比例尺度是否和谐美观；建筑的功能和形式是否统一；功能与形式是否统一；与周围环境是否相协调；是否能够较好的体现建筑风格等。</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结构及设备方案</w:t>
            </w:r>
          </w:p>
        </w:tc>
        <w:tc>
          <w:tcPr>
            <w:tcW w:w="3966" w:type="dxa"/>
            <w:tcBorders>
              <w:right w:val="single" w:color="auto" w:sz="4" w:space="0"/>
            </w:tcBorders>
            <w:vAlign w:val="center"/>
          </w:tcPr>
          <w:p>
            <w:pPr>
              <w:numPr>
                <w:ilvl w:val="0"/>
                <w:numId w:val="0"/>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结构方案的选型是否合理可行、是否满足设计任务书要求；结构方案的设计依据是否符合规范及标准要求；设备方案的选型是否合理可行、是否满足设计任务书要求等。</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绿色建筑与装配式建筑设计</w:t>
            </w:r>
          </w:p>
        </w:tc>
        <w:tc>
          <w:tcPr>
            <w:tcW w:w="3966" w:type="dxa"/>
            <w:tcBorders>
              <w:right w:val="single" w:color="auto" w:sz="4" w:space="0"/>
            </w:tcBorders>
            <w:vAlign w:val="center"/>
          </w:tcPr>
          <w:p>
            <w:pPr>
              <w:numPr>
                <w:ilvl w:val="0"/>
                <w:numId w:val="0"/>
              </w:num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绿色建筑（建筑节能）措施是否科学、合理；装配式技术（如有）是否合理、可行等。</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设计</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深度</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p>
        </w:tc>
        <w:tc>
          <w:tcPr>
            <w:tcW w:w="3966" w:type="dxa"/>
            <w:tcBorders>
              <w:right w:val="single" w:color="auto" w:sz="4" w:space="0"/>
            </w:tcBorders>
            <w:vAlign w:val="center"/>
          </w:tcPr>
          <w:p>
            <w:pPr>
              <w:numPr>
                <w:ilvl w:val="0"/>
                <w:numId w:val="0"/>
              </w:numPr>
              <w:jc w:val="left"/>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是否符合设计任务书要求；是否满足国家规定的《建筑工程设计文件编制深度规定》等。</w:t>
            </w:r>
          </w:p>
        </w:tc>
        <w:tc>
          <w:tcPr>
            <w:tcW w:w="1645"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732"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p>
        </w:tc>
        <w:tc>
          <w:tcPr>
            <w:tcW w:w="500" w:type="dxa"/>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总承包</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实施方</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案</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78" w:type="dxa"/>
            <w:vAlign w:val="center"/>
          </w:tcPr>
          <w:p>
            <w:pPr>
              <w:shd w:val="clear" w:color="auto" w:fill="auto"/>
              <w:jc w:val="center"/>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总承包管理方案及措施</w:t>
            </w:r>
          </w:p>
        </w:tc>
        <w:tc>
          <w:tcPr>
            <w:tcW w:w="3966" w:type="dxa"/>
            <w:tcBorders>
              <w:right w:val="single" w:color="auto" w:sz="4" w:space="0"/>
            </w:tcBorders>
            <w:vAlign w:val="center"/>
          </w:tcPr>
          <w:p>
            <w:pPr>
              <w:widowControl/>
              <w:numPr>
                <w:ilvl w:val="0"/>
                <w:numId w:val="0"/>
              </w:numPr>
              <w:shd w:val="clear" w:color="auto" w:fill="auto"/>
              <w:jc w:val="left"/>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总承包管理方案是否清晰并切实可行；内容是否全面、完整；部署及措施是否合理、先进、可靠；能否满足项目管理需要等。</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978" w:type="dxa"/>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总承包管理重点、难点分析</w:t>
            </w:r>
          </w:p>
        </w:tc>
        <w:tc>
          <w:tcPr>
            <w:tcW w:w="3966" w:type="dxa"/>
            <w:tcBorders>
              <w:right w:val="single" w:color="auto" w:sz="4" w:space="0"/>
            </w:tcBorders>
            <w:vAlign w:val="center"/>
          </w:tcPr>
          <w:p>
            <w:pPr>
              <w:numPr>
                <w:ilvl w:val="0"/>
                <w:numId w:val="0"/>
              </w:numPr>
              <w:shd w:val="clear" w:color="auto" w:fill="auto"/>
              <w:jc w:val="left"/>
              <w:rPr>
                <w:rFonts w:hint="eastAsia" w:eastAsia="宋体"/>
                <w:color w:val="000000" w:themeColor="text1"/>
                <w:lang w:eastAsia="zh-CN"/>
                <w14:textFill>
                  <w14:solidFill>
                    <w14:schemeClr w14:val="tx1"/>
                  </w14:solidFill>
                </w14:textFill>
              </w:rPr>
            </w:pPr>
            <w:r>
              <w:rPr>
                <w:rFonts w:hint="eastAsia"/>
                <w:color w:val="000000"/>
                <w:highlight w:val="none"/>
              </w:rPr>
              <w:t>总承包管理重难点控制是否得当；处置措施是否具备针对性；能否满足项目需要等</w:t>
            </w:r>
            <w:r>
              <w:rPr>
                <w:rFonts w:hint="eastAsia"/>
                <w:color w:val="000000"/>
                <w:highlight w:val="none"/>
                <w:lang w:eastAsia="zh-CN"/>
              </w:rPr>
              <w:t>。</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1" w:hRule="atLeast"/>
          <w:jc w:val="center"/>
        </w:trPr>
        <w:tc>
          <w:tcPr>
            <w:tcW w:w="732"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500" w:type="dxa"/>
            <w:vMerge w:val="restart"/>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szCs w:val="21"/>
                <w:highlight w:val="none"/>
              </w:rPr>
              <w:t>施工组织设计</w:t>
            </w:r>
          </w:p>
        </w:tc>
        <w:tc>
          <w:tcPr>
            <w:tcW w:w="978" w:type="dxa"/>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施工方案与技术措施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 xml:space="preserve">              </w:t>
            </w:r>
          </w:p>
        </w:tc>
        <w:tc>
          <w:tcPr>
            <w:tcW w:w="3966" w:type="dxa"/>
            <w:tcBorders>
              <w:right w:val="single" w:color="auto" w:sz="4" w:space="0"/>
            </w:tcBorders>
            <w:vAlign w:val="center"/>
          </w:tcPr>
          <w:p>
            <w:pPr>
              <w:numPr>
                <w:ilvl w:val="0"/>
                <w:numId w:val="0"/>
              </w:numPr>
              <w:shd w:val="clear" w:color="auto" w:fill="auto"/>
              <w:jc w:val="left"/>
              <w:rPr>
                <w:rFonts w:hint="eastAsia"/>
                <w:color w:val="000000" w:themeColor="text1"/>
                <w14:textFill>
                  <w14:solidFill>
                    <w14:schemeClr w14:val="tx1"/>
                  </w14:solidFill>
                </w14:textFill>
              </w:rPr>
            </w:pPr>
            <w:r>
              <w:rPr>
                <w:rFonts w:hint="eastAsia"/>
                <w:color w:val="000000"/>
                <w:highlight w:val="none"/>
              </w:rPr>
              <w:t>对项目总体概况</w:t>
            </w:r>
            <w:r>
              <w:rPr>
                <w:rFonts w:hint="eastAsia"/>
                <w:color w:val="000000"/>
                <w:highlight w:val="none"/>
                <w:lang w:val="en-US" w:eastAsia="zh-CN"/>
              </w:rPr>
              <w:t>的</w:t>
            </w:r>
            <w:r>
              <w:rPr>
                <w:rFonts w:hint="eastAsia"/>
                <w:color w:val="000000"/>
                <w:highlight w:val="none"/>
              </w:rPr>
              <w:t>表述</w:t>
            </w:r>
            <w:r>
              <w:rPr>
                <w:rFonts w:hint="eastAsia"/>
                <w:color w:val="000000"/>
                <w:highlight w:val="none"/>
                <w:lang w:val="en-US" w:eastAsia="zh-CN"/>
              </w:rPr>
              <w:t>情况</w:t>
            </w:r>
            <w:r>
              <w:rPr>
                <w:rFonts w:hint="eastAsia"/>
                <w:color w:val="000000"/>
                <w:highlight w:val="none"/>
              </w:rPr>
              <w:t>；部署及措施是否先进、可靠；针对项目的重点、难点分析是否透彻，解决方案是否切实可行；施工平面布置是否有针对性、合理，较好满足施工需要，是否符合安全、文明生产要求等。</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5"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管理体系与措施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3966" w:type="dxa"/>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质量、安全、环境保护目标是否明确；管理机构是否健全；职责分工是否明确；管理制度是否健全；实施与监控措施是否全面、有效；总工期及节点工期是否满足招标文件要求；施工进度计划内容是否全面；措施是否有力；计划编制是否合理、可行等。</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978" w:type="dxa"/>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资源配备计划</w:t>
            </w:r>
          </w:p>
        </w:tc>
        <w:tc>
          <w:tcPr>
            <w:tcW w:w="3966" w:type="dxa"/>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资源投入计划、施工部署、施工方法与进度计划是否能够相互呼应并较好的满足施工需要；调配投入计划是否合理、准确等。</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732"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1478" w:type="dxa"/>
            <w:gridSpan w:val="2"/>
            <w:vAlign w:val="center"/>
          </w:tcPr>
          <w:p>
            <w:pPr>
              <w:shd w:val="clear" w:color="auto" w:fill="auto"/>
              <w:jc w:val="both"/>
              <w:rPr>
                <w:rFonts w:hint="eastAsia" w:ascii="Times New Roman" w:hAnsi="Times New Roman" w:eastAsia="宋体" w:cs="Times New Roman"/>
                <w:kern w:val="2"/>
                <w:sz w:val="21"/>
                <w:szCs w:val="24"/>
                <w:lang w:val="en-US" w:eastAsia="zh-CN" w:bidi="ar-SA"/>
              </w:rPr>
            </w:pPr>
          </w:p>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风险防范方案</w:t>
            </w:r>
          </w:p>
          <w:p>
            <w:pPr>
              <w:jc w:val="center"/>
              <w:rPr>
                <w:rFonts w:hint="eastAsia" w:ascii="宋体" w:hAnsi="宋体" w:eastAsia="宋体" w:cs="宋体"/>
                <w:kern w:val="2"/>
                <w:sz w:val="21"/>
                <w:szCs w:val="24"/>
                <w:highlight w:val="yellow"/>
                <w:lang w:val="en-US" w:eastAsia="zh-CN" w:bidi="ar-SA"/>
              </w:rPr>
            </w:pPr>
          </w:p>
        </w:tc>
        <w:tc>
          <w:tcPr>
            <w:tcW w:w="3966" w:type="dxa"/>
            <w:tcBorders>
              <w:right w:val="single" w:color="auto" w:sz="4" w:space="0"/>
            </w:tcBorders>
            <w:vAlign w:val="center"/>
          </w:tcPr>
          <w:p>
            <w:pPr>
              <w:spacing w:line="440" w:lineRule="exact"/>
              <w:rPr>
                <w:rFonts w:hint="eastAsia" w:ascii="宋体" w:hAnsi="宋体" w:eastAsia="宋体" w:cs="Times New Roman"/>
                <w:color w:val="auto"/>
                <w:kern w:val="2"/>
                <w:sz w:val="21"/>
                <w:szCs w:val="24"/>
                <w:highlight w:val="yellow"/>
                <w:lang w:val="en-US" w:eastAsia="zh-CN" w:bidi="ar-SA"/>
              </w:rPr>
            </w:pPr>
            <w:r>
              <w:rPr>
                <w:rFonts w:hint="eastAsia"/>
                <w:lang w:val="en-US" w:eastAsia="zh-CN"/>
              </w:rPr>
              <w:t>市场价格变动的风险、设计变更的风险、施工技术及组织管理变化造成的风险是否切实可行、有针对性。</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732" w:type="dxa"/>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500" w:type="dxa"/>
            <w:vMerge w:val="restart"/>
            <w:vAlign w:val="center"/>
          </w:tcPr>
          <w:p>
            <w:pPr>
              <w:shd w:val="clear" w:color="auto" w:fill="auto"/>
              <w:jc w:val="center"/>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建筑信息模型及其他</w:t>
            </w:r>
          </w:p>
          <w:p>
            <w:pPr>
              <w:jc w:val="center"/>
              <w:rPr>
                <w:rFonts w:hint="eastAsia" w:ascii="宋体" w:hAnsi="宋体" w:eastAsia="宋体" w:cs="宋体"/>
                <w:kern w:val="2"/>
                <w:sz w:val="21"/>
                <w:szCs w:val="24"/>
                <w:highlight w:val="yellow"/>
                <w:lang w:val="en-US" w:eastAsia="zh-CN" w:bidi="ar-SA"/>
              </w:rPr>
            </w:pPr>
          </w:p>
        </w:tc>
        <w:tc>
          <w:tcPr>
            <w:tcW w:w="978" w:type="dxa"/>
            <w:vAlign w:val="center"/>
          </w:tcPr>
          <w:p>
            <w:pPr>
              <w:shd w:val="clear" w:color="auto" w:fill="auto"/>
              <w:jc w:val="center"/>
              <w:rPr>
                <w:rFonts w:hint="eastAsia"/>
              </w:rPr>
            </w:pPr>
            <w:r>
              <w:rPr>
                <w:rFonts w:hint="eastAsia"/>
              </w:rPr>
              <w:t>BIM技术应用</w:t>
            </w:r>
          </w:p>
          <w:p>
            <w:pPr>
              <w:pStyle w:val="11"/>
              <w:rPr>
                <w:rFonts w:hint="default" w:eastAsia="宋体"/>
                <w:lang w:val="en-US" w:eastAsia="zh-CN"/>
              </w:rPr>
            </w:pPr>
          </w:p>
        </w:tc>
        <w:tc>
          <w:tcPr>
            <w:tcW w:w="3966" w:type="dxa"/>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BIM技术应用管理体系、管理制度、保障措施</w:t>
            </w:r>
            <w:r>
              <w:rPr>
                <w:rFonts w:hint="eastAsia" w:ascii="宋体" w:hAnsi="宋体" w:cs="宋体"/>
                <w:color w:val="000000"/>
                <w:kern w:val="0"/>
                <w:szCs w:val="21"/>
                <w:highlight w:val="none"/>
                <w:lang w:val="en-US" w:eastAsia="zh-CN"/>
              </w:rPr>
              <w:t>情况；</w:t>
            </w:r>
            <w:r>
              <w:rPr>
                <w:rFonts w:hint="eastAsia" w:ascii="宋体" w:hAnsi="宋体" w:eastAsia="宋体" w:cs="宋体"/>
                <w:color w:val="000000"/>
                <w:kern w:val="0"/>
                <w:szCs w:val="21"/>
                <w:highlight w:val="none"/>
              </w:rPr>
              <w:t>BIM应用流程与计划</w:t>
            </w:r>
            <w:r>
              <w:rPr>
                <w:rFonts w:hint="eastAsia" w:ascii="宋体" w:hAnsi="宋体" w:cs="宋体"/>
                <w:color w:val="000000"/>
                <w:kern w:val="0"/>
                <w:szCs w:val="21"/>
                <w:highlight w:val="none"/>
                <w:lang w:val="en-US" w:eastAsia="zh-CN"/>
              </w:rPr>
              <w:t>完整有效性情况</w:t>
            </w:r>
            <w:r>
              <w:rPr>
                <w:rFonts w:hint="eastAsia" w:ascii="宋体" w:hAnsi="宋体" w:eastAsia="宋体" w:cs="宋体"/>
                <w:color w:val="000000"/>
                <w:kern w:val="0"/>
                <w:szCs w:val="21"/>
                <w:highlight w:val="none"/>
              </w:rPr>
              <w:t>；重点工艺节点及施工流程BIM三维模型科学、合理</w:t>
            </w:r>
            <w:r>
              <w:rPr>
                <w:rFonts w:hint="eastAsia" w:ascii="宋体" w:hAnsi="宋体" w:cs="宋体"/>
                <w:color w:val="000000"/>
                <w:kern w:val="0"/>
                <w:szCs w:val="21"/>
                <w:highlight w:val="none"/>
                <w:lang w:val="en-US" w:eastAsia="zh-CN"/>
              </w:rPr>
              <w:t>性</w:t>
            </w:r>
            <w:r>
              <w:rPr>
                <w:rFonts w:hint="eastAsia" w:ascii="宋体" w:hAnsi="宋体" w:eastAsia="宋体" w:cs="宋体"/>
                <w:color w:val="000000"/>
                <w:kern w:val="0"/>
                <w:szCs w:val="21"/>
                <w:highlight w:val="none"/>
              </w:rPr>
              <w:t>等</w:t>
            </w:r>
            <w:r>
              <w:rPr>
                <w:rFonts w:hint="eastAsia" w:ascii="宋体" w:hAnsi="宋体" w:eastAsia="宋体" w:cs="宋体"/>
                <w:color w:val="000000"/>
                <w:kern w:val="0"/>
                <w:szCs w:val="21"/>
                <w:highlight w:val="none"/>
                <w:lang w:eastAsia="zh-CN"/>
              </w:rPr>
              <w:t>。</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4" w:hRule="atLeast"/>
          <w:jc w:val="center"/>
        </w:trPr>
        <w:tc>
          <w:tcPr>
            <w:tcW w:w="732" w:type="dxa"/>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00" w:type="dxa"/>
            <w:vMerge w:val="continue"/>
            <w:vAlign w:val="center"/>
          </w:tcPr>
          <w:p>
            <w:pPr>
              <w:jc w:val="center"/>
              <w:rPr>
                <w:rFonts w:hint="eastAsia" w:ascii="宋体" w:hAnsi="宋体" w:eastAsia="宋体" w:cs="宋体"/>
                <w:kern w:val="2"/>
                <w:sz w:val="21"/>
                <w:szCs w:val="24"/>
                <w:highlight w:val="yellow"/>
                <w:lang w:val="en-US" w:eastAsia="zh-CN" w:bidi="ar-SA"/>
              </w:rPr>
            </w:pPr>
          </w:p>
        </w:tc>
        <w:tc>
          <w:tcPr>
            <w:tcW w:w="978" w:type="dxa"/>
            <w:vAlign w:val="center"/>
          </w:tcPr>
          <w:p>
            <w:pPr>
              <w:widowControl/>
              <w:spacing w:line="280" w:lineRule="exact"/>
              <w:jc w:val="center"/>
              <w:rPr>
                <w:rFonts w:hint="eastAsia" w:ascii="宋体" w:hAnsi="宋体" w:eastAsia="宋体" w:cs="宋体"/>
                <w:bCs/>
                <w:kern w:val="0"/>
                <w:sz w:val="21"/>
              </w:rPr>
            </w:pPr>
            <w:r>
              <w:rPr>
                <w:rFonts w:hint="eastAsia" w:ascii="宋体" w:hAnsi="宋体" w:eastAsia="宋体" w:cs="宋体"/>
                <w:bCs/>
                <w:kern w:val="0"/>
                <w:sz w:val="21"/>
              </w:rPr>
              <w:t>其他</w:t>
            </w:r>
            <w:r>
              <w:rPr>
                <w:rFonts w:hint="eastAsia" w:ascii="宋体" w:hAnsi="宋体" w:eastAsia="宋体" w:cs="宋体"/>
                <w:kern w:val="0"/>
                <w:sz w:val="21"/>
              </w:rPr>
              <w:t>（如有）</w:t>
            </w:r>
          </w:p>
          <w:p>
            <w:pPr>
              <w:jc w:val="center"/>
              <w:rPr>
                <w:rFonts w:hint="eastAsia" w:ascii="宋体" w:hAnsi="宋体" w:eastAsia="宋体" w:cs="宋体"/>
                <w:kern w:val="2"/>
                <w:sz w:val="21"/>
                <w:szCs w:val="24"/>
                <w:highlight w:val="yellow"/>
                <w:lang w:val="en-US" w:eastAsia="zh-CN" w:bidi="ar-SA"/>
              </w:rPr>
            </w:pPr>
          </w:p>
        </w:tc>
        <w:tc>
          <w:tcPr>
            <w:tcW w:w="3966" w:type="dxa"/>
            <w:tcBorders>
              <w:right w:val="single" w:color="auto" w:sz="4" w:space="0"/>
            </w:tcBorders>
            <w:vAlign w:val="center"/>
          </w:tcPr>
          <w:p>
            <w:pPr>
              <w:jc w:val="left"/>
              <w:rPr>
                <w:rFonts w:hint="default" w:ascii="宋体" w:hAnsi="宋体" w:eastAsia="宋体" w:cs="Times New Roman"/>
                <w:color w:val="auto"/>
                <w:kern w:val="2"/>
                <w:sz w:val="21"/>
                <w:szCs w:val="24"/>
                <w:highlight w:val="yellow"/>
                <w:lang w:val="en-US" w:eastAsia="zh-CN" w:bidi="ar-SA"/>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r>
              <w:rPr>
                <w:rFonts w:hint="eastAsia"/>
                <w:lang w:val="en-US" w:eastAsia="zh-CN"/>
              </w:rPr>
              <w:t>是否切实可行、有针对性。</w:t>
            </w:r>
          </w:p>
        </w:tc>
        <w:tc>
          <w:tcPr>
            <w:tcW w:w="1645"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377" w:type="dxa"/>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198" w:type="dxa"/>
            <w:gridSpan w:val="6"/>
            <w:tcBorders>
              <w:top w:val="single" w:color="auto" w:sz="4" w:space="0"/>
              <w:bottom w:val="single" w:color="auto" w:sz="4" w:space="0"/>
            </w:tcBorders>
            <w:vAlign w:val="center"/>
          </w:tcPr>
          <w:p>
            <w:pPr>
              <w:tabs>
                <w:tab w:val="left" w:pos="312"/>
              </w:tabs>
              <w:ind w:firstLine="420" w:firstLineChars="200"/>
              <w:rPr>
                <w:rFonts w:hint="eastAsia" w:ascii="宋体" w:hAnsi="宋体" w:eastAsia="宋体" w:cs="宋体"/>
                <w:color w:val="000000"/>
                <w:kern w:val="0"/>
                <w:szCs w:val="21"/>
                <w:highlight w:val="none"/>
                <w:lang w:val="en-US" w:eastAsia="zh-CN"/>
              </w:rPr>
            </w:pP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198" w:type="dxa"/>
            <w:gridSpan w:val="6"/>
            <w:tcBorders>
              <w:top w:val="single" w:color="auto" w:sz="4" w:space="0"/>
            </w:tcBorders>
            <w:vAlign w:val="center"/>
          </w:tcPr>
          <w:p>
            <w:pPr>
              <w:tabs>
                <w:tab w:val="left" w:pos="312"/>
              </w:tabs>
              <w:ind w:firstLine="420" w:firstLineChars="200"/>
              <w:rPr>
                <w:rFonts w:hint="eastAsia"/>
                <w:lang w:val="en-US" w:eastAsia="zh-CN"/>
              </w:rPr>
            </w:pPr>
            <w:r>
              <w:rPr>
                <w:rFonts w:hint="eastAsia"/>
                <w:lang w:val="en-US" w:eastAsia="zh-CN"/>
              </w:rPr>
              <w:t>备注：1、本表适用于专家独立评审使用；</w:t>
            </w:r>
          </w:p>
          <w:p>
            <w:pPr>
              <w:tabs>
                <w:tab w:val="left" w:pos="312"/>
              </w:tabs>
              <w:ind w:firstLine="1050" w:firstLineChars="500"/>
              <w:rPr>
                <w:rFonts w:hint="eastAsia"/>
                <w:lang w:val="en-US" w:eastAsia="zh-CN"/>
              </w:rPr>
            </w:pPr>
            <w:r>
              <w:rPr>
                <w:rFonts w:hint="eastAsia"/>
                <w:lang w:val="en-US" w:eastAsia="zh-CN"/>
              </w:rPr>
              <w:t>2、评审时需指出各评审项的优点、存在缺陷或签订合同前应注意和澄清事项；</w:t>
            </w:r>
          </w:p>
          <w:p>
            <w:pPr>
              <w:pStyle w:val="7"/>
              <w:ind w:left="1260" w:leftChars="500" w:hanging="210" w:hangingChars="100"/>
              <w:rPr>
                <w:rFonts w:hint="eastAsia" w:eastAsia="宋体"/>
                <w:lang w:val="en-US" w:eastAsia="zh-CN"/>
              </w:rPr>
            </w:pPr>
            <w:r>
              <w:rPr>
                <w:rFonts w:hint="eastAsia"/>
                <w:lang w:val="en-US" w:eastAsia="zh-CN"/>
              </w:rPr>
              <w:t>3、</w:t>
            </w:r>
            <w:r>
              <w:rPr>
                <w:rFonts w:hint="eastAsia" w:ascii="宋体" w:hAnsi="宋体" w:cs="宋体"/>
                <w:bCs/>
                <w:color w:val="000000"/>
                <w:szCs w:val="21"/>
                <w:highlight w:val="none"/>
                <w:lang w:val="en-US" w:eastAsia="zh-CN"/>
              </w:rPr>
              <w:t>评审</w:t>
            </w:r>
            <w:r>
              <w:rPr>
                <w:rFonts w:hint="eastAsia" w:ascii="宋体" w:hAnsi="宋体" w:eastAsia="宋体" w:cs="宋体"/>
                <w:bCs/>
                <w:color w:val="000000"/>
                <w:szCs w:val="21"/>
                <w:highlight w:val="none"/>
              </w:rPr>
              <w:t>表中的评审标准为通用模板，招标人可根据项目</w:t>
            </w:r>
            <w:r>
              <w:rPr>
                <w:rFonts w:hint="eastAsia" w:ascii="宋体" w:hAnsi="宋体" w:cs="宋体"/>
                <w:bCs/>
                <w:color w:val="000000"/>
                <w:szCs w:val="21"/>
                <w:highlight w:val="none"/>
                <w:lang w:val="en-US" w:eastAsia="zh-CN"/>
              </w:rPr>
              <w:t>需求及</w:t>
            </w:r>
            <w:r>
              <w:rPr>
                <w:rFonts w:hint="eastAsia" w:ascii="宋体" w:hAnsi="宋体" w:eastAsia="宋体" w:cs="宋体"/>
                <w:bCs/>
                <w:color w:val="000000"/>
                <w:szCs w:val="21"/>
                <w:highlight w:val="none"/>
              </w:rPr>
              <w:t>实际情况对评审</w:t>
            </w:r>
            <w:r>
              <w:rPr>
                <w:rFonts w:hint="eastAsia" w:ascii="宋体" w:hAnsi="宋体" w:cs="宋体"/>
                <w:bCs/>
                <w:color w:val="000000"/>
                <w:szCs w:val="21"/>
                <w:highlight w:val="none"/>
                <w:lang w:val="en-US" w:eastAsia="zh-CN"/>
              </w:rPr>
              <w:t>内容</w:t>
            </w:r>
            <w:r>
              <w:rPr>
                <w:rFonts w:hint="eastAsia" w:ascii="宋体" w:hAnsi="宋体" w:eastAsia="宋体" w:cs="宋体"/>
                <w:bCs/>
                <w:color w:val="000000"/>
                <w:szCs w:val="21"/>
                <w:highlight w:val="none"/>
              </w:rPr>
              <w:t>进行补充，补充内容列入“其他”栏</w:t>
            </w:r>
            <w:r>
              <w:rPr>
                <w:rFonts w:hint="eastAsia" w:ascii="宋体" w:hAnsi="宋体" w:cs="宋体"/>
                <w:bCs/>
                <w:color w:val="000000"/>
                <w:szCs w:val="21"/>
                <w:highlight w:val="none"/>
                <w:lang w:eastAsia="zh-CN"/>
              </w:rPr>
              <w:t>。</w:t>
            </w:r>
          </w:p>
        </w:tc>
      </w:tr>
    </w:tbl>
    <w:p>
      <w:pPr>
        <w:pStyle w:val="11"/>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sz w:val="32"/>
          <w:szCs w:val="32"/>
          <w:highlight w:val="none"/>
          <w:lang w:val="en-US" w:eastAsia="zh-CN"/>
        </w:rPr>
      </w:pPr>
    </w:p>
    <w:p>
      <w:pPr>
        <w:spacing w:line="360" w:lineRule="auto"/>
        <w:rPr>
          <w:rFonts w:hint="eastAsia" w:ascii="仿宋" w:hAnsi="仿宋" w:eastAsia="仿宋" w:cs="仿宋"/>
          <w:color w:val="000000"/>
          <w:sz w:val="32"/>
          <w:szCs w:val="32"/>
          <w:highlight w:val="none"/>
          <w:lang w:val="en-US" w:eastAsia="zh-CN"/>
        </w:rPr>
      </w:pPr>
    </w:p>
    <w:p>
      <w:pPr>
        <w:spacing w:line="360" w:lineRule="auto"/>
        <w:rPr>
          <w:rFonts w:hint="eastAsia" w:ascii="仿宋" w:hAnsi="仿宋" w:eastAsia="仿宋" w:cs="仿宋"/>
          <w:color w:val="000000"/>
          <w:sz w:val="32"/>
          <w:szCs w:val="32"/>
          <w:highlight w:val="none"/>
          <w:lang w:val="en-US" w:eastAsia="zh-CN"/>
        </w:rPr>
      </w:pPr>
    </w:p>
    <w:p>
      <w:pPr>
        <w:spacing w:line="360" w:lineRule="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附表3-5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仿宋" w:hAnsi="仿宋" w:eastAsia="仿宋" w:cs="仿宋"/>
          <w:b/>
          <w:bCs/>
          <w:color w:val="000000"/>
          <w:sz w:val="32"/>
          <w:szCs w:val="32"/>
          <w:highlight w:val="none"/>
          <w:lang w:eastAsia="zh-CN"/>
        </w:rPr>
        <w:t>技术标</w:t>
      </w:r>
      <w:r>
        <w:rPr>
          <w:rFonts w:hint="eastAsia" w:ascii="仿宋" w:hAnsi="仿宋" w:eastAsia="仿宋" w:cs="仿宋"/>
          <w:b/>
          <w:bCs/>
          <w:color w:val="000000"/>
          <w:sz w:val="32"/>
          <w:szCs w:val="32"/>
          <w:highlight w:val="none"/>
          <w:lang w:val="en-US" w:eastAsia="zh-CN"/>
        </w:rPr>
        <w:t>定性</w:t>
      </w:r>
      <w:r>
        <w:rPr>
          <w:rFonts w:hint="eastAsia" w:ascii="仿宋" w:hAnsi="仿宋" w:eastAsia="仿宋" w:cs="仿宋"/>
          <w:b/>
          <w:bCs/>
          <w:color w:val="000000"/>
          <w:sz w:val="32"/>
          <w:szCs w:val="32"/>
          <w:highlight w:val="none"/>
          <w:lang w:eastAsia="zh-CN"/>
        </w:rPr>
        <w:t>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适用于市政工程可行性研究、方案设计完成后启动的招标</w:t>
      </w:r>
      <w:r>
        <w:rPr>
          <w:rFonts w:hint="eastAsia" w:ascii="宋体" w:hAnsi="宋体" w:eastAsia="宋体" w:cs="宋体"/>
          <w:b/>
          <w:bCs/>
          <w:color w:val="000000"/>
          <w:sz w:val="24"/>
          <w:szCs w:val="24"/>
          <w:highlight w:val="none"/>
          <w:lang w:eastAsia="zh-CN"/>
        </w:rPr>
        <w:t>）</w:t>
      </w:r>
    </w:p>
    <w:tbl>
      <w:tblPr>
        <w:tblStyle w:val="12"/>
        <w:tblW w:w="595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6"/>
        <w:gridCol w:w="522"/>
        <w:gridCol w:w="967"/>
        <w:gridCol w:w="3908"/>
        <w:gridCol w:w="1656"/>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序号</w:t>
            </w:r>
          </w:p>
        </w:tc>
        <w:tc>
          <w:tcPr>
            <w:tcW w:w="733" w:type="pct"/>
            <w:gridSpan w:val="2"/>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评审项目及分值范围</w:t>
            </w:r>
          </w:p>
        </w:tc>
        <w:tc>
          <w:tcPr>
            <w:tcW w:w="1925" w:type="pct"/>
            <w:tcBorders>
              <w:righ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评审标准</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优点</w:t>
            </w:r>
          </w:p>
        </w:tc>
        <w:tc>
          <w:tcPr>
            <w:tcW w:w="1152" w:type="pct"/>
            <w:tcBorders>
              <w:left w:val="single" w:color="auto" w:sz="4" w:space="0"/>
            </w:tcBorders>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p>
        </w:tc>
        <w:tc>
          <w:tcPr>
            <w:tcW w:w="257" w:type="pct"/>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设计方案</w:t>
            </w:r>
          </w:p>
        </w:tc>
        <w:tc>
          <w:tcPr>
            <w:tcW w:w="476"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设计说明</w:t>
            </w:r>
          </w:p>
        </w:tc>
        <w:tc>
          <w:tcPr>
            <w:tcW w:w="1925" w:type="pct"/>
            <w:tcBorders>
              <w:right w:val="single" w:color="auto" w:sz="4" w:space="0"/>
            </w:tcBorders>
          </w:tcPr>
          <w:p>
            <w:pPr>
              <w:numPr>
                <w:ilvl w:val="0"/>
                <w:numId w:val="0"/>
              </w:numPr>
              <w:bidi w:val="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各专业设计说明</w:t>
            </w:r>
            <w:r>
              <w:rPr>
                <w:rFonts w:hint="eastAsia"/>
                <w:color w:val="000000" w:themeColor="text1"/>
                <w:lang w:val="en-US" w:eastAsia="zh-CN"/>
                <w14:textFill>
                  <w14:solidFill>
                    <w14:schemeClr w14:val="tx1"/>
                  </w14:solidFill>
                </w14:textFill>
              </w:rPr>
              <w:t>情况</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项目规划设计各项指标是否满足任务书及规划设计要点，是否科学、合理；技术指标是否满足任务书要求，是否符合规划要求；</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对项目的理解及设计思路</w:t>
            </w:r>
          </w:p>
        </w:tc>
        <w:tc>
          <w:tcPr>
            <w:tcW w:w="1925" w:type="pct"/>
            <w:tcBorders>
              <w:right w:val="single" w:color="auto" w:sz="4" w:space="0"/>
            </w:tcBorders>
          </w:tcPr>
          <w:p>
            <w:pPr>
              <w:numPr>
                <w:ilvl w:val="0"/>
                <w:numId w:val="0"/>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对项目的理解是否正确、全面；设计思路是否清晰、科学、合理、可行；总体布置方案、节点方案是否合理、符合规范等。</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工程设计方案</w:t>
            </w:r>
          </w:p>
        </w:tc>
        <w:tc>
          <w:tcPr>
            <w:tcW w:w="1925" w:type="pct"/>
            <w:tcBorders>
              <w:right w:val="single" w:color="auto" w:sz="4" w:space="0"/>
            </w:tcBorders>
          </w:tcPr>
          <w:p>
            <w:pPr>
              <w:numPr>
                <w:ilvl w:val="0"/>
                <w:numId w:val="0"/>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工程设计方案是否合理、符合规范；对重点、难点、关键性技术问题是否有切实可行的对策措施；是否具备较强的针对性、操作性和可实施性等。</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质量、造价控制措施分</w:t>
            </w:r>
          </w:p>
        </w:tc>
        <w:tc>
          <w:tcPr>
            <w:tcW w:w="1925" w:type="pct"/>
            <w:tcBorders>
              <w:right w:val="single" w:color="auto" w:sz="4" w:space="0"/>
            </w:tcBorders>
          </w:tcPr>
          <w:p>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质量保证体系及措施是否完善、有效、可行；计价依据及使用情况是否合理；工程造价的控制措施是否具体、合理、可行等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设计</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深度</w:t>
            </w:r>
          </w:p>
        </w:tc>
        <w:tc>
          <w:tcPr>
            <w:tcW w:w="1925" w:type="pct"/>
            <w:tcBorders>
              <w:right w:val="single" w:color="auto" w:sz="4" w:space="0"/>
            </w:tcBorders>
          </w:tcPr>
          <w:p>
            <w:pPr>
              <w:numPr>
                <w:ilvl w:val="0"/>
                <w:numId w:val="0"/>
              </w:num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是否符合设计任务书要求；是否满足国家规定的《建筑工程设计文件编制深度规定》等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tc>
        <w:tc>
          <w:tcPr>
            <w:tcW w:w="815"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5" w:hRule="atLeast"/>
          <w:jc w:val="center"/>
        </w:trPr>
        <w:tc>
          <w:tcPr>
            <w:tcW w:w="372"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p>
        </w:tc>
        <w:tc>
          <w:tcPr>
            <w:tcW w:w="257" w:type="pct"/>
            <w:vMerge w:val="restar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总承包</w:t>
            </w:r>
          </w:p>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实施方</w:t>
            </w:r>
          </w:p>
          <w:p>
            <w:pPr>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案</w:t>
            </w:r>
          </w:p>
        </w:tc>
        <w:tc>
          <w:tcPr>
            <w:tcW w:w="476" w:type="pct"/>
            <w:vAlign w:val="center"/>
          </w:tcPr>
          <w:p>
            <w:pPr>
              <w:shd w:val="clear" w:color="auto" w:fill="auto"/>
              <w:jc w:val="center"/>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总承包管理方案及措施</w:t>
            </w:r>
          </w:p>
        </w:tc>
        <w:tc>
          <w:tcPr>
            <w:tcW w:w="1925" w:type="pct"/>
            <w:tcBorders>
              <w:right w:val="single" w:color="auto" w:sz="4" w:space="0"/>
            </w:tcBorders>
            <w:vAlign w:val="center"/>
          </w:tcPr>
          <w:p>
            <w:pPr>
              <w:widowControl/>
              <w:numPr>
                <w:ilvl w:val="0"/>
                <w:numId w:val="0"/>
              </w:numPr>
              <w:shd w:val="clear" w:color="auto" w:fill="auto"/>
              <w:jc w:val="left"/>
              <w:rPr>
                <w:rFonts w:hint="eastAsia" w:eastAsia="宋体" w:asciiTheme="minorEastAsia" w:hAnsiTheme="minorEastAsia" w:cstheme="minorEastAsia"/>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rPr>
              <w:t>总承包管理方案是否清晰并切实可行；内容是否全面、完整；部署及措施是否合理、先进、可靠；能否满足项目管理需要等。</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widowControl/>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476" w:type="pct"/>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总承包管理重点、难点分析</w:t>
            </w:r>
          </w:p>
        </w:tc>
        <w:tc>
          <w:tcPr>
            <w:tcW w:w="1925" w:type="pct"/>
            <w:tcBorders>
              <w:right w:val="single" w:color="auto" w:sz="4" w:space="0"/>
            </w:tcBorders>
            <w:vAlign w:val="center"/>
          </w:tcPr>
          <w:p>
            <w:pPr>
              <w:numPr>
                <w:ilvl w:val="0"/>
                <w:numId w:val="0"/>
              </w:numPr>
              <w:shd w:val="clear" w:color="auto" w:fill="auto"/>
              <w:jc w:val="left"/>
              <w:rPr>
                <w:rFonts w:hint="eastAsia" w:eastAsia="宋体"/>
                <w:color w:val="000000" w:themeColor="text1"/>
                <w:lang w:eastAsia="zh-CN"/>
                <w14:textFill>
                  <w14:solidFill>
                    <w14:schemeClr w14:val="tx1"/>
                  </w14:solidFill>
                </w14:textFill>
              </w:rPr>
            </w:pPr>
            <w:r>
              <w:rPr>
                <w:rFonts w:hint="eastAsia"/>
                <w:color w:val="000000"/>
                <w:highlight w:val="none"/>
              </w:rPr>
              <w:t>总承包管理重难点控制是否得当；处置措施是否具备针对性；能否满足项目需要等</w:t>
            </w:r>
            <w:r>
              <w:rPr>
                <w:rFonts w:hint="eastAsia"/>
                <w:color w:val="000000"/>
                <w:highlight w:val="none"/>
                <w:lang w:eastAsia="zh-CN"/>
              </w:rPr>
              <w:t>。</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372"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257" w:type="pct"/>
            <w:vMerge w:val="restart"/>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szCs w:val="21"/>
                <w:highlight w:val="none"/>
              </w:rPr>
              <w:t>施工组织设计</w:t>
            </w:r>
          </w:p>
        </w:tc>
        <w:tc>
          <w:tcPr>
            <w:tcW w:w="476" w:type="pct"/>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施工方案与技术措施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 xml:space="preserve">              </w:t>
            </w:r>
          </w:p>
        </w:tc>
        <w:tc>
          <w:tcPr>
            <w:tcW w:w="1925" w:type="pct"/>
            <w:tcBorders>
              <w:right w:val="single" w:color="auto" w:sz="4" w:space="0"/>
            </w:tcBorders>
            <w:vAlign w:val="center"/>
          </w:tcPr>
          <w:p>
            <w:pPr>
              <w:numPr>
                <w:ilvl w:val="0"/>
                <w:numId w:val="0"/>
              </w:numPr>
              <w:shd w:val="clear" w:color="auto" w:fill="auto"/>
              <w:jc w:val="left"/>
              <w:rPr>
                <w:rFonts w:hint="eastAsia"/>
                <w:color w:val="000000" w:themeColor="text1"/>
                <w14:textFill>
                  <w14:solidFill>
                    <w14:schemeClr w14:val="tx1"/>
                  </w14:solidFill>
                </w14:textFill>
              </w:rPr>
            </w:pPr>
            <w:r>
              <w:rPr>
                <w:rFonts w:hint="eastAsia"/>
                <w:color w:val="000000"/>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等。</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管理体系</w:t>
            </w:r>
          </w:p>
          <w:p>
            <w:pPr>
              <w:shd w:val="clear" w:color="auto" w:fill="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与措施</w:t>
            </w:r>
          </w:p>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p>
        </w:tc>
        <w:tc>
          <w:tcPr>
            <w:tcW w:w="1925" w:type="pct"/>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质量、安全、环境保护目标是否明确；管理机构是否健全；职责分工是否明确；管理制度是否健全；实施与监控措施是否全面、有效；总工期及节点工期是否满足招标文件要求；施工进度计划内容是否全面；措施是否有力；计划编制是否合理、可行等。</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shd w:val="clear" w:color="auto" w:fill="auto"/>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6" w:type="pct"/>
            <w:vAlign w:val="center"/>
          </w:tcPr>
          <w:p>
            <w:pPr>
              <w:shd w:val="clear" w:color="auto" w:fill="auto"/>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资源配备计划</w:t>
            </w:r>
          </w:p>
        </w:tc>
        <w:tc>
          <w:tcPr>
            <w:tcW w:w="1925" w:type="pct"/>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资源投入计划、施工部署、施工方法与进度计划是否能够相互呼应并较好的满足施工需要；调配投入计划是否合理、准确等。</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atLeast"/>
          <w:jc w:val="center"/>
        </w:trPr>
        <w:tc>
          <w:tcPr>
            <w:tcW w:w="372" w:type="pc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733" w:type="pct"/>
            <w:gridSpan w:val="2"/>
            <w:vAlign w:val="center"/>
          </w:tcPr>
          <w:p>
            <w:pPr>
              <w:shd w:val="clear" w:color="auto" w:fill="auto"/>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风险防范</w:t>
            </w:r>
          </w:p>
          <w:p>
            <w:pPr>
              <w:shd w:val="clear" w:color="auto" w:fill="auto"/>
              <w:jc w:val="center"/>
              <w:rPr>
                <w:rFonts w:hint="eastAsia" w:ascii="宋体" w:hAnsi="宋体" w:eastAsia="宋体" w:cs="宋体"/>
                <w:kern w:val="2"/>
                <w:sz w:val="21"/>
                <w:szCs w:val="24"/>
                <w:highlight w:val="yellow"/>
                <w:lang w:val="en-US" w:eastAsia="zh-CN" w:bidi="ar-SA"/>
              </w:rPr>
            </w:pPr>
            <w:r>
              <w:rPr>
                <w:rFonts w:hint="eastAsia" w:ascii="宋体" w:hAnsi="宋体"/>
                <w:color w:val="000000"/>
                <w:kern w:val="0"/>
                <w:sz w:val="21"/>
                <w:szCs w:val="21"/>
                <w:lang w:val="en-US" w:eastAsia="zh-CN"/>
              </w:rPr>
              <w:t>方案</w:t>
            </w:r>
          </w:p>
        </w:tc>
        <w:tc>
          <w:tcPr>
            <w:tcW w:w="1925" w:type="pct"/>
            <w:tcBorders>
              <w:right w:val="single" w:color="auto" w:sz="4" w:space="0"/>
            </w:tcBorders>
            <w:vAlign w:val="center"/>
          </w:tcPr>
          <w:p>
            <w:pPr>
              <w:bidi w:val="0"/>
              <w:rPr>
                <w:rFonts w:hint="eastAsia" w:ascii="宋体" w:hAnsi="宋体" w:eastAsia="宋体" w:cs="Times New Roman"/>
                <w:color w:val="auto"/>
                <w:kern w:val="2"/>
                <w:szCs w:val="24"/>
                <w:highlight w:val="yellow"/>
                <w:lang w:val="en-US" w:eastAsia="zh-CN" w:bidi="ar-SA"/>
              </w:rPr>
            </w:pPr>
            <w:r>
              <w:rPr>
                <w:rFonts w:hint="eastAsia"/>
                <w:lang w:val="en-US" w:eastAsia="zh-CN"/>
              </w:rPr>
              <w:t>市场价格变动的风险、设计变更的风险、施工技术及组织管理变化造成的风险是否切实可行、有针对性。</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372"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257" w:type="pct"/>
            <w:vMerge w:val="restart"/>
            <w:vAlign w:val="center"/>
          </w:tcPr>
          <w:p>
            <w:pPr>
              <w:shd w:val="clear" w:color="auto" w:fill="auto"/>
              <w:jc w:val="center"/>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建筑信息模型及其他</w:t>
            </w:r>
          </w:p>
          <w:p>
            <w:pPr>
              <w:jc w:val="center"/>
              <w:rPr>
                <w:rFonts w:hint="eastAsia" w:ascii="宋体" w:hAnsi="宋体" w:eastAsia="宋体" w:cs="宋体"/>
                <w:kern w:val="2"/>
                <w:sz w:val="21"/>
                <w:szCs w:val="24"/>
                <w:highlight w:val="yellow"/>
                <w:lang w:val="en-US" w:eastAsia="zh-CN" w:bidi="ar-SA"/>
              </w:rPr>
            </w:pPr>
          </w:p>
        </w:tc>
        <w:tc>
          <w:tcPr>
            <w:tcW w:w="476" w:type="pct"/>
            <w:vAlign w:val="center"/>
          </w:tcPr>
          <w:p>
            <w:pPr>
              <w:shd w:val="clear" w:color="auto" w:fill="auto"/>
              <w:jc w:val="center"/>
              <w:rPr>
                <w:rFonts w:hint="eastAsia"/>
              </w:rPr>
            </w:pPr>
            <w:r>
              <w:rPr>
                <w:rFonts w:hint="eastAsia"/>
              </w:rPr>
              <w:t>BIM技术</w:t>
            </w:r>
          </w:p>
          <w:p>
            <w:pPr>
              <w:shd w:val="clear" w:color="auto" w:fill="auto"/>
              <w:jc w:val="center"/>
              <w:rPr>
                <w:rFonts w:hint="eastAsia"/>
              </w:rPr>
            </w:pPr>
            <w:r>
              <w:rPr>
                <w:rFonts w:hint="eastAsia"/>
              </w:rPr>
              <w:t>应用</w:t>
            </w:r>
          </w:p>
          <w:p>
            <w:pPr>
              <w:pStyle w:val="11"/>
              <w:rPr>
                <w:rFonts w:hint="default" w:eastAsia="宋体"/>
                <w:lang w:val="en-US" w:eastAsia="zh-CN"/>
              </w:rPr>
            </w:pPr>
            <w:r>
              <w:rPr>
                <w:rFonts w:hint="eastAsia" w:ascii="宋体" w:hAnsi="宋体" w:eastAsia="宋体" w:cs="宋体"/>
                <w:kern w:val="0"/>
                <w:sz w:val="21"/>
              </w:rPr>
              <w:t>（如有）</w:t>
            </w:r>
          </w:p>
        </w:tc>
        <w:tc>
          <w:tcPr>
            <w:tcW w:w="1925" w:type="pct"/>
            <w:tcBorders>
              <w:right w:val="single" w:color="auto" w:sz="4" w:space="0"/>
            </w:tcBorders>
            <w:vAlign w:val="center"/>
          </w:tcPr>
          <w:p>
            <w:pPr>
              <w:numPr>
                <w:ilvl w:val="0"/>
                <w:numId w:val="0"/>
              </w:numPr>
              <w:shd w:val="clear" w:color="auto" w:fill="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rPr>
              <w:t>BIM技术应用管理体系、管理制度、保障措施是否齐全；BIM应用流程与计划是否完整、有效；重点工艺节点及施工流程BIM三维模型是否科学、合理等</w:t>
            </w:r>
            <w:r>
              <w:rPr>
                <w:rFonts w:hint="eastAsia" w:ascii="宋体" w:hAnsi="宋体" w:eastAsia="宋体" w:cs="宋体"/>
                <w:color w:val="000000"/>
                <w:kern w:val="0"/>
                <w:szCs w:val="21"/>
                <w:highlight w:val="none"/>
                <w:lang w:eastAsia="zh-CN"/>
              </w:rPr>
              <w:t>。</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0" w:hRule="atLeast"/>
          <w:jc w:val="center"/>
        </w:trPr>
        <w:tc>
          <w:tcPr>
            <w:tcW w:w="372"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57" w:type="pct"/>
            <w:vMerge w:val="continue"/>
            <w:vAlign w:val="center"/>
          </w:tcPr>
          <w:p>
            <w:pPr>
              <w:jc w:val="center"/>
              <w:rPr>
                <w:rFonts w:hint="eastAsia" w:ascii="宋体" w:hAnsi="宋体" w:eastAsia="宋体" w:cs="宋体"/>
                <w:kern w:val="2"/>
                <w:sz w:val="21"/>
                <w:szCs w:val="24"/>
                <w:highlight w:val="yellow"/>
                <w:lang w:val="en-US" w:eastAsia="zh-CN" w:bidi="ar-SA"/>
              </w:rPr>
            </w:pPr>
          </w:p>
        </w:tc>
        <w:tc>
          <w:tcPr>
            <w:tcW w:w="476" w:type="pct"/>
            <w:vAlign w:val="center"/>
          </w:tcPr>
          <w:p>
            <w:pPr>
              <w:widowControl/>
              <w:spacing w:line="280" w:lineRule="exact"/>
              <w:jc w:val="center"/>
              <w:rPr>
                <w:rFonts w:hint="eastAsia" w:ascii="宋体" w:hAnsi="宋体" w:eastAsia="宋体" w:cs="宋体"/>
                <w:bCs/>
                <w:kern w:val="0"/>
                <w:sz w:val="21"/>
              </w:rPr>
            </w:pPr>
            <w:r>
              <w:rPr>
                <w:rFonts w:hint="eastAsia" w:ascii="宋体" w:hAnsi="宋体" w:eastAsia="宋体" w:cs="宋体"/>
                <w:bCs/>
                <w:kern w:val="0"/>
                <w:sz w:val="21"/>
              </w:rPr>
              <w:t>其他</w:t>
            </w:r>
          </w:p>
          <w:p>
            <w:pPr>
              <w:widowControl/>
              <w:spacing w:line="280" w:lineRule="exact"/>
              <w:jc w:val="center"/>
              <w:rPr>
                <w:rFonts w:hint="eastAsia" w:ascii="宋体" w:hAnsi="宋体" w:eastAsia="宋体" w:cs="宋体"/>
                <w:bCs/>
                <w:kern w:val="0"/>
                <w:sz w:val="21"/>
              </w:rPr>
            </w:pPr>
            <w:r>
              <w:rPr>
                <w:rFonts w:hint="eastAsia" w:ascii="宋体" w:hAnsi="宋体" w:eastAsia="宋体" w:cs="宋体"/>
                <w:kern w:val="0"/>
                <w:sz w:val="21"/>
              </w:rPr>
              <w:t>（如有）</w:t>
            </w:r>
          </w:p>
          <w:p>
            <w:pPr>
              <w:jc w:val="center"/>
              <w:rPr>
                <w:rFonts w:hint="eastAsia" w:ascii="宋体" w:hAnsi="宋体" w:eastAsia="宋体" w:cs="宋体"/>
                <w:kern w:val="2"/>
                <w:sz w:val="21"/>
                <w:szCs w:val="24"/>
                <w:highlight w:val="yellow"/>
                <w:lang w:val="en-US" w:eastAsia="zh-CN" w:bidi="ar-SA"/>
              </w:rPr>
            </w:pPr>
          </w:p>
        </w:tc>
        <w:tc>
          <w:tcPr>
            <w:tcW w:w="1925" w:type="pct"/>
            <w:tcBorders>
              <w:right w:val="single" w:color="auto" w:sz="4" w:space="0"/>
            </w:tcBorders>
            <w:vAlign w:val="center"/>
          </w:tcPr>
          <w:p>
            <w:pPr>
              <w:jc w:val="left"/>
              <w:rPr>
                <w:rFonts w:hint="default" w:ascii="宋体" w:hAnsi="宋体" w:eastAsia="宋体" w:cs="Times New Roman"/>
                <w:color w:val="auto"/>
                <w:kern w:val="2"/>
                <w:sz w:val="21"/>
                <w:szCs w:val="24"/>
                <w:highlight w:val="yellow"/>
                <w:lang w:val="en-US" w:eastAsia="zh-CN" w:bidi="ar-SA"/>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r>
              <w:rPr>
                <w:rFonts w:hint="eastAsia"/>
                <w:lang w:val="en-US" w:eastAsia="zh-CN"/>
              </w:rPr>
              <w:t>是否切实可行、有针对性。</w:t>
            </w:r>
          </w:p>
        </w:tc>
        <w:tc>
          <w:tcPr>
            <w:tcW w:w="815"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152" w:type="pct"/>
            <w:tcBorders>
              <w:left w:val="single" w:color="auto" w:sz="4" w:space="0"/>
            </w:tcBorders>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5000" w:type="pct"/>
            <w:gridSpan w:val="6"/>
            <w:tcBorders>
              <w:top w:val="single" w:color="auto" w:sz="4" w:space="0"/>
              <w:bottom w:val="single" w:color="auto" w:sz="4" w:space="0"/>
            </w:tcBorders>
            <w:vAlign w:val="center"/>
          </w:tcPr>
          <w:p>
            <w:pPr>
              <w:tabs>
                <w:tab w:val="left" w:pos="312"/>
              </w:tabs>
              <w:ind w:firstLine="420" w:firstLineChars="200"/>
              <w:rPr>
                <w:rFonts w:hint="eastAsia" w:ascii="宋体" w:hAnsi="宋体" w:eastAsia="宋体" w:cs="宋体"/>
                <w:color w:val="000000"/>
                <w:kern w:val="0"/>
                <w:szCs w:val="21"/>
                <w:highlight w:val="none"/>
                <w:lang w:val="en-US" w:eastAsia="zh-CN"/>
              </w:rPr>
            </w:pPr>
          </w:p>
          <w:p>
            <w:pPr>
              <w:tabs>
                <w:tab w:val="left" w:pos="312"/>
              </w:tabs>
              <w:ind w:firstLine="420" w:firstLineChars="200"/>
              <w:rPr>
                <w:rFonts w:hint="eastAsia" w:ascii="宋体" w:hAnsi="宋体" w:eastAsia="宋体" w:cs="宋体"/>
                <w:color w:val="000000"/>
                <w:kern w:val="0"/>
                <w:szCs w:val="21"/>
                <w:highlight w:val="none"/>
                <w:lang w:val="en-US" w:eastAsia="zh-CN"/>
              </w:rPr>
            </w:pPr>
          </w:p>
          <w:p>
            <w:pPr>
              <w:tabs>
                <w:tab w:val="left" w:pos="312"/>
              </w:tabs>
              <w:ind w:firstLine="420" w:firstLineChars="200"/>
              <w:rPr>
                <w:rFonts w:hint="eastAsia" w:ascii="宋体" w:hAnsi="宋体" w:eastAsia="宋体" w:cs="宋体"/>
                <w:color w:val="000000"/>
                <w:kern w:val="0"/>
                <w:szCs w:val="21"/>
                <w:highlight w:val="none"/>
                <w:lang w:val="en-US" w:eastAsia="zh-CN"/>
              </w:rPr>
            </w:pPr>
          </w:p>
          <w:p>
            <w:pPr>
              <w:tabs>
                <w:tab w:val="left" w:pos="312"/>
              </w:tabs>
              <w:ind w:firstLine="420" w:firstLineChars="200"/>
              <w:rPr>
                <w:rFonts w:hint="eastAsia" w:ascii="宋体" w:hAnsi="宋体" w:eastAsia="宋体" w:cs="宋体"/>
                <w:color w:val="000000"/>
                <w:kern w:val="0"/>
                <w:szCs w:val="21"/>
                <w:highlight w:val="none"/>
                <w:lang w:val="en-US" w:eastAsia="zh-CN"/>
              </w:rPr>
            </w:pPr>
          </w:p>
          <w:p>
            <w:pPr>
              <w:tabs>
                <w:tab w:val="left" w:pos="312"/>
              </w:tabs>
              <w:ind w:firstLine="420" w:firstLineChars="200"/>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5000" w:type="pct"/>
            <w:gridSpan w:val="6"/>
            <w:tcBorders>
              <w:top w:val="single" w:color="auto" w:sz="4" w:space="0"/>
            </w:tcBorders>
            <w:vAlign w:val="center"/>
          </w:tcPr>
          <w:p>
            <w:pPr>
              <w:tabs>
                <w:tab w:val="left" w:pos="312"/>
              </w:tabs>
              <w:ind w:firstLine="420" w:firstLineChars="200"/>
              <w:rPr>
                <w:rFonts w:hint="eastAsia"/>
                <w:lang w:val="en-US" w:eastAsia="zh-CN"/>
              </w:rPr>
            </w:pPr>
            <w:r>
              <w:rPr>
                <w:rFonts w:hint="eastAsia"/>
                <w:lang w:val="en-US" w:eastAsia="zh-CN"/>
              </w:rPr>
              <w:t>备注：1、本表适用于专家独立评审使用；</w:t>
            </w:r>
          </w:p>
          <w:p>
            <w:pPr>
              <w:tabs>
                <w:tab w:val="left" w:pos="312"/>
              </w:tabs>
              <w:ind w:firstLine="1050" w:firstLineChars="500"/>
              <w:rPr>
                <w:rFonts w:hint="eastAsia"/>
                <w:lang w:val="en-US" w:eastAsia="zh-CN"/>
              </w:rPr>
            </w:pPr>
            <w:r>
              <w:rPr>
                <w:rFonts w:hint="eastAsia"/>
                <w:lang w:val="en-US" w:eastAsia="zh-CN"/>
              </w:rPr>
              <w:t>2、评审时需指出各评审项的优点、存在缺陷或签订合同前应注意和澄清事项；</w:t>
            </w:r>
          </w:p>
          <w:p>
            <w:pPr>
              <w:tabs>
                <w:tab w:val="left" w:pos="312"/>
              </w:tabs>
              <w:ind w:left="1260" w:leftChars="500" w:hanging="210" w:hangingChars="100"/>
              <w:rPr>
                <w:rFonts w:hint="eastAsia" w:ascii="宋体" w:hAnsi="宋体" w:eastAsia="宋体" w:cs="宋体"/>
                <w:color w:val="000000"/>
                <w:kern w:val="0"/>
                <w:szCs w:val="21"/>
                <w:highlight w:val="none"/>
                <w:lang w:val="en-US" w:eastAsia="zh-CN"/>
              </w:rPr>
            </w:pPr>
            <w:r>
              <w:rPr>
                <w:rFonts w:hint="eastAsia"/>
                <w:lang w:val="en-US" w:eastAsia="zh-CN"/>
              </w:rPr>
              <w:t>3、</w:t>
            </w:r>
            <w:r>
              <w:rPr>
                <w:rFonts w:hint="eastAsia" w:ascii="宋体" w:hAnsi="宋体" w:cs="宋体"/>
                <w:bCs/>
                <w:color w:val="000000"/>
                <w:szCs w:val="21"/>
                <w:highlight w:val="none"/>
                <w:lang w:val="en-US" w:eastAsia="zh-CN"/>
              </w:rPr>
              <w:t>评审</w:t>
            </w:r>
            <w:r>
              <w:rPr>
                <w:rFonts w:hint="eastAsia" w:ascii="宋体" w:hAnsi="宋体" w:eastAsia="宋体" w:cs="宋体"/>
                <w:bCs/>
                <w:color w:val="000000"/>
                <w:szCs w:val="21"/>
                <w:highlight w:val="none"/>
              </w:rPr>
              <w:t>表中的评审标准为通用模板，招标人可根据项目</w:t>
            </w:r>
            <w:r>
              <w:rPr>
                <w:rFonts w:hint="eastAsia" w:ascii="宋体" w:hAnsi="宋体" w:cs="宋体"/>
                <w:bCs/>
                <w:color w:val="000000"/>
                <w:szCs w:val="21"/>
                <w:highlight w:val="none"/>
                <w:lang w:val="en-US" w:eastAsia="zh-CN"/>
              </w:rPr>
              <w:t>需求及</w:t>
            </w:r>
            <w:r>
              <w:rPr>
                <w:rFonts w:hint="eastAsia" w:ascii="宋体" w:hAnsi="宋体" w:eastAsia="宋体" w:cs="宋体"/>
                <w:bCs/>
                <w:color w:val="000000"/>
                <w:szCs w:val="21"/>
                <w:highlight w:val="none"/>
              </w:rPr>
              <w:t>实际情况对评审</w:t>
            </w:r>
            <w:r>
              <w:rPr>
                <w:rFonts w:hint="eastAsia" w:ascii="宋体" w:hAnsi="宋体" w:cs="宋体"/>
                <w:bCs/>
                <w:color w:val="000000"/>
                <w:szCs w:val="21"/>
                <w:highlight w:val="none"/>
                <w:lang w:val="en-US" w:eastAsia="zh-CN"/>
              </w:rPr>
              <w:t>内容</w:t>
            </w:r>
            <w:r>
              <w:rPr>
                <w:rFonts w:hint="eastAsia" w:ascii="宋体" w:hAnsi="宋体" w:eastAsia="宋体" w:cs="宋体"/>
                <w:bCs/>
                <w:color w:val="000000"/>
                <w:szCs w:val="21"/>
                <w:highlight w:val="none"/>
              </w:rPr>
              <w:t>进行补充，补充内容列入“其他”栏</w:t>
            </w:r>
            <w:r>
              <w:rPr>
                <w:rFonts w:hint="eastAsia" w:ascii="宋体" w:hAnsi="宋体" w:cs="宋体"/>
                <w:bCs/>
                <w:color w:val="000000"/>
                <w:szCs w:val="21"/>
                <w:highlight w:val="none"/>
                <w:lang w:eastAsia="zh-CN"/>
              </w:rPr>
              <w:t>。</w:t>
            </w:r>
          </w:p>
        </w:tc>
      </w:tr>
    </w:tbl>
    <w:p>
      <w:pPr>
        <w:rPr>
          <w:rFonts w:hint="eastAsia" w:ascii="仿宋" w:hAnsi="仿宋" w:eastAsia="仿宋" w:cs="仿宋"/>
          <w:color w:val="000000"/>
          <w:sz w:val="32"/>
          <w:szCs w:val="32"/>
          <w:highlight w:val="none"/>
          <w:lang w:val="en-US" w:eastAsia="zh-CN"/>
        </w:rPr>
      </w:pPr>
    </w:p>
    <w:p>
      <w:pPr>
        <w:rPr>
          <w:rFonts w:hint="eastAsia" w:ascii="仿宋" w:hAnsi="仿宋" w:eastAsia="仿宋" w:cs="仿宋"/>
          <w:color w:val="000000"/>
          <w:sz w:val="32"/>
          <w:szCs w:val="32"/>
          <w:highlight w:val="none"/>
          <w:lang w:val="en-US" w:eastAsia="zh-CN"/>
        </w:rPr>
      </w:pPr>
    </w:p>
    <w:p>
      <w:pPr>
        <w:rPr>
          <w:rFonts w:hint="eastAsia" w:ascii="仿宋" w:hAnsi="仿宋" w:eastAsia="仿宋" w:cs="仿宋"/>
          <w:color w:val="000000"/>
          <w:sz w:val="32"/>
          <w:szCs w:val="32"/>
          <w:highlight w:val="none"/>
          <w:lang w:val="en-US" w:eastAsia="zh-CN"/>
        </w:rPr>
      </w:pPr>
    </w:p>
    <w:p>
      <w:pPr>
        <w:pStyle w:val="7"/>
        <w:rPr>
          <w:rFonts w:hint="eastAsia" w:ascii="仿宋" w:hAnsi="仿宋" w:eastAsia="仿宋" w:cs="仿宋"/>
          <w:color w:val="000000"/>
          <w:sz w:val="32"/>
          <w:szCs w:val="32"/>
          <w:highlight w:val="none"/>
          <w:lang w:val="en-US" w:eastAsia="zh-CN"/>
        </w:rPr>
      </w:pPr>
    </w:p>
    <w:p>
      <w:pPr>
        <w:pStyle w:val="8"/>
        <w:ind w:left="0" w:leftChars="0" w:firstLine="0" w:firstLineChars="0"/>
        <w:rPr>
          <w:rFonts w:hint="eastAsia" w:ascii="仿宋" w:hAnsi="仿宋" w:eastAsia="仿宋" w:cs="仿宋"/>
          <w:color w:val="000000"/>
          <w:sz w:val="32"/>
          <w:szCs w:val="32"/>
          <w:highlight w:val="none"/>
          <w:lang w:val="en-US" w:eastAsia="zh-CN"/>
        </w:rPr>
      </w:pPr>
    </w:p>
    <w:p>
      <w:pPr>
        <w:rPr>
          <w:rFonts w:hint="eastAsia" w:ascii="仿宋" w:hAnsi="仿宋" w:eastAsia="仿宋" w:cs="仿宋"/>
          <w:color w:val="000000"/>
          <w:sz w:val="32"/>
          <w:szCs w:val="32"/>
          <w:highlight w:val="none"/>
          <w:lang w:val="en-US" w:eastAsia="zh-CN"/>
        </w:rPr>
      </w:pPr>
    </w:p>
    <w:p>
      <w:pPr>
        <w:rPr>
          <w:rFonts w:hint="eastAsia" w:ascii="宋体" w:hAnsi="宋体" w:cs="宋体"/>
          <w:color w:val="000000"/>
          <w:sz w:val="24"/>
          <w:highlight w:val="none"/>
          <w:lang w:val="en-US" w:eastAsia="zh-CN"/>
        </w:rPr>
      </w:pPr>
      <w:r>
        <w:rPr>
          <w:rFonts w:hint="eastAsia" w:ascii="仿宋" w:hAnsi="仿宋" w:eastAsia="仿宋" w:cs="仿宋"/>
          <w:color w:val="000000"/>
          <w:sz w:val="32"/>
          <w:szCs w:val="32"/>
          <w:highlight w:val="none"/>
          <w:lang w:val="en-US" w:eastAsia="zh-CN"/>
        </w:rPr>
        <w:t>附表3-6：</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sz w:val="24"/>
          <w:highlight w:val="none"/>
          <w:lang w:val="en-US" w:eastAsia="zh-CN"/>
        </w:rPr>
      </w:pPr>
      <w:r>
        <w:rPr>
          <w:rFonts w:hint="eastAsia" w:ascii="仿宋" w:hAnsi="仿宋" w:eastAsia="仿宋" w:cs="仿宋"/>
          <w:b/>
          <w:bCs/>
          <w:color w:val="000000"/>
          <w:sz w:val="32"/>
          <w:szCs w:val="32"/>
          <w:highlight w:val="none"/>
          <w:lang w:eastAsia="zh-CN"/>
        </w:rPr>
        <w:t>技术标</w:t>
      </w:r>
      <w:r>
        <w:rPr>
          <w:rFonts w:hint="eastAsia" w:ascii="仿宋" w:hAnsi="仿宋" w:eastAsia="仿宋" w:cs="仿宋"/>
          <w:b/>
          <w:bCs/>
          <w:color w:val="000000"/>
          <w:sz w:val="32"/>
          <w:szCs w:val="32"/>
          <w:highlight w:val="none"/>
          <w:lang w:val="en-US" w:eastAsia="zh-CN"/>
        </w:rPr>
        <w:t>定性</w:t>
      </w:r>
      <w:r>
        <w:rPr>
          <w:rFonts w:hint="eastAsia" w:ascii="仿宋" w:hAnsi="仿宋" w:eastAsia="仿宋" w:cs="仿宋"/>
          <w:b/>
          <w:bCs/>
          <w:color w:val="000000"/>
          <w:sz w:val="32"/>
          <w:szCs w:val="32"/>
          <w:highlight w:val="none"/>
          <w:lang w:eastAsia="zh-CN"/>
        </w:rPr>
        <w:t>评审</w:t>
      </w:r>
      <w:r>
        <w:rPr>
          <w:rFonts w:hint="eastAsia" w:ascii="仿宋" w:hAnsi="仿宋" w:eastAsia="仿宋" w:cs="仿宋"/>
          <w:b/>
          <w:bCs/>
          <w:color w:val="00000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rPr>
        <w:t>适用于初步设计完成后启动的招标</w:t>
      </w:r>
      <w:r>
        <w:rPr>
          <w:rFonts w:hint="eastAsia" w:ascii="宋体" w:hAnsi="宋体" w:cs="宋体"/>
          <w:b/>
          <w:bCs/>
          <w:color w:val="000000"/>
          <w:sz w:val="24"/>
          <w:highlight w:val="none"/>
          <w:lang w:eastAsia="zh-CN"/>
        </w:rPr>
        <w:t>）</w:t>
      </w:r>
    </w:p>
    <w:tbl>
      <w:tblPr>
        <w:tblStyle w:val="12"/>
        <w:tblW w:w="58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3"/>
        <w:gridCol w:w="500"/>
        <w:gridCol w:w="978"/>
        <w:gridCol w:w="3816"/>
        <w:gridCol w:w="1678"/>
        <w:gridCol w:w="2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noWrap w:val="0"/>
            <w:vAlign w:val="center"/>
          </w:tcPr>
          <w:p>
            <w:pPr>
              <w:jc w:val="center"/>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lang w:val="en-US" w:eastAsia="zh-CN"/>
              </w:rPr>
              <w:t>序号</w:t>
            </w:r>
          </w:p>
        </w:tc>
        <w:tc>
          <w:tcPr>
            <w:tcW w:w="742" w:type="pct"/>
            <w:gridSpan w:val="2"/>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评审项目</w:t>
            </w:r>
          </w:p>
        </w:tc>
        <w:tc>
          <w:tcPr>
            <w:tcW w:w="1917" w:type="pct"/>
            <w:tcBorders>
              <w:right w:val="single" w:color="auto" w:sz="4" w:space="0"/>
            </w:tcBorders>
            <w:noWrap w:val="0"/>
            <w:vAlign w:val="center"/>
          </w:tcPr>
          <w:p>
            <w:pPr>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评审标准</w:t>
            </w:r>
          </w:p>
        </w:tc>
        <w:tc>
          <w:tcPr>
            <w:tcW w:w="843" w:type="pct"/>
            <w:tcBorders>
              <w:left w:val="single" w:color="auto" w:sz="4" w:space="0"/>
            </w:tcBorders>
            <w:noWrap w:val="0"/>
            <w:vAlign w:val="center"/>
          </w:tcPr>
          <w:p>
            <w:pPr>
              <w:jc w:val="center"/>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lang w:val="en-US" w:eastAsia="zh-CN"/>
              </w:rPr>
              <w:t>优点</w:t>
            </w:r>
          </w:p>
        </w:tc>
        <w:tc>
          <w:tcPr>
            <w:tcW w:w="1147" w:type="pct"/>
            <w:tcBorders>
              <w:left w:val="single" w:color="auto" w:sz="4" w:space="0"/>
            </w:tcBorders>
            <w:noWrap w:val="0"/>
            <w:vAlign w:val="center"/>
          </w:tcPr>
          <w:p>
            <w:pPr>
              <w:jc w:val="center"/>
              <w:rPr>
                <w:rFonts w:hint="eastAsia" w:ascii="宋体" w:hAnsi="宋体" w:eastAsia="宋体" w:cs="宋体"/>
                <w:b/>
                <w:bCs/>
                <w:color w:val="000000"/>
                <w:szCs w:val="21"/>
                <w:highlight w:val="none"/>
              </w:rPr>
            </w:pP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存在缺陷或签订合同前应注意和澄清事项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p>
        </w:tc>
        <w:tc>
          <w:tcPr>
            <w:tcW w:w="251"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设计</w:t>
            </w:r>
          </w:p>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方案</w:t>
            </w:r>
          </w:p>
        </w:tc>
        <w:tc>
          <w:tcPr>
            <w:tcW w:w="491" w:type="pct"/>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设计</w:t>
            </w:r>
          </w:p>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各专业设计说明</w:t>
            </w:r>
            <w:r>
              <w:rPr>
                <w:rFonts w:hint="eastAsia" w:ascii="宋体" w:hAnsi="宋体" w:cs="宋体"/>
                <w:color w:val="000000"/>
                <w:kern w:val="0"/>
                <w:szCs w:val="21"/>
                <w:highlight w:val="none"/>
                <w:lang w:val="en-US" w:eastAsia="zh-CN"/>
              </w:rPr>
              <w:t>情况</w:t>
            </w:r>
            <w:r>
              <w:rPr>
                <w:rFonts w:hint="eastAsia" w:ascii="宋体" w:hAnsi="宋体" w:eastAsia="宋体" w:cs="宋体"/>
                <w:color w:val="000000"/>
                <w:kern w:val="0"/>
                <w:szCs w:val="21"/>
                <w:highlight w:val="none"/>
              </w:rPr>
              <w:t>；</w:t>
            </w:r>
          </w:p>
        </w:tc>
        <w:tc>
          <w:tcPr>
            <w:tcW w:w="843"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优化</w:t>
            </w:r>
          </w:p>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设计</w:t>
            </w:r>
          </w:p>
          <w:p>
            <w:pPr>
              <w:widowControl/>
              <w:jc w:val="center"/>
              <w:rPr>
                <w:rFonts w:hint="eastAsia" w:ascii="宋体" w:hAnsi="宋体" w:eastAsia="宋体" w:cs="宋体"/>
                <w:color w:val="000000"/>
                <w:kern w:val="0"/>
                <w:szCs w:val="21"/>
                <w:highlight w:val="none"/>
              </w:rPr>
            </w:pP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合理化建议是否可行</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对项目特点难点准确把握、关键问题解决方案是否完整可行；</w:t>
            </w:r>
          </w:p>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优化设计是否能实现初步设计的各项指标且控制在工程概算内；新技术、新材料、新设备、新工艺的采用是否可行、可靠且经济等。</w:t>
            </w:r>
          </w:p>
        </w:tc>
        <w:tc>
          <w:tcPr>
            <w:tcW w:w="843"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center"/>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348"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251" w:type="pct"/>
            <w:vMerge w:val="restar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总承包实施方案</w:t>
            </w:r>
          </w:p>
        </w:tc>
        <w:tc>
          <w:tcPr>
            <w:tcW w:w="491"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总承包管理方案及措施</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总承包管理方案是否清晰并切实可行；内容是否全面、完整；部署及措施是否合理、先进、可靠；能否满足项目管理需要等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kern w:val="0"/>
                <w:szCs w:val="21"/>
                <w:highlight w:val="none"/>
              </w:rPr>
            </w:pPr>
          </w:p>
        </w:tc>
        <w:tc>
          <w:tcPr>
            <w:tcW w:w="491"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总承包管理重点、难点分析</w:t>
            </w:r>
          </w:p>
        </w:tc>
        <w:tc>
          <w:tcPr>
            <w:tcW w:w="1917" w:type="pct"/>
            <w:tcBorders>
              <w:right w:val="single" w:color="auto" w:sz="4" w:space="0"/>
            </w:tcBorders>
            <w:noWrap w:val="0"/>
            <w:vAlign w:val="center"/>
          </w:tcPr>
          <w:p>
            <w:pPr>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总承包管理重难点控制是否得当；处置措施是否具备针对性；能否满足项目需要等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p>
        </w:tc>
        <w:tc>
          <w:tcPr>
            <w:tcW w:w="251"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施工组织设计</w:t>
            </w:r>
          </w:p>
        </w:tc>
        <w:tc>
          <w:tcPr>
            <w:tcW w:w="491"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施工方案与技术措施</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对项目总体概况表述是否清晰、完整；</w:t>
            </w:r>
          </w:p>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部署及措施是否先进、可靠；针对项目的重点、难点分析是否透彻，解决方案是否切实可行；施工平面布置是否有针对性、合理，较好满足施工需要，是否符合安全、文明生产要求等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质量管理体系与措施</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bCs/>
                <w:color w:val="000000"/>
                <w:szCs w:val="21"/>
                <w:highlight w:val="none"/>
              </w:rPr>
            </w:pPr>
            <w:r>
              <w:rPr>
                <w:rFonts w:hint="eastAsia" w:ascii="宋体" w:hAnsi="宋体" w:eastAsia="宋体" w:cs="宋体"/>
                <w:color w:val="000000"/>
                <w:kern w:val="0"/>
                <w:szCs w:val="21"/>
                <w:highlight w:val="none"/>
              </w:rPr>
              <w:t>质量目标是否明确，是否优于招标文件的要求；管理机构是否健全，职责分工是否明确；管理制度是否齐全；实施与监控措施是否全面、有效等。</w:t>
            </w:r>
          </w:p>
        </w:tc>
        <w:tc>
          <w:tcPr>
            <w:tcW w:w="843" w:type="pct"/>
            <w:tcBorders>
              <w:left w:val="single" w:color="auto" w:sz="4" w:space="0"/>
            </w:tcBorders>
            <w:noWrap w:val="0"/>
            <w:vAlign w:val="center"/>
          </w:tcPr>
          <w:p>
            <w:pPr>
              <w:jc w:val="left"/>
              <w:rPr>
                <w:rFonts w:hint="eastAsia" w:ascii="宋体" w:hAnsi="宋体" w:eastAsia="宋体" w:cs="宋体"/>
                <w:bCs/>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widowControl/>
              <w:ind w:left="-109" w:leftChars="-52" w:right="-105" w:rightChar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安全管理体系与措施</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安全目标是否明确，是否优于招标文件的要求；管理机构是否健全，职责分工是否明确；管理制度是否齐全；实施与监控措施是否全面、有效等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环境保护管理体系与措施</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环境管理目标是否明确，是否优于招标文件的要求；管理机构是否健全，职责分工是否明确；管理制度是否齐全；实施与监控措施是否全面、有效等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工程进度计划与保证措施分</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总工期及节点工期是否满足招标文件要求；施工进度计划内容是否全面，线路是否清晰、准确、完整，计划编制是否合理、可行；措施是否有力、合理、可行等。</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8" w:type="pct"/>
            <w:vMerge w:val="continue"/>
            <w:noWrap w:val="0"/>
            <w:vAlign w:val="center"/>
          </w:tcPr>
          <w:p>
            <w:pPr>
              <w:jc w:val="center"/>
              <w:rPr>
                <w:rFonts w:hint="eastAsia" w:ascii="宋体" w:hAnsi="宋体" w:eastAsia="宋体" w:cs="宋体"/>
                <w:color w:val="000000"/>
                <w:szCs w:val="21"/>
                <w:highlight w:val="none"/>
              </w:rPr>
            </w:pPr>
          </w:p>
        </w:tc>
        <w:tc>
          <w:tcPr>
            <w:tcW w:w="251" w:type="pct"/>
            <w:vMerge w:val="continue"/>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snapToGrid w:val="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资源配备计划</w:t>
            </w:r>
          </w:p>
        </w:tc>
        <w:tc>
          <w:tcPr>
            <w:tcW w:w="1917" w:type="pct"/>
            <w:tcBorders>
              <w:right w:val="single" w:color="auto" w:sz="4" w:space="0"/>
            </w:tcBorders>
            <w:noWrap w:val="0"/>
            <w:vAlign w:val="center"/>
          </w:tcPr>
          <w:p>
            <w:pPr>
              <w:widowControl/>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资源投入计划、施工部署、施工方法与进度计划是否能够相互呼应并较好的满足施工需要；调配投入计划是否合理、准确等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8" w:type="pc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w:t>
            </w:r>
          </w:p>
        </w:tc>
        <w:tc>
          <w:tcPr>
            <w:tcW w:w="742" w:type="pct"/>
            <w:gridSpan w:val="2"/>
            <w:noWrap w:val="0"/>
            <w:vAlign w:val="center"/>
          </w:tcPr>
          <w:p>
            <w:pPr>
              <w:shd w:val="clear" w:color="auto" w:fill="auto"/>
              <w:jc w:val="center"/>
              <w:rPr>
                <w:rFonts w:hint="eastAsia" w:ascii="宋体" w:hAnsi="宋体" w:eastAsia="宋体" w:cs="宋体"/>
                <w:color w:val="000000"/>
                <w:kern w:val="0"/>
                <w:szCs w:val="21"/>
                <w:highlight w:val="none"/>
              </w:rPr>
            </w:pPr>
            <w:r>
              <w:rPr>
                <w:rFonts w:hint="eastAsia" w:ascii="宋体" w:hAnsi="宋体"/>
                <w:color w:val="000000"/>
                <w:kern w:val="0"/>
                <w:sz w:val="21"/>
                <w:szCs w:val="21"/>
                <w:lang w:val="en-US" w:eastAsia="zh-CN"/>
              </w:rPr>
              <w:t>风险防范方案</w:t>
            </w:r>
          </w:p>
        </w:tc>
        <w:tc>
          <w:tcPr>
            <w:tcW w:w="1917" w:type="pct"/>
            <w:tcBorders>
              <w:right w:val="single" w:color="auto" w:sz="4" w:space="0"/>
            </w:tcBorders>
            <w:noWrap w:val="0"/>
            <w:vAlign w:val="top"/>
          </w:tcPr>
          <w:p>
            <w:pPr>
              <w:bidi w:val="0"/>
              <w:rPr>
                <w:rFonts w:hint="eastAsia" w:ascii="宋体" w:hAnsi="宋体" w:eastAsia="宋体" w:cs="宋体"/>
                <w:color w:val="000000"/>
                <w:kern w:val="0"/>
                <w:szCs w:val="21"/>
                <w:highlight w:val="none"/>
              </w:rPr>
            </w:pPr>
            <w:r>
              <w:rPr>
                <w:rFonts w:hint="eastAsia"/>
                <w:lang w:val="en-US" w:eastAsia="zh-CN"/>
              </w:rPr>
              <w:t>市场价格变动的风险、设计变更的风险、施工技术及组织管理变化造成的风险是否切实可行、有针对性。</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restart"/>
            <w:noWrap w:val="0"/>
            <w:vAlign w:val="center"/>
          </w:tcPr>
          <w:p>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w:t>
            </w:r>
          </w:p>
        </w:tc>
        <w:tc>
          <w:tcPr>
            <w:tcW w:w="251" w:type="pct"/>
            <w:vMerge w:val="restart"/>
            <w:noWrap w:val="0"/>
            <w:vAlign w:val="center"/>
          </w:tcPr>
          <w:p>
            <w:pPr>
              <w:jc w:val="center"/>
              <w:rPr>
                <w:rFonts w:hint="eastAsia" w:ascii="宋体" w:hAnsi="宋体" w:eastAsia="宋体" w:cs="宋体"/>
                <w:color w:val="000000"/>
                <w:szCs w:val="21"/>
                <w:highlight w:val="none"/>
              </w:rPr>
            </w:pPr>
            <w:r>
              <w:rPr>
                <w:rFonts w:hint="eastAsia" w:ascii="宋体" w:hAnsi="宋体" w:eastAsia="宋体" w:cs="宋体"/>
                <w:bCs/>
                <w:color w:val="000000"/>
                <w:kern w:val="0"/>
                <w:szCs w:val="21"/>
                <w:highlight w:val="none"/>
              </w:rPr>
              <w:t>建筑信息模型及其他</w:t>
            </w:r>
          </w:p>
        </w:tc>
        <w:tc>
          <w:tcPr>
            <w:tcW w:w="491"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BIM技术应用</w:t>
            </w:r>
          </w:p>
        </w:tc>
        <w:tc>
          <w:tcPr>
            <w:tcW w:w="1917" w:type="pct"/>
            <w:tcBorders>
              <w:right w:val="single" w:color="auto" w:sz="4" w:space="0"/>
            </w:tcBorders>
            <w:noWrap w:val="0"/>
            <w:vAlign w:val="center"/>
          </w:tcPr>
          <w:p>
            <w:pPr>
              <w:numPr>
                <w:ilvl w:val="0"/>
                <w:numId w:val="0"/>
              </w:num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BIM技术应用管理体系、管理制度、保障措施是否齐全；BIM应用流程与计划是否完整、有效；重点工艺节点及施工流程BIM三维模型是否科学、合理等</w:t>
            </w:r>
            <w:r>
              <w:rPr>
                <w:rFonts w:hint="eastAsia" w:ascii="宋体" w:hAnsi="宋体" w:eastAsia="宋体" w:cs="宋体"/>
                <w:color w:val="000000"/>
                <w:kern w:val="0"/>
                <w:szCs w:val="21"/>
                <w:highlight w:val="none"/>
                <w:lang w:eastAsia="zh-CN"/>
              </w:rPr>
              <w:t>。</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48" w:type="pct"/>
            <w:vMerge w:val="continue"/>
            <w:tcBorders>
              <w:bottom w:val="single" w:color="auto" w:sz="4" w:space="0"/>
            </w:tcBorders>
            <w:noWrap w:val="0"/>
            <w:vAlign w:val="center"/>
          </w:tcPr>
          <w:p>
            <w:pPr>
              <w:jc w:val="center"/>
              <w:rPr>
                <w:rFonts w:hint="eastAsia" w:ascii="宋体" w:hAnsi="宋体" w:eastAsia="宋体" w:cs="宋体"/>
                <w:color w:val="000000"/>
                <w:szCs w:val="21"/>
                <w:highlight w:val="none"/>
              </w:rPr>
            </w:pPr>
          </w:p>
        </w:tc>
        <w:tc>
          <w:tcPr>
            <w:tcW w:w="251" w:type="pct"/>
            <w:vMerge w:val="continue"/>
            <w:tcBorders>
              <w:bottom w:val="single" w:color="auto" w:sz="4" w:space="0"/>
            </w:tcBorders>
            <w:noWrap w:val="0"/>
            <w:vAlign w:val="center"/>
          </w:tcPr>
          <w:p>
            <w:pPr>
              <w:jc w:val="center"/>
              <w:rPr>
                <w:rFonts w:hint="eastAsia" w:ascii="宋体" w:hAnsi="宋体" w:eastAsia="宋体" w:cs="宋体"/>
                <w:color w:val="000000"/>
                <w:szCs w:val="21"/>
                <w:highlight w:val="none"/>
              </w:rPr>
            </w:pPr>
          </w:p>
        </w:tc>
        <w:tc>
          <w:tcPr>
            <w:tcW w:w="491" w:type="pct"/>
            <w:noWrap w:val="0"/>
            <w:vAlign w:val="center"/>
          </w:tcPr>
          <w:p>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w:t>
            </w:r>
          </w:p>
        </w:tc>
        <w:tc>
          <w:tcPr>
            <w:tcW w:w="1917" w:type="pct"/>
            <w:tcBorders>
              <w:right w:val="single" w:color="auto" w:sz="4" w:space="0"/>
            </w:tcBorders>
            <w:noWrap w:val="0"/>
            <w:vAlign w:val="center"/>
          </w:tcPr>
          <w:p>
            <w:pPr>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rPr>
              <w:t>招标人其他要求</w:t>
            </w:r>
            <w:r>
              <w:rPr>
                <w:rFonts w:hint="eastAsia" w:ascii="宋体" w:hAnsi="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如：</w:t>
            </w:r>
            <w:r>
              <w:rPr>
                <w:rFonts w:hint="eastAsia" w:ascii="宋体" w:hAnsi="宋体" w:eastAsia="宋体" w:cs="宋体"/>
                <w:color w:val="000000"/>
                <w:kern w:val="0"/>
                <w:szCs w:val="21"/>
                <w:highlight w:val="none"/>
                <w:lang w:eastAsia="zh-CN"/>
              </w:rPr>
              <w:t>施工现场扬尘防治方案、防疫措施</w:t>
            </w:r>
            <w:r>
              <w:rPr>
                <w:rFonts w:hint="eastAsia" w:ascii="宋体" w:hAnsi="宋体" w:cs="宋体"/>
                <w:color w:val="000000"/>
                <w:kern w:val="0"/>
                <w:szCs w:val="21"/>
                <w:highlight w:val="none"/>
                <w:lang w:val="en-US" w:eastAsia="zh-CN"/>
              </w:rPr>
              <w:t>等</w:t>
            </w:r>
            <w:r>
              <w:rPr>
                <w:rFonts w:hint="eastAsia"/>
                <w:lang w:val="en-US" w:eastAsia="zh-CN"/>
              </w:rPr>
              <w:t>是否切实可行、有针对性。</w:t>
            </w:r>
          </w:p>
        </w:tc>
        <w:tc>
          <w:tcPr>
            <w:tcW w:w="843"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c>
          <w:tcPr>
            <w:tcW w:w="1147" w:type="pct"/>
            <w:tcBorders>
              <w:left w:val="single" w:color="auto" w:sz="4" w:space="0"/>
            </w:tcBorders>
            <w:noWrap w:val="0"/>
            <w:vAlign w:val="center"/>
          </w:tcPr>
          <w:p>
            <w:pPr>
              <w:jc w:val="lef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5000" w:type="pct"/>
            <w:gridSpan w:val="6"/>
            <w:tcBorders>
              <w:top w:val="single" w:color="auto" w:sz="4" w:space="0"/>
              <w:bottom w:val="single" w:color="auto" w:sz="4" w:space="0"/>
            </w:tcBorders>
            <w:noWrap w:val="0"/>
            <w:vAlign w:val="center"/>
          </w:tcPr>
          <w:p>
            <w:pPr>
              <w:ind w:firstLine="420" w:firstLineChars="200"/>
              <w:jc w:val="left"/>
              <w:rPr>
                <w:rFonts w:hint="eastAsia" w:ascii="宋体" w:hAnsi="宋体" w:eastAsia="宋体" w:cs="宋体"/>
                <w:color w:val="000000"/>
                <w:kern w:val="0"/>
                <w:szCs w:val="21"/>
                <w:highlight w:val="none"/>
                <w:lang w:val="en-US" w:eastAsia="zh-CN"/>
              </w:rPr>
            </w:pPr>
          </w:p>
          <w:p>
            <w:pPr>
              <w:ind w:firstLine="420" w:firstLineChars="200"/>
              <w:jc w:val="left"/>
              <w:rPr>
                <w:rFonts w:hint="eastAsia" w:ascii="宋体" w:hAnsi="宋体" w:eastAsia="宋体" w:cs="宋体"/>
                <w:color w:val="000000"/>
                <w:kern w:val="0"/>
                <w:szCs w:val="21"/>
                <w:highlight w:val="none"/>
                <w:lang w:val="en-US" w:eastAsia="zh-CN"/>
              </w:rPr>
            </w:pPr>
          </w:p>
          <w:p>
            <w:pPr>
              <w:ind w:firstLine="420" w:firstLineChars="200"/>
              <w:jc w:val="left"/>
              <w:rPr>
                <w:rFonts w:hint="eastAsia" w:ascii="宋体" w:hAnsi="宋体" w:eastAsia="宋体" w:cs="宋体"/>
                <w:color w:val="000000"/>
                <w:kern w:val="0"/>
                <w:szCs w:val="21"/>
                <w:highlight w:val="none"/>
                <w:lang w:val="en-US" w:eastAsia="zh-CN"/>
              </w:rPr>
            </w:pPr>
          </w:p>
          <w:p>
            <w:pPr>
              <w:ind w:firstLine="420" w:firstLineChars="200"/>
              <w:jc w:val="left"/>
              <w:rPr>
                <w:rFonts w:hint="eastAsia" w:ascii="宋体" w:hAnsi="宋体" w:eastAsia="宋体" w:cs="宋体"/>
                <w:color w:val="000000"/>
                <w:kern w:val="0"/>
                <w:szCs w:val="21"/>
                <w:highlight w:val="none"/>
                <w:lang w:val="en-US" w:eastAsia="zh-CN"/>
              </w:rPr>
            </w:pPr>
          </w:p>
          <w:p>
            <w:pPr>
              <w:ind w:firstLine="420" w:firstLineChars="200"/>
              <w:jc w:val="left"/>
              <w:rPr>
                <w:rFonts w:hint="default"/>
                <w:lang w:val="en-US" w:eastAsia="zh-CN"/>
              </w:rPr>
            </w:pPr>
            <w:r>
              <w:rPr>
                <w:rFonts w:hint="eastAsia" w:ascii="宋体" w:hAnsi="宋体" w:eastAsia="宋体" w:cs="宋体"/>
                <w:color w:val="000000"/>
                <w:kern w:val="0"/>
                <w:szCs w:val="21"/>
                <w:highlight w:val="none"/>
                <w:lang w:val="en-US" w:eastAsia="zh-CN"/>
              </w:rPr>
              <w:t>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5000" w:type="pct"/>
            <w:gridSpan w:val="6"/>
            <w:tcBorders>
              <w:top w:val="single" w:color="auto" w:sz="4" w:space="0"/>
            </w:tcBorders>
            <w:noWrap w:val="0"/>
            <w:vAlign w:val="center"/>
          </w:tcPr>
          <w:p>
            <w:pPr>
              <w:tabs>
                <w:tab w:val="left" w:pos="312"/>
              </w:tabs>
              <w:ind w:firstLine="420" w:firstLineChars="200"/>
              <w:rPr>
                <w:rFonts w:hint="eastAsia"/>
                <w:lang w:val="en-US" w:eastAsia="zh-CN"/>
              </w:rPr>
            </w:pPr>
            <w:r>
              <w:rPr>
                <w:rFonts w:hint="eastAsia"/>
                <w:lang w:val="en-US" w:eastAsia="zh-CN"/>
              </w:rPr>
              <w:t>备注：1、本表适用于专家独立评审使用；</w:t>
            </w:r>
          </w:p>
          <w:p>
            <w:pPr>
              <w:tabs>
                <w:tab w:val="left" w:pos="312"/>
              </w:tabs>
              <w:ind w:firstLine="1050" w:firstLineChars="500"/>
              <w:rPr>
                <w:rFonts w:hint="eastAsia"/>
                <w:lang w:val="en-US" w:eastAsia="zh-CN"/>
              </w:rPr>
            </w:pPr>
            <w:r>
              <w:rPr>
                <w:rFonts w:hint="eastAsia"/>
                <w:lang w:val="en-US" w:eastAsia="zh-CN"/>
              </w:rPr>
              <w:t>2、评审时需指出各评审项的优点、存在缺陷或签订合同前应注意和澄清事项；</w:t>
            </w:r>
          </w:p>
          <w:p>
            <w:pPr>
              <w:ind w:left="1260" w:leftChars="500" w:hanging="210" w:hangingChars="100"/>
              <w:jc w:val="left"/>
              <w:rPr>
                <w:rFonts w:hint="eastAsia" w:ascii="宋体" w:hAnsi="宋体" w:eastAsia="宋体" w:cs="宋体"/>
                <w:color w:val="000000"/>
                <w:kern w:val="0"/>
                <w:szCs w:val="21"/>
                <w:highlight w:val="none"/>
                <w:lang w:val="en-US" w:eastAsia="zh-CN"/>
              </w:rPr>
            </w:pPr>
            <w:r>
              <w:rPr>
                <w:rFonts w:hint="eastAsia"/>
                <w:lang w:val="en-US" w:eastAsia="zh-CN"/>
              </w:rPr>
              <w:t>3、</w:t>
            </w:r>
            <w:r>
              <w:rPr>
                <w:rFonts w:hint="eastAsia" w:ascii="宋体" w:hAnsi="宋体" w:cs="宋体"/>
                <w:bCs/>
                <w:color w:val="000000"/>
                <w:szCs w:val="21"/>
                <w:highlight w:val="none"/>
                <w:lang w:val="en-US" w:eastAsia="zh-CN"/>
              </w:rPr>
              <w:t>评审</w:t>
            </w:r>
            <w:r>
              <w:rPr>
                <w:rFonts w:hint="eastAsia" w:ascii="宋体" w:hAnsi="宋体" w:eastAsia="宋体" w:cs="宋体"/>
                <w:bCs/>
                <w:color w:val="000000"/>
                <w:szCs w:val="21"/>
                <w:highlight w:val="none"/>
              </w:rPr>
              <w:t>表中的评审标准为通用模板，招标人可根据项目</w:t>
            </w:r>
            <w:r>
              <w:rPr>
                <w:rFonts w:hint="eastAsia" w:ascii="宋体" w:hAnsi="宋体" w:cs="宋体"/>
                <w:bCs/>
                <w:color w:val="000000"/>
                <w:szCs w:val="21"/>
                <w:highlight w:val="none"/>
                <w:lang w:val="en-US" w:eastAsia="zh-CN"/>
              </w:rPr>
              <w:t>需求及</w:t>
            </w:r>
            <w:r>
              <w:rPr>
                <w:rFonts w:hint="eastAsia" w:ascii="宋体" w:hAnsi="宋体" w:eastAsia="宋体" w:cs="宋体"/>
                <w:bCs/>
                <w:color w:val="000000"/>
                <w:szCs w:val="21"/>
                <w:highlight w:val="none"/>
              </w:rPr>
              <w:t>实际情况对评审</w:t>
            </w:r>
            <w:r>
              <w:rPr>
                <w:rFonts w:hint="eastAsia" w:ascii="宋体" w:hAnsi="宋体" w:cs="宋体"/>
                <w:bCs/>
                <w:color w:val="000000"/>
                <w:szCs w:val="21"/>
                <w:highlight w:val="none"/>
                <w:lang w:val="en-US" w:eastAsia="zh-CN"/>
              </w:rPr>
              <w:t>内容</w:t>
            </w:r>
            <w:r>
              <w:rPr>
                <w:rFonts w:hint="eastAsia" w:ascii="宋体" w:hAnsi="宋体" w:eastAsia="宋体" w:cs="宋体"/>
                <w:bCs/>
                <w:color w:val="000000"/>
                <w:szCs w:val="21"/>
                <w:highlight w:val="none"/>
              </w:rPr>
              <w:t>进行补充，补充内容列入“其他”栏</w:t>
            </w:r>
            <w:r>
              <w:rPr>
                <w:rFonts w:hint="eastAsia" w:ascii="宋体" w:hAnsi="宋体" w:cs="宋体"/>
                <w:bCs/>
                <w:color w:val="000000"/>
                <w:szCs w:val="21"/>
                <w:highlight w:val="none"/>
                <w:lang w:eastAsia="zh-CN"/>
              </w:rPr>
              <w:t>。</w:t>
            </w:r>
          </w:p>
        </w:tc>
      </w:tr>
    </w:tbl>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pStyle w:val="7"/>
        <w:rPr>
          <w:rFonts w:hint="eastAsia" w:ascii="仿宋" w:hAnsi="仿宋" w:eastAsia="仿宋" w:cs="仿宋"/>
          <w:b w:val="0"/>
          <w:bCs w:val="0"/>
          <w:color w:val="000000"/>
          <w:sz w:val="32"/>
          <w:szCs w:val="32"/>
          <w:highlight w:val="none"/>
          <w:lang w:val="en-US" w:eastAsia="zh-CN"/>
        </w:rPr>
      </w:pPr>
    </w:p>
    <w:p>
      <w:pPr>
        <w:pStyle w:val="7"/>
        <w:rPr>
          <w:rFonts w:hint="eastAsia" w:ascii="仿宋" w:hAnsi="仿宋" w:eastAsia="仿宋" w:cs="仿宋"/>
          <w:b w:val="0"/>
          <w:bCs w:val="0"/>
          <w:color w:val="000000"/>
          <w:sz w:val="32"/>
          <w:szCs w:val="32"/>
          <w:highlight w:val="none"/>
          <w:lang w:val="en-US" w:eastAsia="zh-CN"/>
        </w:rPr>
      </w:pPr>
    </w:p>
    <w:p>
      <w:pPr>
        <w:pStyle w:val="7"/>
        <w:rPr>
          <w:rFonts w:hint="default"/>
          <w:lang w:val="en-US" w:eastAsia="zh-CN"/>
        </w:rPr>
      </w:pPr>
      <w:r>
        <w:rPr>
          <w:rFonts w:hint="eastAsia" w:ascii="仿宋" w:hAnsi="仿宋" w:eastAsia="仿宋" w:cs="仿宋"/>
          <w:b w:val="0"/>
          <w:bCs w:val="0"/>
          <w:color w:val="000000"/>
          <w:sz w:val="32"/>
          <w:szCs w:val="32"/>
          <w:highlight w:val="none"/>
          <w:lang w:val="en-US" w:eastAsia="zh-CN"/>
        </w:rPr>
        <w:t>附表3-7</w:t>
      </w:r>
    </w:p>
    <w:tbl>
      <w:tblPr>
        <w:tblStyle w:val="12"/>
        <w:tblpPr w:leftFromText="180" w:rightFromText="180" w:vertAnchor="text" w:horzAnchor="page" w:tblpX="1236" w:tblpY="582"/>
        <w:tblOverlap w:val="never"/>
        <w:tblW w:w="10046" w:type="dxa"/>
        <w:tblInd w:w="0" w:type="dxa"/>
        <w:shd w:val="clear" w:color="auto" w:fill="auto"/>
        <w:tblLayout w:type="fixed"/>
        <w:tblCellMar>
          <w:top w:w="0" w:type="dxa"/>
          <w:left w:w="0" w:type="dxa"/>
          <w:bottom w:w="0" w:type="dxa"/>
          <w:right w:w="0" w:type="dxa"/>
        </w:tblCellMar>
      </w:tblPr>
      <w:tblGrid>
        <w:gridCol w:w="913"/>
        <w:gridCol w:w="2256"/>
        <w:gridCol w:w="1911"/>
        <w:gridCol w:w="2333"/>
        <w:gridCol w:w="2633"/>
      </w:tblGrid>
      <w:tr>
        <w:tblPrEx>
          <w:tblCellMar>
            <w:top w:w="0" w:type="dxa"/>
            <w:left w:w="0" w:type="dxa"/>
            <w:bottom w:w="0" w:type="dxa"/>
            <w:right w:w="0" w:type="dxa"/>
          </w:tblCellMar>
        </w:tblPrEx>
        <w:trPr>
          <w:trHeight w:val="465" w:hRule="atLeast"/>
        </w:trPr>
        <w:tc>
          <w:tcPr>
            <w:tcW w:w="1004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等线" w:hAnsi="等线" w:eastAsia="等线" w:cs="等线"/>
                <w:b/>
                <w:i w:val="0"/>
                <w:color w:val="000000"/>
                <w:kern w:val="2"/>
                <w:sz w:val="36"/>
                <w:szCs w:val="36"/>
              </w:rPr>
            </w:pPr>
            <w:r>
              <w:rPr>
                <w:rFonts w:hint="eastAsia" w:ascii="仿宋" w:hAnsi="仿宋" w:eastAsia="仿宋" w:cs="仿宋"/>
                <w:b/>
                <w:bCs/>
                <w:color w:val="000000"/>
                <w:sz w:val="32"/>
                <w:szCs w:val="32"/>
                <w:highlight w:val="none"/>
                <w:lang w:val="en-US" w:eastAsia="zh-CN"/>
              </w:rPr>
              <w:t>技术标定性评审汇总表</w:t>
            </w:r>
          </w:p>
        </w:tc>
      </w:tr>
      <w:tr>
        <w:tblPrEx>
          <w:shd w:val="clear" w:color="auto" w:fill="auto"/>
          <w:tblCellMar>
            <w:top w:w="0" w:type="dxa"/>
            <w:left w:w="0" w:type="dxa"/>
            <w:bottom w:w="0" w:type="dxa"/>
            <w:right w:w="0" w:type="dxa"/>
          </w:tblCellMar>
        </w:tblPrEx>
        <w:trPr>
          <w:trHeight w:val="480" w:hRule="atLeast"/>
        </w:trPr>
        <w:tc>
          <w:tcPr>
            <w:tcW w:w="1004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color w:val="000000"/>
                <w:kern w:val="2"/>
                <w:sz w:val="21"/>
                <w:szCs w:val="21"/>
              </w:rPr>
            </w:pPr>
            <w:r>
              <w:rPr>
                <w:rFonts w:hint="eastAsia" w:ascii="等线" w:hAnsi="等线" w:eastAsia="等线" w:cs="等线"/>
                <w:i w:val="0"/>
                <w:color w:val="000000"/>
                <w:kern w:val="0"/>
                <w:sz w:val="21"/>
                <w:szCs w:val="21"/>
                <w:lang w:val="en-US" w:eastAsia="zh-CN" w:bidi="ar"/>
              </w:rPr>
              <w:t xml:space="preserve">项目名称： </w:t>
            </w:r>
          </w:p>
        </w:tc>
      </w:tr>
      <w:tr>
        <w:tblPrEx>
          <w:shd w:val="clear" w:color="auto" w:fill="auto"/>
          <w:tblCellMar>
            <w:top w:w="0" w:type="dxa"/>
            <w:left w:w="0" w:type="dxa"/>
            <w:bottom w:w="0" w:type="dxa"/>
            <w:right w:w="0" w:type="dxa"/>
          </w:tblCellMar>
        </w:tblPrEx>
        <w:trPr>
          <w:trHeight w:val="855"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序号</w:t>
            </w: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2"/>
                <w:sz w:val="24"/>
                <w:szCs w:val="24"/>
                <w:lang w:val="en-US"/>
              </w:rPr>
            </w:pPr>
            <w:r>
              <w:rPr>
                <w:rFonts w:hint="eastAsia" w:ascii="宋体" w:hAnsi="宋体" w:eastAsia="宋体" w:cs="宋体"/>
                <w:i w:val="0"/>
                <w:color w:val="000000"/>
                <w:kern w:val="0"/>
                <w:sz w:val="24"/>
                <w:szCs w:val="24"/>
                <w:lang w:val="en-US" w:eastAsia="zh-CN" w:bidi="ar"/>
              </w:rPr>
              <w:t>投标人名称</w:t>
            </w: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2"/>
                <w:sz w:val="24"/>
                <w:szCs w:val="24"/>
                <w:lang w:val="en-US" w:eastAsia="zh-CN"/>
              </w:rPr>
            </w:pPr>
            <w:r>
              <w:rPr>
                <w:rFonts w:hint="eastAsia" w:ascii="宋体" w:hAnsi="宋体" w:cs="宋体"/>
                <w:i w:val="0"/>
                <w:color w:val="000000"/>
                <w:kern w:val="2"/>
                <w:sz w:val="24"/>
                <w:szCs w:val="24"/>
                <w:lang w:val="en-US" w:eastAsia="zh-CN"/>
              </w:rPr>
              <w:t>评审项目</w:t>
            </w: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优点</w:t>
            </w: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存在缺陷或签订合同前应注意和澄清事项</w:t>
            </w: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22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19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3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63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shd w:val="clear" w:color="auto" w:fill="auto"/>
          <w:tblCellMar>
            <w:top w:w="0" w:type="dxa"/>
            <w:left w:w="0" w:type="dxa"/>
            <w:bottom w:w="0" w:type="dxa"/>
            <w:right w:w="0" w:type="dxa"/>
          </w:tblCellMar>
        </w:tblPrEx>
        <w:trPr>
          <w:trHeight w:val="560" w:hRule="atLeast"/>
        </w:trPr>
        <w:tc>
          <w:tcPr>
            <w:tcW w:w="100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0"/>
                <w:szCs w:val="20"/>
              </w:rPr>
            </w:pPr>
            <w:r>
              <w:rPr>
                <w:rFonts w:hint="eastAsia" w:ascii="宋体" w:hAnsi="宋体" w:eastAsia="宋体" w:cs="宋体"/>
                <w:i w:val="0"/>
                <w:color w:val="000000"/>
                <w:kern w:val="0"/>
                <w:sz w:val="22"/>
                <w:szCs w:val="22"/>
                <w:lang w:val="en-US" w:eastAsia="zh-CN" w:bidi="ar"/>
              </w:rPr>
              <w:t>评标委员会签字：</w:t>
            </w:r>
          </w:p>
        </w:tc>
      </w:tr>
      <w:tr>
        <w:tblPrEx>
          <w:shd w:val="clear" w:color="auto" w:fill="auto"/>
          <w:tblCellMar>
            <w:top w:w="0" w:type="dxa"/>
            <w:left w:w="0" w:type="dxa"/>
            <w:bottom w:w="0" w:type="dxa"/>
            <w:right w:w="0" w:type="dxa"/>
          </w:tblCellMar>
        </w:tblPrEx>
        <w:trPr>
          <w:trHeight w:val="560" w:hRule="atLeast"/>
        </w:trPr>
        <w:tc>
          <w:tcPr>
            <w:tcW w:w="100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rPr>
                <w:rFonts w:hint="eastAsia" w:ascii="宋体" w:hAnsi="宋体" w:eastAsia="宋体" w:cs="宋体"/>
                <w:i w:val="0"/>
                <w:color w:val="000000"/>
                <w:kern w:val="0"/>
                <w:sz w:val="22"/>
                <w:szCs w:val="22"/>
                <w:lang w:val="en-US" w:eastAsia="zh-CN" w:bidi="ar"/>
              </w:rPr>
            </w:pPr>
            <w:r>
              <w:rPr>
                <w:rFonts w:hint="eastAsia" w:ascii="宋体" w:hAnsi="宋体" w:eastAsia="宋体" w:cs="宋体"/>
                <w:i w:val="0"/>
                <w:color w:val="000000"/>
                <w:kern w:val="0"/>
                <w:sz w:val="22"/>
                <w:szCs w:val="22"/>
                <w:lang w:val="en-US" w:eastAsia="zh-CN" w:bidi="ar"/>
              </w:rPr>
              <w:t>注：由评标委员会组长组织评标委员会成员</w:t>
            </w:r>
            <w:r>
              <w:rPr>
                <w:rFonts w:hint="eastAsia" w:ascii="宋体" w:hAnsi="宋体" w:cs="宋体"/>
                <w:i w:val="0"/>
                <w:color w:val="000000"/>
                <w:kern w:val="0"/>
                <w:sz w:val="22"/>
                <w:szCs w:val="22"/>
                <w:lang w:val="en-US" w:eastAsia="zh-CN" w:bidi="ar"/>
              </w:rPr>
              <w:t>根据每</w:t>
            </w:r>
            <w:r>
              <w:rPr>
                <w:rFonts w:hint="eastAsia" w:ascii="宋体" w:hAnsi="宋体" w:eastAsia="宋体" w:cs="宋体"/>
                <w:i w:val="0"/>
                <w:color w:val="000000"/>
                <w:kern w:val="0"/>
                <w:sz w:val="22"/>
                <w:szCs w:val="22"/>
                <w:lang w:val="en-US" w:eastAsia="zh-CN" w:bidi="ar"/>
              </w:rPr>
              <w:t>个评委</w:t>
            </w:r>
            <w:r>
              <w:rPr>
                <w:rFonts w:hint="eastAsia" w:ascii="宋体" w:hAnsi="宋体" w:cs="宋体"/>
                <w:i w:val="0"/>
                <w:color w:val="000000"/>
                <w:kern w:val="0"/>
                <w:sz w:val="22"/>
                <w:szCs w:val="22"/>
                <w:lang w:val="en-US" w:eastAsia="zh-CN" w:bidi="ar"/>
              </w:rPr>
              <w:t>对投标企业</w:t>
            </w:r>
            <w:r>
              <w:rPr>
                <w:rFonts w:hint="eastAsia" w:ascii="宋体" w:hAnsi="宋体" w:eastAsia="宋体" w:cs="宋体"/>
                <w:i w:val="0"/>
                <w:color w:val="000000"/>
                <w:kern w:val="0"/>
                <w:sz w:val="22"/>
                <w:szCs w:val="22"/>
                <w:lang w:val="en-US" w:eastAsia="zh-CN" w:bidi="ar"/>
              </w:rPr>
              <w:t>技术标定性评审</w:t>
            </w:r>
            <w:r>
              <w:rPr>
                <w:rFonts w:hint="eastAsia" w:ascii="宋体" w:hAnsi="宋体" w:cs="宋体"/>
                <w:i w:val="0"/>
                <w:color w:val="000000"/>
                <w:kern w:val="0"/>
                <w:sz w:val="22"/>
                <w:szCs w:val="22"/>
                <w:lang w:val="en-US" w:eastAsia="zh-CN" w:bidi="ar"/>
              </w:rPr>
              <w:t>意见情况</w:t>
            </w:r>
            <w:r>
              <w:rPr>
                <w:rFonts w:hint="eastAsia" w:ascii="宋体" w:hAnsi="宋体" w:eastAsia="宋体" w:cs="宋体"/>
                <w:i w:val="0"/>
                <w:color w:val="000000"/>
                <w:kern w:val="0"/>
                <w:sz w:val="22"/>
                <w:szCs w:val="22"/>
                <w:lang w:val="en-US" w:eastAsia="zh-CN" w:bidi="ar"/>
              </w:rPr>
              <w:t>汇总评审</w:t>
            </w:r>
            <w:r>
              <w:rPr>
                <w:rFonts w:hint="eastAsia" w:ascii="宋体" w:hAnsi="宋体" w:cs="宋体"/>
                <w:i w:val="0"/>
                <w:color w:val="000000"/>
                <w:kern w:val="0"/>
                <w:sz w:val="22"/>
                <w:szCs w:val="22"/>
                <w:lang w:val="en-US" w:eastAsia="zh-CN" w:bidi="ar"/>
              </w:rPr>
              <w:t>意见</w:t>
            </w:r>
            <w:r>
              <w:rPr>
                <w:rFonts w:hint="eastAsia" w:ascii="宋体" w:hAnsi="宋体" w:eastAsia="宋体" w:cs="宋体"/>
                <w:i w:val="0"/>
                <w:color w:val="000000"/>
                <w:kern w:val="0"/>
                <w:sz w:val="22"/>
                <w:szCs w:val="22"/>
                <w:lang w:val="en-US" w:eastAsia="zh-CN" w:bidi="ar"/>
              </w:rPr>
              <w:t>。</w:t>
            </w:r>
          </w:p>
        </w:tc>
      </w:tr>
    </w:tbl>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p>
    <w:p>
      <w:pPr>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附件4：</w:t>
      </w:r>
    </w:p>
    <w:p>
      <w:pPr>
        <w:jc w:val="center"/>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rPr>
        <w:t>信用评价</w:t>
      </w:r>
      <w:r>
        <w:rPr>
          <w:rFonts w:hint="eastAsia" w:ascii="仿宋" w:hAnsi="仿宋" w:eastAsia="仿宋" w:cs="仿宋"/>
          <w:b/>
          <w:bCs/>
          <w:color w:val="000000"/>
          <w:sz w:val="32"/>
          <w:szCs w:val="32"/>
          <w:highlight w:val="none"/>
          <w:lang w:val="en-US" w:eastAsia="zh-CN"/>
        </w:rPr>
        <w:t>评审标准</w:t>
      </w:r>
    </w:p>
    <w:tbl>
      <w:tblPr>
        <w:tblStyle w:val="12"/>
        <w:tblW w:w="4893" w:type="pct"/>
        <w:tblInd w:w="1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9"/>
        <w:gridCol w:w="928"/>
        <w:gridCol w:w="928"/>
        <w:gridCol w:w="4896"/>
        <w:gridCol w:w="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9" w:hRule="atLeast"/>
        </w:trPr>
        <w:tc>
          <w:tcPr>
            <w:tcW w:w="491" w:type="pct"/>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条款号</w:t>
            </w:r>
          </w:p>
        </w:tc>
        <w:tc>
          <w:tcPr>
            <w:tcW w:w="1112" w:type="pct"/>
            <w:gridSpan w:val="2"/>
            <w:noWrap w:val="0"/>
            <w:vAlign w:val="center"/>
          </w:tcPr>
          <w:p>
            <w:pPr>
              <w:widowControl/>
              <w:jc w:val="center"/>
              <w:rPr>
                <w:rFonts w:hint="eastAsia" w:ascii="宋体" w:hAnsi="宋体" w:eastAsia="宋体" w:cs="宋体"/>
                <w:color w:val="000000"/>
                <w:szCs w:val="21"/>
                <w:highlight w:val="none"/>
              </w:rPr>
            </w:pPr>
            <w:r>
              <w:rPr>
                <w:rFonts w:hint="eastAsia" w:ascii="宋体" w:hAnsi="宋体" w:eastAsia="宋体" w:cs="宋体"/>
                <w:b/>
                <w:color w:val="000000"/>
                <w:kern w:val="0"/>
                <w:szCs w:val="21"/>
                <w:highlight w:val="none"/>
              </w:rPr>
              <w:t>评审项目及分值范围</w:t>
            </w:r>
          </w:p>
        </w:tc>
        <w:tc>
          <w:tcPr>
            <w:tcW w:w="2934" w:type="pct"/>
            <w:tcBorders>
              <w:top w:val="single" w:color="auto" w:sz="4" w:space="0"/>
            </w:tcBorders>
            <w:noWrap w:val="0"/>
            <w:vAlign w:val="center"/>
          </w:tcPr>
          <w:p>
            <w:pPr>
              <w:widowControl/>
              <w:jc w:val="center"/>
              <w:rPr>
                <w:rFonts w:hint="eastAsia" w:ascii="宋体" w:hAnsi="宋体" w:eastAsia="宋体" w:cs="宋体"/>
                <w:color w:val="000000"/>
                <w:szCs w:val="21"/>
                <w:highlight w:val="none"/>
              </w:rPr>
            </w:pPr>
            <w:r>
              <w:rPr>
                <w:rFonts w:hint="eastAsia" w:ascii="宋体" w:hAnsi="宋体" w:eastAsia="宋体" w:cs="宋体"/>
                <w:b/>
                <w:color w:val="000000"/>
                <w:kern w:val="0"/>
                <w:szCs w:val="21"/>
                <w:highlight w:val="none"/>
              </w:rPr>
              <w:t>评审标准</w:t>
            </w:r>
          </w:p>
        </w:tc>
        <w:tc>
          <w:tcPr>
            <w:tcW w:w="461" w:type="pct"/>
            <w:tcBorders>
              <w:top w:val="single" w:color="auto" w:sz="4" w:space="0"/>
              <w:left w:val="single" w:color="auto" w:sz="4" w:space="0"/>
            </w:tcBorders>
            <w:noWrap w:val="0"/>
            <w:vAlign w:val="center"/>
          </w:tcPr>
          <w:p>
            <w:pPr>
              <w:jc w:val="center"/>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评审</w:t>
            </w:r>
          </w:p>
          <w:p>
            <w:pPr>
              <w:jc w:val="center"/>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7" w:hRule="atLeast"/>
        </w:trPr>
        <w:tc>
          <w:tcPr>
            <w:tcW w:w="491" w:type="pct"/>
            <w:vMerge w:val="restart"/>
            <w:noWrap w:val="0"/>
            <w:vAlign w:val="center"/>
          </w:tcPr>
          <w:p>
            <w:pPr>
              <w:widowControl/>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556" w:type="pct"/>
            <w:vMerge w:val="restart"/>
            <w:tcBorders>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信用评价</w:t>
            </w:r>
          </w:p>
        </w:tc>
        <w:tc>
          <w:tcPr>
            <w:tcW w:w="555" w:type="pct"/>
            <w:tcBorders>
              <w:top w:val="single" w:color="auto" w:sz="4" w:space="0"/>
              <w:left w:val="single" w:color="auto" w:sz="4" w:space="0"/>
              <w:bottom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投标人设计资质或联合体中设计单位（5分）</w:t>
            </w:r>
          </w:p>
        </w:tc>
        <w:tc>
          <w:tcPr>
            <w:tcW w:w="2934" w:type="pct"/>
            <w:tcBorders>
              <w:top w:val="single" w:color="auto" w:sz="4" w:space="0"/>
              <w:bottom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widowControl/>
              <w:jc w:val="left"/>
              <w:rPr>
                <w:rFonts w:hint="eastAsia" w:ascii="宋体" w:hAnsi="宋体" w:eastAsia="宋体" w:cs="宋体"/>
                <w:color w:val="000000"/>
                <w:szCs w:val="21"/>
                <w:highlight w:val="none"/>
                <w:lang w:eastAsia="zh-CN"/>
              </w:rPr>
            </w:pPr>
            <w:r>
              <w:rPr>
                <w:rFonts w:hint="eastAsia" w:ascii="宋体" w:hAnsi="宋体" w:eastAsia="宋体" w:cs="宋体"/>
                <w:color w:val="000000"/>
                <w:kern w:val="0"/>
                <w:szCs w:val="21"/>
                <w:highlight w:val="none"/>
              </w:rPr>
              <w:t>企业信用得分=信用分值÷140×</w:t>
            </w:r>
            <w:r>
              <w:rPr>
                <w:rFonts w:hint="eastAsia" w:ascii="宋体" w:hAnsi="宋体" w:cs="宋体"/>
                <w:color w:val="000000"/>
                <w:kern w:val="0"/>
                <w:szCs w:val="21"/>
                <w:highlight w:val="none"/>
                <w:lang w:val="en-US" w:eastAsia="zh-CN"/>
              </w:rPr>
              <w:t>5</w:t>
            </w:r>
          </w:p>
        </w:tc>
        <w:tc>
          <w:tcPr>
            <w:tcW w:w="461" w:type="pct"/>
            <w:tcBorders>
              <w:top w:val="single" w:color="auto" w:sz="4" w:space="0"/>
              <w:left w:val="single" w:color="auto" w:sz="4" w:space="0"/>
              <w:bottom w:val="single" w:color="auto" w:sz="4" w:space="0"/>
            </w:tcBorders>
            <w:noWrap w:val="0"/>
            <w:vAlign w:val="center"/>
          </w:tcPr>
          <w:p>
            <w:pPr>
              <w:ind w:left="-181" w:leftChars="-86" w:right="-134" w:rightChars="-64"/>
              <w:jc w:val="center"/>
              <w:rPr>
                <w:rFonts w:hint="eastAsia" w:ascii="宋体" w:hAnsi="宋体" w:eastAsia="宋体" w:cs="宋体"/>
                <w:color w:val="00000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1" w:hRule="atLeast"/>
        </w:trPr>
        <w:tc>
          <w:tcPr>
            <w:tcW w:w="491" w:type="pct"/>
            <w:vMerge w:val="continue"/>
            <w:noWrap w:val="0"/>
            <w:vAlign w:val="center"/>
          </w:tcPr>
          <w:p>
            <w:pPr>
              <w:widowControl/>
              <w:jc w:val="left"/>
              <w:rPr>
                <w:rFonts w:hint="eastAsia" w:ascii="宋体" w:hAnsi="宋体" w:eastAsia="宋体" w:cs="宋体"/>
                <w:color w:val="000000"/>
                <w:kern w:val="0"/>
                <w:szCs w:val="21"/>
                <w:highlight w:val="none"/>
              </w:rPr>
            </w:pPr>
          </w:p>
        </w:tc>
        <w:tc>
          <w:tcPr>
            <w:tcW w:w="556" w:type="pct"/>
            <w:vMerge w:val="continue"/>
            <w:tcBorders>
              <w:right w:val="single" w:color="auto" w:sz="4" w:space="0"/>
            </w:tcBorders>
            <w:noWrap w:val="0"/>
            <w:vAlign w:val="center"/>
          </w:tcPr>
          <w:p>
            <w:pPr>
              <w:widowControl/>
              <w:jc w:val="left"/>
              <w:rPr>
                <w:rFonts w:hint="eastAsia" w:ascii="宋体" w:hAnsi="宋体" w:eastAsia="宋体" w:cs="宋体"/>
                <w:color w:val="000000"/>
                <w:kern w:val="0"/>
                <w:szCs w:val="21"/>
                <w:highlight w:val="none"/>
              </w:rPr>
            </w:pPr>
          </w:p>
        </w:tc>
        <w:tc>
          <w:tcPr>
            <w:tcW w:w="555" w:type="pct"/>
            <w:tcBorders>
              <w:top w:val="single" w:color="auto" w:sz="4" w:space="0"/>
              <w:left w:val="single" w:color="auto" w:sz="4" w:space="0"/>
              <w:bottom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投标人施工资质或联合体中施工单位（5分）</w:t>
            </w:r>
          </w:p>
        </w:tc>
        <w:tc>
          <w:tcPr>
            <w:tcW w:w="2934" w:type="pct"/>
            <w:tcBorders>
              <w:top w:val="single" w:color="auto" w:sz="4" w:space="0"/>
              <w:bottom w:val="single" w:color="auto" w:sz="4" w:space="0"/>
            </w:tcBorders>
            <w:noWrap w:val="0"/>
            <w:vAlign w:val="center"/>
          </w:tcPr>
          <w:p>
            <w:pPr>
              <w:widowControl/>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企业信用得分=信用分值÷140×</w:t>
            </w:r>
            <w:r>
              <w:rPr>
                <w:rFonts w:hint="eastAsia" w:ascii="宋体" w:hAnsi="宋体" w:cs="宋体"/>
                <w:color w:val="000000"/>
                <w:kern w:val="0"/>
                <w:szCs w:val="21"/>
                <w:highlight w:val="none"/>
                <w:lang w:val="en-US" w:eastAsia="zh-CN"/>
              </w:rPr>
              <w:t>5</w:t>
            </w:r>
          </w:p>
        </w:tc>
        <w:tc>
          <w:tcPr>
            <w:tcW w:w="461" w:type="pct"/>
            <w:tcBorders>
              <w:top w:val="single" w:color="auto" w:sz="4" w:space="0"/>
              <w:left w:val="single" w:color="auto" w:sz="4" w:space="0"/>
              <w:bottom w:val="single" w:color="auto" w:sz="4" w:space="0"/>
            </w:tcBorders>
            <w:noWrap w:val="0"/>
            <w:vAlign w:val="center"/>
          </w:tcPr>
          <w:p>
            <w:pPr>
              <w:ind w:left="-181" w:leftChars="-86" w:right="-134" w:rightChars="-64"/>
              <w:jc w:val="center"/>
              <w:rPr>
                <w:rFonts w:hint="eastAsia" w:ascii="宋体" w:hAnsi="宋体" w:eastAsia="宋体" w:cs="宋体"/>
                <w:color w:val="00000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047" w:type="pct"/>
            <w:gridSpan w:val="2"/>
            <w:tcBorders>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满分</w:t>
            </w:r>
          </w:p>
        </w:tc>
        <w:tc>
          <w:tcPr>
            <w:tcW w:w="555" w:type="pct"/>
            <w:tcBorders>
              <w:top w:val="single" w:color="auto" w:sz="4" w:space="0"/>
              <w:left w:val="single" w:color="auto" w:sz="4" w:space="0"/>
            </w:tcBorders>
            <w:noWrap w:val="0"/>
            <w:vAlign w:val="center"/>
          </w:tcPr>
          <w:p>
            <w:pPr>
              <w:widowControl/>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10分</w:t>
            </w:r>
          </w:p>
        </w:tc>
        <w:tc>
          <w:tcPr>
            <w:tcW w:w="2934" w:type="pct"/>
            <w:tcBorders>
              <w:top w:val="single" w:color="auto" w:sz="4" w:space="0"/>
            </w:tcBorders>
            <w:noWrap w:val="0"/>
            <w:vAlign w:val="center"/>
          </w:tcPr>
          <w:p>
            <w:pPr>
              <w:jc w:val="center"/>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合计</w:t>
            </w:r>
            <w:r>
              <w:rPr>
                <w:rFonts w:hint="eastAsia" w:ascii="宋体" w:hAnsi="宋体" w:eastAsia="宋体" w:cs="宋体"/>
                <w:color w:val="000000"/>
                <w:szCs w:val="21"/>
                <w:highlight w:val="none"/>
              </w:rPr>
              <w:t>得分</w:t>
            </w:r>
          </w:p>
        </w:tc>
        <w:tc>
          <w:tcPr>
            <w:tcW w:w="461" w:type="pct"/>
            <w:tcBorders>
              <w:top w:val="single" w:color="auto" w:sz="4" w:space="0"/>
              <w:left w:val="single" w:color="auto" w:sz="4" w:space="0"/>
            </w:tcBorders>
            <w:noWrap w:val="0"/>
            <w:vAlign w:val="center"/>
          </w:tcPr>
          <w:p>
            <w:pPr>
              <w:ind w:left="-181" w:leftChars="-86" w:right="-134" w:rightChars="-64"/>
              <w:jc w:val="center"/>
              <w:rPr>
                <w:rFonts w:hint="eastAsia" w:ascii="宋体" w:hAnsi="宋体" w:eastAsia="宋体" w:cs="宋体"/>
                <w:color w:val="000000"/>
                <w:kern w:val="0"/>
                <w:szCs w:val="21"/>
                <w:highlight w:val="none"/>
              </w:rPr>
            </w:pPr>
          </w:p>
        </w:tc>
      </w:tr>
    </w:tbl>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jc w:val="both"/>
        <w:rPr>
          <w:rFonts w:hint="eastAsia" w:ascii="仿宋" w:hAnsi="仿宋" w:eastAsia="仿宋" w:cs="仿宋"/>
          <w:color w:val="000000"/>
          <w:sz w:val="32"/>
          <w:szCs w:val="32"/>
          <w:highlight w:val="none"/>
          <w:lang w:val="en-US" w:eastAsia="zh-CN"/>
        </w:rPr>
      </w:pPr>
    </w:p>
    <w:p>
      <w:pPr>
        <w:jc w:val="both"/>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附件5：</w:t>
      </w:r>
    </w:p>
    <w:p>
      <w:pPr>
        <w:widowControl/>
        <w:shd w:val="clear" w:color="auto" w:fill="FFFFFF"/>
        <w:snapToGrid w:val="0"/>
        <w:spacing w:line="520" w:lineRule="exact"/>
        <w:jc w:val="center"/>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投标报价评审</w:t>
      </w:r>
      <w:r>
        <w:rPr>
          <w:rFonts w:hint="eastAsia" w:ascii="仿宋" w:hAnsi="仿宋" w:eastAsia="仿宋" w:cs="仿宋"/>
          <w:b/>
          <w:kern w:val="0"/>
          <w:sz w:val="32"/>
          <w:szCs w:val="32"/>
          <w:lang w:val="en-US" w:eastAsia="zh-CN"/>
        </w:rPr>
        <w:t>标准</w:t>
      </w:r>
    </w:p>
    <w:p>
      <w:pPr>
        <w:pStyle w:val="1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bl>
      <w:tblPr>
        <w:tblStyle w:val="12"/>
        <w:tblpPr w:leftFromText="180" w:rightFromText="180" w:vertAnchor="text" w:horzAnchor="page" w:tblpX="1218" w:tblpY="12"/>
        <w:tblOverlap w:val="never"/>
        <w:tblW w:w="568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2"/>
        <w:gridCol w:w="1982"/>
        <w:gridCol w:w="2648"/>
        <w:gridCol w:w="4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393" w:type="pct"/>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条款号</w:t>
            </w:r>
          </w:p>
        </w:tc>
        <w:tc>
          <w:tcPr>
            <w:tcW w:w="1022" w:type="pct"/>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评审因素</w:t>
            </w:r>
          </w:p>
        </w:tc>
        <w:tc>
          <w:tcPr>
            <w:tcW w:w="3583" w:type="pct"/>
            <w:gridSpan w:val="2"/>
            <w:vAlign w:val="center"/>
          </w:tcPr>
          <w:p>
            <w:pPr>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8" w:hRule="atLeast"/>
        </w:trPr>
        <w:tc>
          <w:tcPr>
            <w:tcW w:w="393" w:type="pct"/>
            <w:vMerge w:val="restart"/>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p>
        </w:tc>
        <w:tc>
          <w:tcPr>
            <w:tcW w:w="4606" w:type="pct"/>
            <w:gridSpan w:val="3"/>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投标报价得分，基本分100分。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基准价： Y= A×(1-α)×</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+B×(1-β)×</w:t>
            </w: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cr/>
            </w:r>
            <w:r>
              <w:rPr>
                <w:rFonts w:hint="eastAsia"/>
                <w:color w:val="000000" w:themeColor="text1"/>
                <w14:textFill>
                  <w14:solidFill>
                    <w14:schemeClr w14:val="tx1"/>
                  </w14:solidFill>
                </w14:textFill>
              </w:rPr>
              <w:t>其中：</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A——进入报价评审环节的有效投标报价中，大于等于X（1－10%）的报价的算术平均值</w:t>
            </w:r>
            <w:r>
              <w:rPr>
                <w:rFonts w:hint="eastAsia"/>
                <w:color w:val="000000" w:themeColor="text1"/>
                <w14:textFill>
                  <w14:solidFill>
                    <w14:schemeClr w14:val="tx1"/>
                  </w14:solidFill>
                </w14:textFill>
              </w:rPr>
              <w:cr/>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X——进入报价评审环节的有效投标报价的算术平均值</w:t>
            </w:r>
          </w:p>
          <w:p>
            <w:pPr>
              <w:ind w:firstLine="840" w:firstLineChars="4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X=（X1+X2+……Xn-1+Xn）／n</w:t>
            </w:r>
          </w:p>
          <w:p>
            <w:pPr>
              <w:ind w:left="840" w:leftChars="400"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n——进入报价评审环节的投标人个数</w:t>
            </w:r>
            <w:r>
              <w:rPr>
                <w:rFonts w:hint="eastAsia"/>
                <w:color w:val="000000" w:themeColor="text1"/>
                <w14:textFill>
                  <w14:solidFill>
                    <w14:schemeClr w14:val="tx1"/>
                  </w14:solidFill>
                </w14:textFill>
              </w:rPr>
              <w:cr/>
            </w:r>
            <w:r>
              <w:rPr>
                <w:rFonts w:hint="eastAsia"/>
                <w:color w:val="000000" w:themeColor="text1"/>
                <w14:textFill>
                  <w14:solidFill>
                    <w14:schemeClr w14:val="tx1"/>
                  </w14:solidFill>
                </w14:textFill>
              </w:rPr>
              <w:t>X1、X2、Xn-1、Xn——进入报价评审环节的投标人的有效投标报价</w:t>
            </w:r>
            <w:r>
              <w:rPr>
                <w:rFonts w:hint="eastAsia"/>
                <w:color w:val="000000" w:themeColor="text1"/>
                <w14:textFill>
                  <w14:solidFill>
                    <w14:schemeClr w14:val="tx1"/>
                  </w14:solidFill>
                </w14:textFill>
              </w:rPr>
              <w:cr/>
            </w:r>
            <w:r>
              <w:rPr>
                <w:rFonts w:hint="eastAsia"/>
                <w:color w:val="000000" w:themeColor="text1"/>
                <w14:textFill>
                  <w14:solidFill>
                    <w14:schemeClr w14:val="tx1"/>
                  </w14:solidFill>
                </w14:textFill>
              </w:rPr>
              <w:t>B——最高投标限价</w:t>
            </w:r>
          </w:p>
          <w:p>
            <w:pPr>
              <w:ind w:firstLine="840" w:firstLineChars="400"/>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α——</w:t>
            </w:r>
            <w:r>
              <w:rPr>
                <w:rFonts w:hint="eastAsia"/>
                <w:color w:val="000000" w:themeColor="text1"/>
                <w:lang w:val="en-US" w:eastAsia="zh-CN"/>
                <w14:textFill>
                  <w14:solidFill>
                    <w14:schemeClr w14:val="tx1"/>
                  </w14:solidFill>
                </w14:textFill>
              </w:rPr>
              <w:t>取值范围为</w:t>
            </w:r>
            <w:r>
              <w:rPr>
                <w:rFonts w:hint="eastAsia" w:ascii="Times New Roman" w:hAnsi="Times New Roman" w:eastAsia="宋体" w:cs="Times New Roman"/>
                <w:color w:val="000000" w:themeColor="text1"/>
                <w:lang w:val="en-US" w:eastAsia="zh-CN"/>
                <w14:textFill>
                  <w14:solidFill>
                    <w14:schemeClr w14:val="tx1"/>
                  </w14:solidFill>
                </w14:textFill>
              </w:rPr>
              <w:t>0、1%、2%、3%，</w:t>
            </w:r>
            <w:r>
              <w:rPr>
                <w:rFonts w:hint="eastAsia"/>
                <w:color w:val="000000" w:themeColor="text1"/>
                <w:lang w:val="en-US" w:eastAsia="zh-CN"/>
                <w14:textFill>
                  <w14:solidFill>
                    <w14:schemeClr w14:val="tx1"/>
                  </w14:solidFill>
                </w14:textFill>
              </w:rPr>
              <w:t>在</w:t>
            </w:r>
            <w:r>
              <w:rPr>
                <w:rFonts w:hint="eastAsia"/>
                <w:color w:val="000000" w:themeColor="text1"/>
                <w14:textFill>
                  <w14:solidFill>
                    <w14:schemeClr w14:val="tx1"/>
                  </w14:solidFill>
                </w14:textFill>
              </w:rPr>
              <w:t>开标时随机抽取确定</w:t>
            </w:r>
          </w:p>
          <w:p>
            <w:pPr>
              <w:ind w:firstLine="840" w:firstLineChars="4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color w:val="000000" w:themeColor="text1"/>
                <w14:textFill>
                  <w14:solidFill>
                    <w14:schemeClr w14:val="tx1"/>
                  </w14:solidFill>
                </w14:textFill>
              </w:rPr>
              <w:t>β——</w:t>
            </w:r>
            <w:r>
              <w:rPr>
                <w:rFonts w:hint="eastAsia"/>
                <w:color w:val="000000" w:themeColor="text1"/>
                <w:lang w:val="en-US" w:eastAsia="zh-CN"/>
                <w14:textFill>
                  <w14:solidFill>
                    <w14:schemeClr w14:val="tx1"/>
                  </w14:solidFill>
                </w14:textFill>
              </w:rPr>
              <w:t>取值范围为 3%、3.5%、4%、4.5%、5%、5.5%、6%，在</w:t>
            </w:r>
            <w:r>
              <w:rPr>
                <w:rFonts w:hint="eastAsia"/>
                <w:color w:val="000000" w:themeColor="text1"/>
                <w14:textFill>
                  <w14:solidFill>
                    <w14:schemeClr w14:val="tx1"/>
                  </w14:solidFill>
                </w14:textFill>
              </w:rPr>
              <w:t>开标时随机抽取确定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3"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022"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评审标准</w:t>
            </w:r>
          </w:p>
        </w:tc>
        <w:tc>
          <w:tcPr>
            <w:tcW w:w="1365"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计分方式</w:t>
            </w:r>
          </w:p>
        </w:tc>
        <w:tc>
          <w:tcPr>
            <w:tcW w:w="2218"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偏差率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3"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022"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投标报价＞基准价</w:t>
            </w:r>
          </w:p>
        </w:tc>
        <w:tc>
          <w:tcPr>
            <w:tcW w:w="1365"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×100L</w:t>
            </w:r>
          </w:p>
        </w:tc>
        <w:tc>
          <w:tcPr>
            <w:tcW w:w="2218" w:type="pct"/>
            <w:vMerge w:val="restart"/>
          </w:tcPr>
          <w:p>
            <w:pPr>
              <w:spacing w:before="156" w:beforeLines="50"/>
              <w:ind w:firstLine="210" w:firstLineChars="1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before="156" w:beforeLines="50"/>
              <w:ind w:firstLine="210" w:firstLineChars="1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1414145</wp:posOffset>
                      </wp:positionH>
                      <wp:positionV relativeFrom="paragraph">
                        <wp:posOffset>107315</wp:posOffset>
                      </wp:positionV>
                      <wp:extent cx="635" cy="504190"/>
                      <wp:effectExtent l="4445" t="0" r="13970" b="10160"/>
                      <wp:wrapNone/>
                      <wp:docPr id="7" name="直接箭头连接符 7"/>
                      <wp:cNvGraphicFramePr/>
                      <a:graphic xmlns:a="http://schemas.openxmlformats.org/drawingml/2006/main">
                        <a:graphicData uri="http://schemas.microsoft.com/office/word/2010/wordprocessingShape">
                          <wps:wsp>
                            <wps:cNvCnPr>
                              <a:cxnSpLocks noChangeShapeType="true"/>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margin-left:111.35pt;margin-top:8.45pt;height:39.7pt;width:0.05pt;z-index:251662336;mso-width-relative:page;mso-height-relative:page;" filled="f" stroked="t" coordsize="21600,21600" o:gfxdata="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OGLyodYAAAAJAQAADwAAAAAAAAABACAAAAA4AAAAZHJzL2Rvd25yZXYueG1sUEsB&#10;AhQAFAAAAAgAh07iQMA+b0fhAQAAggMAAA4AAAAAAAAAAQAgAAAAOwEAAGRycy9lMm9Eb2MueG1s&#10;UEsFBgAAAAAGAAYAWQEAAI4FAAAAAA==&#10;">
                      <v:fill on="f" focussize="0,0"/>
                      <v:stroke weight="0.5pt" color="#000000" joinstyle="round"/>
                      <v:imagedata o:title=""/>
                      <o:lock v:ext="edit" aspectratio="f"/>
                    </v:shape>
                  </w:pict>
                </mc:Fallback>
              </mc:AlternateConten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223520</wp:posOffset>
                      </wp:positionH>
                      <wp:positionV relativeFrom="paragraph">
                        <wp:posOffset>140970</wp:posOffset>
                      </wp:positionV>
                      <wp:extent cx="635" cy="504190"/>
                      <wp:effectExtent l="4445" t="0" r="13970" b="10160"/>
                      <wp:wrapNone/>
                      <wp:docPr id="8" name="直接箭头连接符 8"/>
                      <wp:cNvGraphicFramePr/>
                      <a:graphic xmlns:a="http://schemas.openxmlformats.org/drawingml/2006/main">
                        <a:graphicData uri="http://schemas.microsoft.com/office/word/2010/wordprocessingShape">
                          <wps:wsp>
                            <wps:cNvCnPr>
                              <a:cxnSpLocks noChangeShapeType="true"/>
                            </wps:cNvCnPr>
                            <wps:spPr bwMode="auto">
                              <a:xfrm>
                                <a:off x="0" y="0"/>
                                <a:ext cx="635" cy="504190"/>
                              </a:xfrm>
                              <a:prstGeom prst="straightConnector1">
                                <a:avLst/>
                              </a:prstGeom>
                              <a:noFill/>
                              <a:ln w="6350">
                                <a:solidFill>
                                  <a:srgbClr val="000000"/>
                                </a:solidFill>
                                <a:round/>
                              </a:ln>
                              <a:effectLst/>
                            </wps:spPr>
                            <wps:bodyPr/>
                          </wps:wsp>
                        </a:graphicData>
                      </a:graphic>
                    </wp:anchor>
                  </w:drawing>
                </mc:Choice>
                <mc:Fallback>
                  <w:pict>
                    <v:shape id="_x0000_s1026" o:spid="_x0000_s1026" o:spt="32" type="#_x0000_t32" style="position:absolute;left:0pt;margin-left:17.6pt;margin-top:11.1pt;height:39.7pt;width:0.05pt;z-index:251661312;mso-width-relative:page;mso-height-relative:page;" filled="f" stroked="t" coordsize="21600,21600" o:gfxdata="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Y/dPdcAAAAIAQAADwAAAAAAAAABACAAAAA4AAAAZHJzL2Rvd25yZXYueG1sUEsB&#10;AhQAFAAAAAgAh07iQF3Ry5XgAQAAggMAAA4AAAAAAAAAAQAgAAAAPAEAAGRycy9lMm9Eb2MueG1s&#10;UEsFBgAAAAAGAAYAWQEAAI4FAAAAAA==&#10;">
                      <v:fill on="f" focussize="0,0"/>
                      <v:stroke weight="0.5pt" color="#000000" joinstyle="round"/>
                      <v:imagedata o:title=""/>
                      <o:lock v:ext="edit" aspectratio="f"/>
                    </v:shape>
                  </w:pict>
                </mc:Fallback>
              </mc:AlternateConten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投标报价-基准价</w:t>
            </w: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79375</wp:posOffset>
                      </wp:positionV>
                      <wp:extent cx="1075690" cy="635"/>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true"/>
                            </wps:cNvCnPr>
                            <wps:spPr bwMode="auto">
                              <a:xfrm>
                                <a:off x="0" y="0"/>
                                <a:ext cx="107569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2pt;margin-top:6.25pt;height:0.05pt;width:84.7pt;z-index:251660288;mso-width-relative:page;mso-height-relative:page;" filled="f" stroked="t" coordsize="21600,21600" o:gfxdata="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6lWBL1wAAAAgBAAAPAAAAAAAAAAEAIAAAADgAAABkcnMvZG93bnJldi54bWxQ&#10;SwECFAAUAAAACACHTuJAFfTJl+IBAACDAwAADgAAAAAAAAABACAAAAA8AQAAZHJzL2Uyb0RvYy54&#10;bWxQSwUGAAAAAAYABgBZAQAAkAU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L=                    ×100%</w:t>
            </w:r>
          </w:p>
          <w:p>
            <w:pPr>
              <w:ind w:firstLine="945" w:firstLineChars="45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基准价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3"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022"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投标报价＝基准价</w:t>
            </w:r>
          </w:p>
        </w:tc>
        <w:tc>
          <w:tcPr>
            <w:tcW w:w="1365"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w:t>
            </w:r>
          </w:p>
        </w:tc>
        <w:tc>
          <w:tcPr>
            <w:tcW w:w="2218" w:type="pct"/>
            <w:vMerge w:val="continue"/>
            <w:vAlign w:val="center"/>
          </w:tcPr>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3" w:type="pct"/>
            <w:vMerge w:val="continue"/>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022"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投标报价＜基准价</w:t>
            </w:r>
          </w:p>
        </w:tc>
        <w:tc>
          <w:tcPr>
            <w:tcW w:w="1365"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×100L</w:t>
            </w:r>
          </w:p>
        </w:tc>
        <w:tc>
          <w:tcPr>
            <w:tcW w:w="2218" w:type="pct"/>
            <w:vMerge w:val="continue"/>
            <w:vAlign w:val="center"/>
          </w:tcPr>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393"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满分</w:t>
            </w:r>
          </w:p>
        </w:tc>
        <w:tc>
          <w:tcPr>
            <w:tcW w:w="1022"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100分</w:t>
            </w:r>
          </w:p>
        </w:tc>
        <w:tc>
          <w:tcPr>
            <w:tcW w:w="1365"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权重</w:t>
            </w:r>
          </w:p>
        </w:tc>
        <w:tc>
          <w:tcPr>
            <w:tcW w:w="2218" w:type="pct"/>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default" w:ascii="仿宋_GB2312" w:hAnsi="仿宋" w:cs="仿宋"/>
                <w:lang w:val="en-US" w:eastAsia="zh-CN"/>
              </w:rPr>
              <w:t>≥</w:t>
            </w:r>
            <w:r>
              <w:rPr>
                <w:rFonts w:hint="eastAsia" w:ascii="仿宋_GB2312" w:hAnsi="仿宋" w:cs="仿宋"/>
                <w:lang w:val="en-US" w:eastAsia="zh-CN"/>
              </w:rPr>
              <w:t>50%</w:t>
            </w:r>
          </w:p>
        </w:tc>
      </w:tr>
    </w:tbl>
    <w:p>
      <w:pPr>
        <w:rPr>
          <w:rFonts w:hint="default" w:eastAsia="宋体"/>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EAD5"/>
    <w:multiLevelType w:val="singleLevel"/>
    <w:tmpl w:val="826DEAD5"/>
    <w:lvl w:ilvl="0" w:tentative="0">
      <w:start w:val="1"/>
      <w:numFmt w:val="decimal"/>
      <w:suff w:val="nothing"/>
      <w:lvlText w:val="%1、"/>
      <w:lvlJc w:val="left"/>
    </w:lvl>
  </w:abstractNum>
  <w:abstractNum w:abstractNumId="1">
    <w:nsid w:val="9953A481"/>
    <w:multiLevelType w:val="singleLevel"/>
    <w:tmpl w:val="9953A481"/>
    <w:lvl w:ilvl="0" w:tentative="0">
      <w:start w:val="1"/>
      <w:numFmt w:val="decimal"/>
      <w:suff w:val="nothing"/>
      <w:lvlText w:val="%1、"/>
      <w:lvlJc w:val="left"/>
    </w:lvl>
  </w:abstractNum>
  <w:abstractNum w:abstractNumId="2">
    <w:nsid w:val="9AC380A0"/>
    <w:multiLevelType w:val="singleLevel"/>
    <w:tmpl w:val="9AC380A0"/>
    <w:lvl w:ilvl="0" w:tentative="0">
      <w:start w:val="1"/>
      <w:numFmt w:val="decimal"/>
      <w:suff w:val="nothing"/>
      <w:lvlText w:val="%1、"/>
      <w:lvlJc w:val="left"/>
    </w:lvl>
  </w:abstractNum>
  <w:abstractNum w:abstractNumId="3">
    <w:nsid w:val="A8A67BD5"/>
    <w:multiLevelType w:val="singleLevel"/>
    <w:tmpl w:val="A8A67BD5"/>
    <w:lvl w:ilvl="0" w:tentative="0">
      <w:start w:val="1"/>
      <w:numFmt w:val="decimal"/>
      <w:suff w:val="nothing"/>
      <w:lvlText w:val="%1、"/>
      <w:lvlJc w:val="left"/>
    </w:lvl>
  </w:abstractNum>
  <w:abstractNum w:abstractNumId="4">
    <w:nsid w:val="ACDFF7FD"/>
    <w:multiLevelType w:val="singleLevel"/>
    <w:tmpl w:val="ACDFF7FD"/>
    <w:lvl w:ilvl="0" w:tentative="0">
      <w:start w:val="1"/>
      <w:numFmt w:val="decimal"/>
      <w:suff w:val="nothing"/>
      <w:lvlText w:val="%1、"/>
      <w:lvlJc w:val="left"/>
    </w:lvl>
  </w:abstractNum>
  <w:abstractNum w:abstractNumId="5">
    <w:nsid w:val="AD49A7F7"/>
    <w:multiLevelType w:val="singleLevel"/>
    <w:tmpl w:val="AD49A7F7"/>
    <w:lvl w:ilvl="0" w:tentative="0">
      <w:start w:val="1"/>
      <w:numFmt w:val="decimal"/>
      <w:suff w:val="nothing"/>
      <w:lvlText w:val="%1、"/>
      <w:lvlJc w:val="left"/>
    </w:lvl>
  </w:abstractNum>
  <w:abstractNum w:abstractNumId="6">
    <w:nsid w:val="B39A664F"/>
    <w:multiLevelType w:val="singleLevel"/>
    <w:tmpl w:val="B39A664F"/>
    <w:lvl w:ilvl="0" w:tentative="0">
      <w:start w:val="1"/>
      <w:numFmt w:val="decimal"/>
      <w:suff w:val="nothing"/>
      <w:lvlText w:val="%1、"/>
      <w:lvlJc w:val="left"/>
    </w:lvl>
  </w:abstractNum>
  <w:abstractNum w:abstractNumId="7">
    <w:nsid w:val="BD0028EA"/>
    <w:multiLevelType w:val="singleLevel"/>
    <w:tmpl w:val="BD0028EA"/>
    <w:lvl w:ilvl="0" w:tentative="0">
      <w:start w:val="1"/>
      <w:numFmt w:val="decimal"/>
      <w:suff w:val="nothing"/>
      <w:lvlText w:val="%1、"/>
      <w:lvlJc w:val="left"/>
    </w:lvl>
  </w:abstractNum>
  <w:abstractNum w:abstractNumId="8">
    <w:nsid w:val="C953B68F"/>
    <w:multiLevelType w:val="singleLevel"/>
    <w:tmpl w:val="C953B68F"/>
    <w:lvl w:ilvl="0" w:tentative="0">
      <w:start w:val="1"/>
      <w:numFmt w:val="decimal"/>
      <w:suff w:val="nothing"/>
      <w:lvlText w:val="%1、"/>
      <w:lvlJc w:val="left"/>
    </w:lvl>
  </w:abstractNum>
  <w:abstractNum w:abstractNumId="9">
    <w:nsid w:val="CB245577"/>
    <w:multiLevelType w:val="singleLevel"/>
    <w:tmpl w:val="CB245577"/>
    <w:lvl w:ilvl="0" w:tentative="0">
      <w:start w:val="1"/>
      <w:numFmt w:val="decimal"/>
      <w:suff w:val="nothing"/>
      <w:lvlText w:val="%1、"/>
      <w:lvlJc w:val="left"/>
    </w:lvl>
  </w:abstractNum>
  <w:abstractNum w:abstractNumId="10">
    <w:nsid w:val="CE7B96AE"/>
    <w:multiLevelType w:val="singleLevel"/>
    <w:tmpl w:val="CE7B96AE"/>
    <w:lvl w:ilvl="0" w:tentative="0">
      <w:start w:val="1"/>
      <w:numFmt w:val="decimal"/>
      <w:suff w:val="nothing"/>
      <w:lvlText w:val="%1、"/>
      <w:lvlJc w:val="left"/>
    </w:lvl>
  </w:abstractNum>
  <w:abstractNum w:abstractNumId="11">
    <w:nsid w:val="D38FCE87"/>
    <w:multiLevelType w:val="singleLevel"/>
    <w:tmpl w:val="D38FCE87"/>
    <w:lvl w:ilvl="0" w:tentative="0">
      <w:start w:val="1"/>
      <w:numFmt w:val="decimal"/>
      <w:suff w:val="nothing"/>
      <w:lvlText w:val="%1、"/>
      <w:lvlJc w:val="left"/>
    </w:lvl>
  </w:abstractNum>
  <w:abstractNum w:abstractNumId="12">
    <w:nsid w:val="E04EC810"/>
    <w:multiLevelType w:val="singleLevel"/>
    <w:tmpl w:val="E04EC810"/>
    <w:lvl w:ilvl="0" w:tentative="0">
      <w:start w:val="1"/>
      <w:numFmt w:val="decimal"/>
      <w:suff w:val="nothing"/>
      <w:lvlText w:val="%1、"/>
      <w:lvlJc w:val="left"/>
    </w:lvl>
  </w:abstractNum>
  <w:abstractNum w:abstractNumId="13">
    <w:nsid w:val="E51E25E8"/>
    <w:multiLevelType w:val="singleLevel"/>
    <w:tmpl w:val="E51E25E8"/>
    <w:lvl w:ilvl="0" w:tentative="0">
      <w:start w:val="1"/>
      <w:numFmt w:val="decimal"/>
      <w:suff w:val="nothing"/>
      <w:lvlText w:val="%1、"/>
      <w:lvlJc w:val="left"/>
    </w:lvl>
  </w:abstractNum>
  <w:abstractNum w:abstractNumId="14">
    <w:nsid w:val="E67C837D"/>
    <w:multiLevelType w:val="singleLevel"/>
    <w:tmpl w:val="E67C837D"/>
    <w:lvl w:ilvl="0" w:tentative="0">
      <w:start w:val="1"/>
      <w:numFmt w:val="decimal"/>
      <w:suff w:val="nothing"/>
      <w:lvlText w:val="%1、"/>
      <w:lvlJc w:val="left"/>
    </w:lvl>
  </w:abstractNum>
  <w:abstractNum w:abstractNumId="15">
    <w:nsid w:val="032C55D1"/>
    <w:multiLevelType w:val="singleLevel"/>
    <w:tmpl w:val="032C55D1"/>
    <w:lvl w:ilvl="0" w:tentative="0">
      <w:start w:val="1"/>
      <w:numFmt w:val="decimal"/>
      <w:suff w:val="nothing"/>
      <w:lvlText w:val="%1、"/>
      <w:lvlJc w:val="left"/>
    </w:lvl>
  </w:abstractNum>
  <w:abstractNum w:abstractNumId="16">
    <w:nsid w:val="0405EC3B"/>
    <w:multiLevelType w:val="singleLevel"/>
    <w:tmpl w:val="0405EC3B"/>
    <w:lvl w:ilvl="0" w:tentative="0">
      <w:start w:val="1"/>
      <w:numFmt w:val="decimal"/>
      <w:suff w:val="nothing"/>
      <w:lvlText w:val="%1、"/>
      <w:lvlJc w:val="left"/>
    </w:lvl>
  </w:abstractNum>
  <w:abstractNum w:abstractNumId="17">
    <w:nsid w:val="2F40ED6F"/>
    <w:multiLevelType w:val="singleLevel"/>
    <w:tmpl w:val="2F40ED6F"/>
    <w:lvl w:ilvl="0" w:tentative="0">
      <w:start w:val="1"/>
      <w:numFmt w:val="decimal"/>
      <w:suff w:val="nothing"/>
      <w:lvlText w:val="%1、"/>
      <w:lvlJc w:val="left"/>
    </w:lvl>
  </w:abstractNum>
  <w:abstractNum w:abstractNumId="18">
    <w:nsid w:val="3B60CAED"/>
    <w:multiLevelType w:val="singleLevel"/>
    <w:tmpl w:val="3B60CAED"/>
    <w:lvl w:ilvl="0" w:tentative="0">
      <w:start w:val="1"/>
      <w:numFmt w:val="decimal"/>
      <w:suff w:val="nothing"/>
      <w:lvlText w:val="%1、"/>
      <w:lvlJc w:val="left"/>
    </w:lvl>
  </w:abstractNum>
  <w:abstractNum w:abstractNumId="19">
    <w:nsid w:val="3CFE69C5"/>
    <w:multiLevelType w:val="singleLevel"/>
    <w:tmpl w:val="3CFE69C5"/>
    <w:lvl w:ilvl="0" w:tentative="0">
      <w:start w:val="1"/>
      <w:numFmt w:val="decimal"/>
      <w:suff w:val="nothing"/>
      <w:lvlText w:val="%1、"/>
      <w:lvlJc w:val="left"/>
    </w:lvl>
  </w:abstractNum>
  <w:abstractNum w:abstractNumId="20">
    <w:nsid w:val="49C3058C"/>
    <w:multiLevelType w:val="singleLevel"/>
    <w:tmpl w:val="49C3058C"/>
    <w:lvl w:ilvl="0" w:tentative="0">
      <w:start w:val="1"/>
      <w:numFmt w:val="decimal"/>
      <w:suff w:val="nothing"/>
      <w:lvlText w:val="%1、"/>
      <w:lvlJc w:val="left"/>
    </w:lvl>
  </w:abstractNum>
  <w:abstractNum w:abstractNumId="21">
    <w:nsid w:val="577D4AE1"/>
    <w:multiLevelType w:val="singleLevel"/>
    <w:tmpl w:val="577D4AE1"/>
    <w:lvl w:ilvl="0" w:tentative="0">
      <w:start w:val="1"/>
      <w:numFmt w:val="decimal"/>
      <w:suff w:val="nothing"/>
      <w:lvlText w:val="%1、"/>
      <w:lvlJc w:val="left"/>
    </w:lvl>
  </w:abstractNum>
  <w:abstractNum w:abstractNumId="22">
    <w:nsid w:val="5C51A6F4"/>
    <w:multiLevelType w:val="singleLevel"/>
    <w:tmpl w:val="5C51A6F4"/>
    <w:lvl w:ilvl="0" w:tentative="0">
      <w:start w:val="1"/>
      <w:numFmt w:val="decimal"/>
      <w:suff w:val="nothing"/>
      <w:lvlText w:val="%1、"/>
      <w:lvlJc w:val="left"/>
    </w:lvl>
  </w:abstractNum>
  <w:abstractNum w:abstractNumId="23">
    <w:nsid w:val="5EB4C0E5"/>
    <w:multiLevelType w:val="singleLevel"/>
    <w:tmpl w:val="5EB4C0E5"/>
    <w:lvl w:ilvl="0" w:tentative="0">
      <w:start w:val="1"/>
      <w:numFmt w:val="decimal"/>
      <w:suff w:val="nothing"/>
      <w:lvlText w:val="%1、"/>
      <w:lvlJc w:val="left"/>
    </w:lvl>
  </w:abstractNum>
  <w:abstractNum w:abstractNumId="24">
    <w:nsid w:val="67E8FA7B"/>
    <w:multiLevelType w:val="singleLevel"/>
    <w:tmpl w:val="67E8FA7B"/>
    <w:lvl w:ilvl="0" w:tentative="0">
      <w:start w:val="1"/>
      <w:numFmt w:val="decimal"/>
      <w:suff w:val="nothing"/>
      <w:lvlText w:val="%1、"/>
      <w:lvlJc w:val="left"/>
    </w:lvl>
  </w:abstractNum>
  <w:abstractNum w:abstractNumId="25">
    <w:nsid w:val="78155835"/>
    <w:multiLevelType w:val="singleLevel"/>
    <w:tmpl w:val="78155835"/>
    <w:lvl w:ilvl="0" w:tentative="0">
      <w:start w:val="1"/>
      <w:numFmt w:val="decimal"/>
      <w:suff w:val="nothing"/>
      <w:lvlText w:val="%1、"/>
      <w:lvlJc w:val="left"/>
    </w:lvl>
  </w:abstractNum>
  <w:abstractNum w:abstractNumId="26">
    <w:nsid w:val="7B6A641B"/>
    <w:multiLevelType w:val="singleLevel"/>
    <w:tmpl w:val="7B6A641B"/>
    <w:lvl w:ilvl="0" w:tentative="0">
      <w:start w:val="1"/>
      <w:numFmt w:val="decimal"/>
      <w:suff w:val="nothing"/>
      <w:lvlText w:val="%1、"/>
      <w:lvlJc w:val="left"/>
    </w:lvl>
  </w:abstractNum>
  <w:abstractNum w:abstractNumId="27">
    <w:nsid w:val="7CA0179D"/>
    <w:multiLevelType w:val="singleLevel"/>
    <w:tmpl w:val="7CA0179D"/>
    <w:lvl w:ilvl="0" w:tentative="0">
      <w:start w:val="1"/>
      <w:numFmt w:val="chineseCounting"/>
      <w:suff w:val="nothing"/>
      <w:lvlText w:val="%1、"/>
      <w:lvlJc w:val="left"/>
      <w:rPr>
        <w:rFonts w:hint="eastAsia"/>
      </w:rPr>
    </w:lvl>
  </w:abstractNum>
  <w:num w:numId="1">
    <w:abstractNumId w:val="27"/>
  </w:num>
  <w:num w:numId="2">
    <w:abstractNumId w:val="25"/>
  </w:num>
  <w:num w:numId="3">
    <w:abstractNumId w:val="7"/>
  </w:num>
  <w:num w:numId="4">
    <w:abstractNumId w:val="11"/>
  </w:num>
  <w:num w:numId="5">
    <w:abstractNumId w:val="23"/>
  </w:num>
  <w:num w:numId="6">
    <w:abstractNumId w:val="0"/>
  </w:num>
  <w:num w:numId="7">
    <w:abstractNumId w:val="24"/>
  </w:num>
  <w:num w:numId="8">
    <w:abstractNumId w:val="18"/>
  </w:num>
  <w:num w:numId="9">
    <w:abstractNumId w:val="19"/>
  </w:num>
  <w:num w:numId="10">
    <w:abstractNumId w:val="20"/>
  </w:num>
  <w:num w:numId="11">
    <w:abstractNumId w:val="12"/>
  </w:num>
  <w:num w:numId="12">
    <w:abstractNumId w:val="13"/>
  </w:num>
  <w:num w:numId="13">
    <w:abstractNumId w:val="22"/>
  </w:num>
  <w:num w:numId="14">
    <w:abstractNumId w:val="16"/>
  </w:num>
  <w:num w:numId="15">
    <w:abstractNumId w:val="5"/>
  </w:num>
  <w:num w:numId="16">
    <w:abstractNumId w:val="9"/>
  </w:num>
  <w:num w:numId="17">
    <w:abstractNumId w:val="14"/>
  </w:num>
  <w:num w:numId="18">
    <w:abstractNumId w:val="26"/>
  </w:num>
  <w:num w:numId="19">
    <w:abstractNumId w:val="21"/>
  </w:num>
  <w:num w:numId="20">
    <w:abstractNumId w:val="1"/>
  </w:num>
  <w:num w:numId="21">
    <w:abstractNumId w:val="3"/>
  </w:num>
  <w:num w:numId="22">
    <w:abstractNumId w:val="8"/>
  </w:num>
  <w:num w:numId="23">
    <w:abstractNumId w:val="4"/>
  </w:num>
  <w:num w:numId="24">
    <w:abstractNumId w:val="2"/>
  </w:num>
  <w:num w:numId="25">
    <w:abstractNumId w:val="15"/>
  </w:num>
  <w:num w:numId="26">
    <w:abstractNumId w:val="6"/>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123B1"/>
    <w:rsid w:val="01623AA7"/>
    <w:rsid w:val="043E46A5"/>
    <w:rsid w:val="04497A0D"/>
    <w:rsid w:val="06090FC4"/>
    <w:rsid w:val="06651202"/>
    <w:rsid w:val="0781540B"/>
    <w:rsid w:val="07885545"/>
    <w:rsid w:val="084D0C57"/>
    <w:rsid w:val="08CC7142"/>
    <w:rsid w:val="08CD4432"/>
    <w:rsid w:val="0B3806CA"/>
    <w:rsid w:val="0C1D5AC4"/>
    <w:rsid w:val="0ED253A4"/>
    <w:rsid w:val="11E26211"/>
    <w:rsid w:val="123B469A"/>
    <w:rsid w:val="14CA7F8F"/>
    <w:rsid w:val="171F170B"/>
    <w:rsid w:val="1B383A44"/>
    <w:rsid w:val="1E7F38E1"/>
    <w:rsid w:val="21901935"/>
    <w:rsid w:val="21CC56EB"/>
    <w:rsid w:val="21EA732D"/>
    <w:rsid w:val="222B42C8"/>
    <w:rsid w:val="23B56AB4"/>
    <w:rsid w:val="248D630E"/>
    <w:rsid w:val="26AF70D8"/>
    <w:rsid w:val="27125A73"/>
    <w:rsid w:val="27514878"/>
    <w:rsid w:val="2B5E5372"/>
    <w:rsid w:val="2D435F43"/>
    <w:rsid w:val="2F767CE8"/>
    <w:rsid w:val="2FFF01C7"/>
    <w:rsid w:val="302444DE"/>
    <w:rsid w:val="32EE0BD9"/>
    <w:rsid w:val="32F26FC1"/>
    <w:rsid w:val="349E28C1"/>
    <w:rsid w:val="35FA5E06"/>
    <w:rsid w:val="36810DF2"/>
    <w:rsid w:val="371B039A"/>
    <w:rsid w:val="3896082F"/>
    <w:rsid w:val="3A962C20"/>
    <w:rsid w:val="3B4E77CC"/>
    <w:rsid w:val="3CBB6029"/>
    <w:rsid w:val="3D2224D6"/>
    <w:rsid w:val="3E982DA7"/>
    <w:rsid w:val="3EF47BB2"/>
    <w:rsid w:val="3F910484"/>
    <w:rsid w:val="3FD17B43"/>
    <w:rsid w:val="400B696C"/>
    <w:rsid w:val="442713DF"/>
    <w:rsid w:val="44985862"/>
    <w:rsid w:val="46DC7330"/>
    <w:rsid w:val="492620E8"/>
    <w:rsid w:val="4A205469"/>
    <w:rsid w:val="4B3430C9"/>
    <w:rsid w:val="4B427F97"/>
    <w:rsid w:val="4C1553F7"/>
    <w:rsid w:val="4C557651"/>
    <w:rsid w:val="4DF86737"/>
    <w:rsid w:val="51F97CEA"/>
    <w:rsid w:val="534519EF"/>
    <w:rsid w:val="575C3BF2"/>
    <w:rsid w:val="576830FA"/>
    <w:rsid w:val="59C97BFD"/>
    <w:rsid w:val="5DD757A1"/>
    <w:rsid w:val="5E7C5FDE"/>
    <w:rsid w:val="5F0B26EA"/>
    <w:rsid w:val="5FD359B2"/>
    <w:rsid w:val="60991061"/>
    <w:rsid w:val="60E25864"/>
    <w:rsid w:val="62DA72A6"/>
    <w:rsid w:val="64C76DF9"/>
    <w:rsid w:val="67482549"/>
    <w:rsid w:val="69BE57FC"/>
    <w:rsid w:val="6C007FB3"/>
    <w:rsid w:val="6C2123B1"/>
    <w:rsid w:val="6C5A1E90"/>
    <w:rsid w:val="6E247FA5"/>
    <w:rsid w:val="6FE20BF3"/>
    <w:rsid w:val="7153348C"/>
    <w:rsid w:val="71775234"/>
    <w:rsid w:val="71AE0C2D"/>
    <w:rsid w:val="73FE229A"/>
    <w:rsid w:val="75A346B4"/>
    <w:rsid w:val="76E50572"/>
    <w:rsid w:val="782852F1"/>
    <w:rsid w:val="794D1FE5"/>
    <w:rsid w:val="7A855033"/>
    <w:rsid w:val="7BE22895"/>
    <w:rsid w:val="7BE76932"/>
    <w:rsid w:val="7C611FA3"/>
    <w:rsid w:val="7C6565DB"/>
    <w:rsid w:val="7D4F7C28"/>
    <w:rsid w:val="7F647BA4"/>
    <w:rsid w:val="BFEF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outlineLvl w:val="0"/>
    </w:pPr>
    <w:rPr>
      <w:rFonts w:eastAsia="黑体"/>
      <w:b/>
      <w:bCs/>
      <w:kern w:val="44"/>
      <w:sz w:val="32"/>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before="240" w:line="360" w:lineRule="auto"/>
      <w:ind w:firstLine="552" w:firstLineChars="263"/>
    </w:pPr>
    <w:rPr>
      <w:rFonts w:ascii="宋体" w:hAnsi="宋体"/>
      <w:szCs w:val="20"/>
    </w:rPr>
  </w:style>
  <w:style w:type="paragraph" w:styleId="4">
    <w:name w:val="Normal (Web)"/>
    <w:basedOn w:val="1"/>
    <w:next w:val="1"/>
    <w:qFormat/>
    <w:uiPriority w:val="0"/>
    <w:rPr>
      <w:sz w:val="24"/>
    </w:rPr>
  </w:style>
  <w:style w:type="paragraph" w:styleId="6">
    <w:name w:val="annotation text"/>
    <w:basedOn w:val="1"/>
    <w:qFormat/>
    <w:uiPriority w:val="99"/>
    <w:pPr>
      <w:jc w:val="left"/>
    </w:pPr>
  </w:style>
  <w:style w:type="paragraph" w:styleId="7">
    <w:name w:val="Body Text"/>
    <w:basedOn w:val="1"/>
    <w:next w:val="8"/>
    <w:qFormat/>
    <w:uiPriority w:val="0"/>
    <w:rPr>
      <w:rFonts w:ascii="Calibri" w:hAnsi="Calibri" w:eastAsia="宋体" w:cs="Times New Roman"/>
      <w:szCs w:val="24"/>
    </w:rPr>
  </w:style>
  <w:style w:type="paragraph" w:styleId="8">
    <w:name w:val="Body Text First Indent"/>
    <w:basedOn w:val="7"/>
    <w:qFormat/>
    <w:uiPriority w:val="0"/>
    <w:pPr>
      <w:spacing w:after="120"/>
      <w:ind w:firstLine="420" w:firstLineChars="100"/>
    </w:pPr>
    <w:rPr>
      <w:sz w:val="3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adjustRightInd w:val="0"/>
      <w:spacing w:line="312" w:lineRule="atLeast"/>
      <w:jc w:val="left"/>
      <w:textAlignment w:val="baseline"/>
    </w:pPr>
    <w:rPr>
      <w:kern w:val="0"/>
      <w:sz w:val="1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2021-08-05T13:12:00Z</dcterms:created>
  <dc:creator>开心悠宝</dc:creator>
  <cp:lastModifiedBy>greatwall</cp:lastModifiedBy>
  <cp:lastPrinted>2021-08-26T16:26:00Z</cp:lastPrinted>
  <dcterms:modified xsi:type="dcterms:W3CDTF">2021-09-22T16:06:00Z</dcterms:modified>
  <dc:title>附录1：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D15181379FE5469A85355D48EDF2FFD3</vt:lpwstr>
  </property>
</Properties>
</file>