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A094">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pPr>
      <w:r>
        <w:rPr>
          <w:rFonts w:hint="default" w:ascii="Times New Roman" w:hAnsi="Times New Roman" w:eastAsia="方正小标宋简体" w:cs="Times New Roman"/>
          <w:b w:val="0"/>
          <w:bCs/>
          <w:spacing w:val="-20"/>
          <w:sz w:val="44"/>
          <w:szCs w:val="44"/>
          <w:highlight w:val="none"/>
        </w:rPr>
        <w:t>《新疆维吾尔自治区</w:t>
      </w:r>
      <w:r>
        <w:rPr>
          <w:rFonts w:hint="default" w:ascii="Times New Roman" w:hAnsi="Times New Roman" w:eastAsia="方正小标宋简体" w:cs="Times New Roman"/>
          <w:b w:val="0"/>
          <w:bCs/>
          <w:spacing w:val="-20"/>
          <w:sz w:val="44"/>
          <w:szCs w:val="44"/>
          <w:highlight w:val="none"/>
          <w:lang w:eastAsia="zh-CN"/>
        </w:rPr>
        <w:t>建设工程造价管理办法</w:t>
      </w:r>
      <w:r>
        <w:rPr>
          <w:rFonts w:hint="default" w:ascii="Times New Roman" w:hAnsi="Times New Roman" w:eastAsia="方正小标宋简体" w:cs="Times New Roman"/>
          <w:b w:val="0"/>
          <w:bCs/>
          <w:spacing w:val="-20"/>
          <w:sz w:val="44"/>
          <w:szCs w:val="44"/>
          <w:highlight w:val="none"/>
        </w:rPr>
        <w:t>（</w:t>
      </w:r>
      <w:r>
        <w:rPr>
          <w:rFonts w:hint="default" w:ascii="Times New Roman" w:hAnsi="Times New Roman" w:eastAsia="方正小标宋简体" w:cs="Times New Roman"/>
          <w:b w:val="0"/>
          <w:bCs/>
          <w:spacing w:val="-20"/>
          <w:sz w:val="44"/>
          <w:szCs w:val="44"/>
          <w:highlight w:val="none"/>
          <w:lang w:val="en-US" w:eastAsia="zh-CN"/>
        </w:rPr>
        <w:t>修订草案</w:t>
      </w:r>
      <w:r>
        <w:rPr>
          <w:rFonts w:hint="eastAsia" w:ascii="Times New Roman" w:hAnsi="Times New Roman" w:eastAsia="方正小标宋简体" w:cs="Times New Roman"/>
          <w:b w:val="0"/>
          <w:bCs/>
          <w:spacing w:val="-20"/>
          <w:sz w:val="44"/>
          <w:szCs w:val="44"/>
          <w:highlight w:val="none"/>
          <w:lang w:val="en-US" w:eastAsia="zh-CN"/>
        </w:rPr>
        <w:t>征求意见稿</w:t>
      </w:r>
      <w:r>
        <w:rPr>
          <w:rFonts w:hint="default" w:ascii="Times New Roman" w:hAnsi="Times New Roman" w:eastAsia="方正小标宋简体" w:cs="Times New Roman"/>
          <w:b w:val="0"/>
          <w:bCs/>
          <w:spacing w:val="-20"/>
          <w:sz w:val="44"/>
          <w:szCs w:val="44"/>
          <w:highlight w:val="none"/>
        </w:rPr>
        <w:t>）》</w:t>
      </w:r>
      <w:r>
        <w:rPr>
          <w:rFonts w:hint="eastAsia" w:ascii="Times New Roman" w:hAnsi="Times New Roman" w:eastAsia="方正小标宋简体" w:cs="Times New Roman"/>
          <w:b w:val="0"/>
          <w:bCs/>
          <w:spacing w:val="-20"/>
          <w:sz w:val="44"/>
          <w:szCs w:val="44"/>
          <w:highlight w:val="none"/>
          <w:lang w:val="en-US" w:eastAsia="zh-CN"/>
        </w:rPr>
        <w:t>面向社会征求</w:t>
      </w:r>
      <w:r>
        <w:rPr>
          <w:rFonts w:hint="default" w:ascii="Times New Roman" w:hAnsi="Times New Roman" w:eastAsia="方正小标宋简体" w:cs="Times New Roman"/>
          <w:b w:val="0"/>
          <w:bCs/>
          <w:spacing w:val="-20"/>
          <w:sz w:val="44"/>
          <w:szCs w:val="44"/>
          <w:highlight w:val="none"/>
        </w:rPr>
        <w:t>意见建议采纳情况汇总表</w:t>
      </w:r>
    </w:p>
    <w:p w14:paraId="429EF1AD"/>
    <w:tbl>
      <w:tblPr>
        <w:tblStyle w:val="3"/>
        <w:tblW w:w="5457" w:type="pct"/>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500"/>
        <w:gridCol w:w="8173"/>
        <w:gridCol w:w="5025"/>
      </w:tblGrid>
      <w:tr w14:paraId="6741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72" w:type="dxa"/>
            <w:tcBorders>
              <w:top w:val="single" w:color="auto" w:sz="4" w:space="0"/>
              <w:left w:val="single" w:color="auto" w:sz="4" w:space="0"/>
              <w:bottom w:val="single" w:color="auto" w:sz="4" w:space="0"/>
              <w:right w:val="single" w:color="auto" w:sz="4" w:space="0"/>
            </w:tcBorders>
            <w:noWrap w:val="0"/>
            <w:vAlign w:val="top"/>
          </w:tcPr>
          <w:p w14:paraId="7D169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4"/>
                <w:szCs w:val="24"/>
                <w:highlight w:val="none"/>
                <w:u w:val="none"/>
                <w:lang w:eastAsia="zh-CN"/>
              </w:rPr>
            </w:pPr>
            <w:r>
              <w:rPr>
                <w:rFonts w:hint="default" w:ascii="Times New Roman" w:hAnsi="Times New Roman" w:eastAsia="仿宋_GB2312" w:cs="Times New Roman"/>
                <w:b/>
                <w:bCs w:val="0"/>
                <w:color w:val="auto"/>
                <w:sz w:val="24"/>
                <w:szCs w:val="24"/>
                <w:highlight w:val="none"/>
                <w:u w:val="none"/>
                <w:lang w:eastAsia="zh-CN"/>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55C6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4"/>
                <w:szCs w:val="24"/>
                <w:highlight w:val="none"/>
                <w:u w:val="none"/>
                <w:lang w:val="en-US" w:eastAsia="zh-CN"/>
              </w:rPr>
            </w:pPr>
            <w:r>
              <w:rPr>
                <w:rFonts w:hint="default" w:ascii="Times New Roman" w:hAnsi="Times New Roman" w:eastAsia="仿宋_GB2312" w:cs="Times New Roman"/>
                <w:b/>
                <w:bCs w:val="0"/>
                <w:color w:val="auto"/>
                <w:sz w:val="24"/>
                <w:szCs w:val="24"/>
                <w:highlight w:val="none"/>
                <w:u w:val="none"/>
                <w:lang w:val="en-US" w:eastAsia="zh-CN"/>
              </w:rPr>
              <w:t>单位或姓名</w:t>
            </w:r>
          </w:p>
        </w:tc>
        <w:tc>
          <w:tcPr>
            <w:tcW w:w="8173" w:type="dxa"/>
            <w:tcBorders>
              <w:top w:val="single" w:color="auto" w:sz="4" w:space="0"/>
              <w:left w:val="single" w:color="auto" w:sz="4" w:space="0"/>
              <w:bottom w:val="single" w:color="auto" w:sz="4" w:space="0"/>
              <w:right w:val="single" w:color="auto" w:sz="4" w:space="0"/>
            </w:tcBorders>
            <w:noWrap w:val="0"/>
            <w:vAlign w:val="center"/>
          </w:tcPr>
          <w:p w14:paraId="359A5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4"/>
                <w:szCs w:val="24"/>
                <w:highlight w:val="none"/>
                <w:u w:val="none"/>
                <w:lang w:eastAsia="zh-CN"/>
              </w:rPr>
            </w:pPr>
            <w:r>
              <w:rPr>
                <w:rFonts w:hint="default" w:ascii="Times New Roman" w:hAnsi="Times New Roman" w:eastAsia="仿宋_GB2312" w:cs="Times New Roman"/>
                <w:b/>
                <w:bCs w:val="0"/>
                <w:color w:val="auto"/>
                <w:sz w:val="24"/>
                <w:szCs w:val="24"/>
                <w:highlight w:val="none"/>
                <w:u w:val="none"/>
                <w:lang w:eastAsia="zh-CN"/>
              </w:rPr>
              <w:t>具体反馈意见建议</w:t>
            </w:r>
          </w:p>
        </w:tc>
        <w:tc>
          <w:tcPr>
            <w:tcW w:w="5025" w:type="dxa"/>
            <w:tcBorders>
              <w:top w:val="single" w:color="auto" w:sz="4" w:space="0"/>
              <w:left w:val="single" w:color="auto" w:sz="4" w:space="0"/>
              <w:bottom w:val="single" w:color="auto" w:sz="4" w:space="0"/>
              <w:right w:val="single" w:color="auto" w:sz="4" w:space="0"/>
            </w:tcBorders>
            <w:noWrap w:val="0"/>
            <w:vAlign w:val="center"/>
          </w:tcPr>
          <w:p w14:paraId="2FC90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b/>
                <w:bCs w:val="0"/>
                <w:color w:val="auto"/>
                <w:sz w:val="24"/>
                <w:szCs w:val="24"/>
                <w:highlight w:val="none"/>
                <w:u w:val="none"/>
                <w:lang w:eastAsia="zh-CN"/>
              </w:rPr>
            </w:pPr>
            <w:r>
              <w:rPr>
                <w:rFonts w:hint="default" w:ascii="Times New Roman" w:hAnsi="Times New Roman" w:eastAsia="仿宋_GB2312" w:cs="Times New Roman"/>
                <w:b/>
                <w:bCs w:val="0"/>
                <w:color w:val="auto"/>
                <w:sz w:val="24"/>
                <w:szCs w:val="24"/>
                <w:highlight w:val="none"/>
                <w:u w:val="none"/>
                <w:lang w:eastAsia="zh-CN"/>
              </w:rPr>
              <w:t>意见采纳情况及理由</w:t>
            </w:r>
          </w:p>
        </w:tc>
      </w:tr>
      <w:tr w14:paraId="7565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7F42CA58">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1</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EFE91D3">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中国建设银行股份有限公司新疆维吾尔自治区分行</w:t>
            </w:r>
          </w:p>
        </w:tc>
        <w:tc>
          <w:tcPr>
            <w:tcW w:w="8173" w:type="dxa"/>
            <w:tcBorders>
              <w:top w:val="single" w:color="auto" w:sz="4" w:space="0"/>
              <w:left w:val="single" w:color="auto" w:sz="4" w:space="0"/>
              <w:bottom w:val="single" w:color="auto" w:sz="4" w:space="0"/>
              <w:right w:val="single" w:color="auto" w:sz="4" w:space="0"/>
            </w:tcBorders>
            <w:noWrap w:val="0"/>
            <w:vAlign w:val="top"/>
          </w:tcPr>
          <w:p w14:paraId="670D968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w:t>
            </w:r>
            <w:r>
              <w:rPr>
                <w:rFonts w:hint="default" w:ascii="Times New Roman" w:hAnsi="Times New Roman" w:eastAsia="仿宋_GB2312" w:cs="Times New Roman"/>
                <w:bCs/>
                <w:sz w:val="24"/>
                <w:szCs w:val="24"/>
                <w:lang w:val="en-US" w:eastAsia="zh-CN"/>
              </w:rPr>
              <w:t>第4页第十二条(二)建议增加“施工图预算”。施工图预算还是很常见的咨询业务类型，建议增加。</w:t>
            </w:r>
          </w:p>
          <w:p w14:paraId="5F9C7D40">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4F916FBD">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建议2：</w:t>
            </w:r>
            <w:r>
              <w:rPr>
                <w:rFonts w:hint="default" w:ascii="Times New Roman" w:hAnsi="Times New Roman" w:eastAsia="仿宋_GB2312" w:cs="Times New Roman"/>
                <w:bCs/>
                <w:sz w:val="24"/>
                <w:szCs w:val="24"/>
                <w:lang w:val="en-US" w:eastAsia="zh-CN"/>
              </w:rPr>
              <w:t>第7页第二十五条第二段第三行至第四行，建议改为“工程造价咨询企业出具的工程造价咨询成果文件应当加盖企业印章”。这里原文的“公章”显得范围过于狭窄，应该是只要经授权且法律认可的企业关于造价咨询业务的印章即可，建议这里改为“企业印章”。</w:t>
            </w:r>
          </w:p>
          <w:p w14:paraId="05917F0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kern w:val="2"/>
                <w:sz w:val="24"/>
                <w:szCs w:val="24"/>
                <w:lang w:val="en-US" w:eastAsia="zh-CN" w:bidi="ar-SA"/>
              </w:rPr>
            </w:pPr>
          </w:p>
        </w:tc>
        <w:tc>
          <w:tcPr>
            <w:tcW w:w="5025" w:type="dxa"/>
            <w:tcBorders>
              <w:top w:val="single" w:color="auto" w:sz="4" w:space="0"/>
              <w:left w:val="single" w:color="auto" w:sz="4" w:space="0"/>
              <w:bottom w:val="single" w:color="auto" w:sz="4" w:space="0"/>
              <w:right w:val="single" w:color="auto" w:sz="4" w:space="0"/>
            </w:tcBorders>
            <w:noWrap w:val="0"/>
            <w:vAlign w:val="top"/>
          </w:tcPr>
          <w:p w14:paraId="16096B53">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建议1采纳，</w:t>
            </w:r>
            <w:r>
              <w:rPr>
                <w:rFonts w:hint="default" w:ascii="Times New Roman" w:hAnsi="Times New Roman" w:eastAsia="仿宋_GB2312" w:cs="Times New Roman"/>
                <w:bCs/>
                <w:sz w:val="24"/>
                <w:szCs w:val="24"/>
                <w:lang w:val="en-US" w:eastAsia="zh-CN"/>
              </w:rPr>
              <w:t>已在原文中修改。</w:t>
            </w:r>
          </w:p>
          <w:p w14:paraId="151E9CCF">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3734783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21C03F12">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
                <w:bCs w:val="0"/>
                <w:sz w:val="24"/>
                <w:szCs w:val="24"/>
                <w:lang w:val="en-US" w:eastAsia="zh-CN"/>
              </w:rPr>
              <w:t>建议2采纳，</w:t>
            </w:r>
            <w:r>
              <w:rPr>
                <w:rFonts w:hint="default" w:ascii="Times New Roman" w:hAnsi="Times New Roman" w:eastAsia="仿宋_GB2312" w:cs="Times New Roman"/>
                <w:bCs/>
                <w:sz w:val="24"/>
                <w:szCs w:val="24"/>
                <w:lang w:val="en-US" w:eastAsia="zh-CN"/>
              </w:rPr>
              <w:t>已在原文中修改。</w:t>
            </w:r>
          </w:p>
        </w:tc>
      </w:tr>
      <w:tr w14:paraId="3FF72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7C22C414">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AE17175">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新疆天壹中山工程咨询有限公司</w:t>
            </w:r>
          </w:p>
        </w:tc>
        <w:tc>
          <w:tcPr>
            <w:tcW w:w="8173" w:type="dxa"/>
            <w:tcBorders>
              <w:top w:val="single" w:color="auto" w:sz="4" w:space="0"/>
              <w:left w:val="single" w:color="auto" w:sz="4" w:space="0"/>
              <w:bottom w:val="single" w:color="auto" w:sz="4" w:space="0"/>
              <w:right w:val="single" w:color="auto" w:sz="4" w:space="0"/>
            </w:tcBorders>
            <w:noWrap w:val="0"/>
            <w:vAlign w:val="top"/>
          </w:tcPr>
          <w:p w14:paraId="78E50DB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w:t>
            </w:r>
            <w:r>
              <w:rPr>
                <w:rFonts w:hint="default" w:ascii="Times New Roman" w:hAnsi="Times New Roman" w:eastAsia="仿宋_GB2312" w:cs="Times New Roman"/>
                <w:bCs/>
                <w:sz w:val="24"/>
                <w:szCs w:val="24"/>
                <w:lang w:val="en-US" w:eastAsia="zh-CN"/>
              </w:rPr>
              <w:t xml:space="preserve">建议明确具体执行时间节点，还需细化之前已招标未开工、已招标未签订合同的项目或已开工未结算的项目等具体执行条例，避免在实施过程中多方产生纠纷。 </w:t>
            </w:r>
          </w:p>
          <w:p w14:paraId="7755614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0D95D395">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建议2：</w:t>
            </w:r>
            <w:r>
              <w:rPr>
                <w:rFonts w:hint="default" w:ascii="Times New Roman" w:hAnsi="Times New Roman" w:eastAsia="仿宋_GB2312" w:cs="Times New Roman"/>
                <w:bCs/>
                <w:sz w:val="24"/>
                <w:szCs w:val="24"/>
                <w:lang w:val="en-US" w:eastAsia="zh-CN"/>
              </w:rPr>
              <w:t>关于造价依据与信息发布的现状问题：人工、材料、机械价格波动频繁，信息价发布滞后易引发结算时期纠纷，计价软件内置信息价与官方发布时间滞后引发控制价时期误差。建议明确具体的解决办法。</w:t>
            </w:r>
          </w:p>
          <w:p w14:paraId="6610779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102E9160">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建议3：</w:t>
            </w:r>
            <w:r>
              <w:rPr>
                <w:rFonts w:hint="default" w:ascii="Times New Roman" w:hAnsi="Times New Roman" w:eastAsia="仿宋_GB2312" w:cs="Times New Roman"/>
                <w:bCs/>
                <w:sz w:val="24"/>
                <w:szCs w:val="24"/>
                <w:lang w:val="en-US" w:eastAsia="zh-CN"/>
              </w:rPr>
              <w:t xml:space="preserve">根据以往的实施案例，在编制工程量清单、招标控制价及竣工结算审核过程中，因为参建单位立场不同，可能会存在对执行条款理解有偏差或歧义的情况。建议有相对高效和直接的方式针对各参建单位立场进行有重点的宣贯，避免在实施过程中多方产生纠纷。 </w:t>
            </w:r>
          </w:p>
          <w:p w14:paraId="2B0999CD">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4E11EEAA">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建议4：</w:t>
            </w:r>
            <w:r>
              <w:rPr>
                <w:rFonts w:hint="default" w:ascii="Times New Roman" w:hAnsi="Times New Roman" w:eastAsia="仿宋_GB2312" w:cs="Times New Roman"/>
                <w:bCs/>
                <w:sz w:val="24"/>
                <w:szCs w:val="24"/>
                <w:lang w:val="en-US" w:eastAsia="zh-CN"/>
              </w:rPr>
              <w:t>建议明确各方主体责任进一步细化建设单位、施工单位、设计单位造价咨询单位等主体的责任边界，尤其是对造价争议的协调处理机制，经常会遇到责任划分不明确导致清单漏项或与概算内容不一致的情况。</w:t>
            </w:r>
          </w:p>
          <w:p w14:paraId="463AEB1A">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6BF611C7">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建议5：</w:t>
            </w:r>
            <w:r>
              <w:rPr>
                <w:rFonts w:hint="default" w:ascii="Times New Roman" w:hAnsi="Times New Roman" w:eastAsia="仿宋_GB2312" w:cs="Times New Roman"/>
                <w:bCs/>
                <w:sz w:val="24"/>
                <w:szCs w:val="24"/>
                <w:lang w:val="en-US" w:eastAsia="zh-CN"/>
              </w:rPr>
              <w:t xml:space="preserve">关于合同价与结算管理，施工过程中变更频繁，结算拖延现象普遍。建议强制要求合同中明确变更签证的计价原则和时限，避免事后争议。明确变更的必要性及责任。 </w:t>
            </w:r>
          </w:p>
          <w:p w14:paraId="7624A63A">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0944A294">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建议6：</w:t>
            </w:r>
            <w:r>
              <w:rPr>
                <w:rFonts w:hint="default" w:ascii="Times New Roman" w:hAnsi="Times New Roman" w:eastAsia="仿宋_GB2312" w:cs="Times New Roman"/>
                <w:bCs/>
                <w:sz w:val="24"/>
                <w:szCs w:val="24"/>
                <w:lang w:val="en-US" w:eastAsia="zh-CN"/>
              </w:rPr>
              <w:t xml:space="preserve">建议推行过程结算制度，明确节点结算的程序和时限，缓解竣工结算压力。 </w:t>
            </w:r>
          </w:p>
          <w:p w14:paraId="3EFA1808">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5E798359">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
                <w:bCs w:val="0"/>
                <w:sz w:val="24"/>
                <w:szCs w:val="24"/>
                <w:lang w:val="en-US" w:eastAsia="zh-CN"/>
              </w:rPr>
              <w:t>建议7：</w:t>
            </w:r>
            <w:r>
              <w:rPr>
                <w:rFonts w:hint="default" w:ascii="Times New Roman" w:hAnsi="Times New Roman" w:eastAsia="仿宋_GB2312" w:cs="Times New Roman"/>
                <w:bCs/>
                <w:sz w:val="24"/>
                <w:szCs w:val="24"/>
                <w:lang w:val="en-US" w:eastAsia="zh-CN"/>
              </w:rPr>
              <w:t>建议建立造价咨询企业信用评价体系，与招投标、执业资格等挂钩。加强对从业人员继续教育的要求，尤其是对新技术、新政策的培训。</w:t>
            </w:r>
          </w:p>
        </w:tc>
        <w:tc>
          <w:tcPr>
            <w:tcW w:w="5025" w:type="dxa"/>
            <w:tcBorders>
              <w:top w:val="single" w:color="auto" w:sz="4" w:space="0"/>
              <w:left w:val="single" w:color="auto" w:sz="4" w:space="0"/>
              <w:bottom w:val="single" w:color="auto" w:sz="4" w:space="0"/>
              <w:right w:val="single" w:color="auto" w:sz="4" w:space="0"/>
            </w:tcBorders>
            <w:noWrap w:val="0"/>
            <w:vAlign w:val="top"/>
          </w:tcPr>
          <w:p w14:paraId="584C2B43">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建议1未采纳，</w:t>
            </w:r>
            <w:r>
              <w:rPr>
                <w:rFonts w:hint="default" w:ascii="Times New Roman" w:hAnsi="Times New Roman" w:eastAsia="仿宋_GB2312" w:cs="Times New Roman"/>
                <w:b w:val="0"/>
                <w:bCs/>
                <w:sz w:val="24"/>
                <w:szCs w:val="24"/>
                <w:lang w:val="en-US" w:eastAsia="zh-CN"/>
              </w:rPr>
              <w:t>该建议不宜在本办法中具体体现。</w:t>
            </w:r>
          </w:p>
          <w:p w14:paraId="292B823B">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57337642">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064469B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建议2采纳，</w:t>
            </w:r>
            <w:r>
              <w:rPr>
                <w:rFonts w:hint="default" w:ascii="Times New Roman" w:hAnsi="Times New Roman" w:eastAsia="仿宋_GB2312" w:cs="Times New Roman"/>
                <w:b w:val="0"/>
                <w:bCs/>
                <w:sz w:val="24"/>
                <w:szCs w:val="24"/>
                <w:lang w:val="en-US" w:eastAsia="zh-CN"/>
              </w:rPr>
              <w:t>该问题可参照《新疆维吾尔自治区信息管理办法》执行。</w:t>
            </w:r>
          </w:p>
          <w:p w14:paraId="23315787">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58E078CF">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4FE59C0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建议3采纳，</w:t>
            </w:r>
            <w:r>
              <w:rPr>
                <w:rFonts w:hint="default" w:ascii="Times New Roman" w:hAnsi="Times New Roman" w:eastAsia="仿宋_GB2312" w:cs="Times New Roman"/>
                <w:b w:val="0"/>
                <w:bCs/>
                <w:sz w:val="24"/>
                <w:szCs w:val="24"/>
                <w:lang w:val="en-US" w:eastAsia="zh-CN"/>
              </w:rPr>
              <w:t>本办法发布后，将统一进行解读宣贯。</w:t>
            </w:r>
          </w:p>
          <w:p w14:paraId="35523224">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470A8ABB">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30B00724">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6963A93B">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建议4采纳，</w:t>
            </w:r>
            <w:r>
              <w:rPr>
                <w:rFonts w:hint="default" w:ascii="Times New Roman" w:hAnsi="Times New Roman" w:eastAsia="仿宋_GB2312" w:cs="Times New Roman"/>
                <w:b w:val="0"/>
                <w:bCs/>
                <w:sz w:val="24"/>
                <w:szCs w:val="24"/>
                <w:lang w:val="en-US" w:eastAsia="zh-CN"/>
              </w:rPr>
              <w:t>可参考本办法第二十二条【争议处理方式】执行。</w:t>
            </w:r>
          </w:p>
          <w:p w14:paraId="18C42152">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69F92277">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0D0F833C">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建议5采纳，</w:t>
            </w:r>
            <w:r>
              <w:rPr>
                <w:rFonts w:hint="default" w:ascii="Times New Roman" w:hAnsi="Times New Roman" w:eastAsia="仿宋_GB2312" w:cs="Times New Roman"/>
                <w:b w:val="0"/>
                <w:bCs/>
                <w:sz w:val="24"/>
                <w:szCs w:val="24"/>
                <w:lang w:val="en-US" w:eastAsia="zh-CN"/>
              </w:rPr>
              <w:t>可参考本办法第十九条【计价条款约定】执行。</w:t>
            </w:r>
          </w:p>
          <w:p w14:paraId="1C2711CD">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5FB5788A">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61A11A48">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建议6采纳，</w:t>
            </w:r>
            <w:r>
              <w:rPr>
                <w:rFonts w:hint="default" w:ascii="Times New Roman" w:hAnsi="Times New Roman" w:eastAsia="仿宋_GB2312" w:cs="Times New Roman"/>
                <w:b w:val="0"/>
                <w:bCs/>
                <w:sz w:val="24"/>
                <w:szCs w:val="24"/>
                <w:lang w:val="en-US" w:eastAsia="zh-CN"/>
              </w:rPr>
              <w:t>可参考本办法第二十条【施工过程结算】条款执行。</w:t>
            </w:r>
          </w:p>
          <w:p w14:paraId="3AAADFC0">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17F3D973">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sz w:val="24"/>
                <w:szCs w:val="24"/>
                <w:lang w:val="en-US" w:eastAsia="zh-CN"/>
              </w:rPr>
              <w:t>建议7采纳，</w:t>
            </w:r>
            <w:r>
              <w:rPr>
                <w:rFonts w:hint="default" w:ascii="Times New Roman" w:hAnsi="Times New Roman" w:eastAsia="仿宋_GB2312" w:cs="Times New Roman"/>
                <w:b w:val="0"/>
                <w:bCs/>
                <w:sz w:val="24"/>
                <w:szCs w:val="24"/>
                <w:lang w:val="en-US" w:eastAsia="zh-CN"/>
              </w:rPr>
              <w:t>可参照《新疆维吾尔自治区工程造价咨询企业及从业人员信用评价管理办法》执行，本办法第二十六条【咨询企业内部管控】已有相应内容。</w:t>
            </w:r>
          </w:p>
        </w:tc>
      </w:tr>
      <w:tr w14:paraId="2E34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375196B2">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3</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9117EF">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新疆招标有限公司</w:t>
            </w:r>
          </w:p>
        </w:tc>
        <w:tc>
          <w:tcPr>
            <w:tcW w:w="8173" w:type="dxa"/>
            <w:tcBorders>
              <w:top w:val="single" w:color="auto" w:sz="4" w:space="0"/>
              <w:left w:val="single" w:color="auto" w:sz="4" w:space="0"/>
              <w:bottom w:val="single" w:color="auto" w:sz="4" w:space="0"/>
              <w:right w:val="single" w:color="auto" w:sz="4" w:space="0"/>
            </w:tcBorders>
            <w:noWrap w:val="0"/>
            <w:vAlign w:val="top"/>
          </w:tcPr>
          <w:p w14:paraId="7C538585">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w:t>
            </w:r>
            <w:r>
              <w:rPr>
                <w:rFonts w:hint="default" w:ascii="Times New Roman" w:hAnsi="Times New Roman" w:eastAsia="仿宋_GB2312" w:cs="Times New Roman"/>
                <w:bCs/>
                <w:sz w:val="24"/>
                <w:szCs w:val="24"/>
                <w:lang w:val="en-US" w:eastAsia="zh-CN"/>
              </w:rPr>
              <w:t>第一条建议：增加《中华人民共和国民法典》；</w:t>
            </w:r>
          </w:p>
          <w:p w14:paraId="4270E52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62E01084">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78C564D5">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建议2：</w:t>
            </w:r>
            <w:r>
              <w:rPr>
                <w:rFonts w:hint="default" w:ascii="Times New Roman" w:hAnsi="Times New Roman" w:eastAsia="仿宋_GB2312" w:cs="Times New Roman"/>
                <w:bCs/>
                <w:sz w:val="24"/>
                <w:szCs w:val="24"/>
                <w:lang w:val="en-US" w:eastAsia="zh-CN"/>
              </w:rPr>
              <w:t>第三条【概念定义】建议：内容增加审核，比如(一)编制与审核投资估算、编制与审核设计概算；增加概预算的编制与审核，并配合设计方案比选、优化设计、限额设计等工作进行工程造价分析与控制；(二)编制与审核施工图预算、工程量清单、最高投标限价、投标报价；(三)合同价款的签订与调整(包括工程变更、工程洽商和索赔费用的计算)与工程款支付；(四)工程结算、竣工结算和决算报告的编制与审核；</w:t>
            </w:r>
          </w:p>
          <w:p w14:paraId="35533759">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2A9F6808">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建议3：</w:t>
            </w:r>
            <w:r>
              <w:rPr>
                <w:rFonts w:hint="default" w:ascii="Times New Roman" w:hAnsi="Times New Roman" w:eastAsia="仿宋_GB2312" w:cs="Times New Roman"/>
                <w:bCs/>
                <w:sz w:val="24"/>
                <w:szCs w:val="24"/>
                <w:lang w:val="en-US" w:eastAsia="zh-CN"/>
              </w:rPr>
              <w:t>第十八条【合同价款确定要求】建议：发承包双方在合同约定中不得违背招标、投标文件中关于“工程范围、工程价款与支付方式、质量标准与验收要求、履行期限与工期、违约责任”等实质性内容；</w:t>
            </w:r>
          </w:p>
          <w:p w14:paraId="607F8F3C">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406BBE29">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建议4：</w:t>
            </w:r>
            <w:r>
              <w:rPr>
                <w:rFonts w:hint="default" w:ascii="Times New Roman" w:hAnsi="Times New Roman" w:eastAsia="仿宋_GB2312" w:cs="Times New Roman"/>
                <w:bCs/>
                <w:sz w:val="24"/>
                <w:szCs w:val="24"/>
                <w:lang w:val="en-US" w:eastAsia="zh-CN"/>
              </w:rPr>
              <w:t>第十九条【计价条款约定】建议：增加安全生产费、预付款条款约定</w:t>
            </w:r>
          </w:p>
          <w:p w14:paraId="05B893A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78E6752B">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7F951DB3">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sz w:val="24"/>
                <w:szCs w:val="24"/>
                <w:lang w:val="en-US" w:eastAsia="zh-CN"/>
              </w:rPr>
              <w:t>建议5：</w:t>
            </w:r>
            <w:r>
              <w:rPr>
                <w:rFonts w:hint="default" w:ascii="Times New Roman" w:hAnsi="Times New Roman" w:eastAsia="仿宋_GB2312" w:cs="Times New Roman"/>
                <w:bCs/>
                <w:sz w:val="24"/>
                <w:szCs w:val="24"/>
                <w:lang w:val="en-US" w:eastAsia="zh-CN"/>
              </w:rPr>
              <w:t>第十九条【计价条款约定】建议：将(六)提高….所增加“工程费用”改成工程造价或者建安费用。</w:t>
            </w:r>
          </w:p>
        </w:tc>
        <w:tc>
          <w:tcPr>
            <w:tcW w:w="5025" w:type="dxa"/>
            <w:tcBorders>
              <w:top w:val="single" w:color="auto" w:sz="4" w:space="0"/>
              <w:left w:val="single" w:color="auto" w:sz="4" w:space="0"/>
              <w:bottom w:val="single" w:color="auto" w:sz="4" w:space="0"/>
              <w:right w:val="single" w:color="auto" w:sz="4" w:space="0"/>
            </w:tcBorders>
            <w:noWrap w:val="0"/>
            <w:vAlign w:val="top"/>
          </w:tcPr>
          <w:p w14:paraId="788EA0A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建议1未采纳，</w:t>
            </w:r>
            <w:r>
              <w:rPr>
                <w:rFonts w:hint="default" w:ascii="Times New Roman" w:hAnsi="Times New Roman" w:eastAsia="仿宋_GB2312" w:cs="Times New Roman"/>
                <w:b w:val="0"/>
                <w:bCs/>
                <w:sz w:val="24"/>
                <w:szCs w:val="24"/>
                <w:lang w:val="en-US" w:eastAsia="zh-CN"/>
              </w:rPr>
              <w:t>《民法典》为各类立法提供依据，已是基本原则，无需在此单独列明。</w:t>
            </w:r>
          </w:p>
          <w:p w14:paraId="6040657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16DC3B68">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建议2未采纳</w:t>
            </w:r>
            <w:r>
              <w:rPr>
                <w:rFonts w:hint="default" w:ascii="Times New Roman" w:hAnsi="Times New Roman" w:eastAsia="仿宋_GB2312" w:cs="Times New Roman"/>
                <w:b w:val="0"/>
                <w:bCs/>
                <w:sz w:val="24"/>
                <w:szCs w:val="24"/>
                <w:lang w:val="en-US" w:eastAsia="zh-CN"/>
              </w:rPr>
              <w:t>，本办法第三条（五）已包含以上内容。</w:t>
            </w:r>
          </w:p>
          <w:p w14:paraId="7DC363A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35CED35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0A84B73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6FAE07F2">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0CBFBD6F">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78D2EA89">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建议3未采纳，</w:t>
            </w:r>
            <w:r>
              <w:rPr>
                <w:rFonts w:hint="default" w:ascii="Times New Roman" w:hAnsi="Times New Roman" w:eastAsia="仿宋_GB2312" w:cs="Times New Roman"/>
                <w:b w:val="0"/>
                <w:bCs/>
                <w:sz w:val="24"/>
                <w:szCs w:val="24"/>
                <w:lang w:val="en-US" w:eastAsia="zh-CN"/>
              </w:rPr>
              <w:t>已在第十八条第二款规定。</w:t>
            </w:r>
          </w:p>
          <w:p w14:paraId="2851483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39FB47B0">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56C59EAE">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277F4A63">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建议4部分采纳，</w:t>
            </w:r>
            <w:r>
              <w:rPr>
                <w:rFonts w:hint="default" w:ascii="Times New Roman" w:hAnsi="Times New Roman" w:eastAsia="仿宋_GB2312" w:cs="Times New Roman"/>
                <w:b w:val="0"/>
                <w:bCs/>
                <w:sz w:val="24"/>
                <w:szCs w:val="24"/>
                <w:lang w:val="en-US" w:eastAsia="zh-CN"/>
              </w:rPr>
              <w:t>已在第十九条（七）增加工程预付款拨付数额、时限、方式；安全生产措施费在第十七条单列条款。</w:t>
            </w:r>
          </w:p>
          <w:p w14:paraId="2327AB12">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p>
          <w:p w14:paraId="234D39EC">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bCs w:val="0"/>
                <w:sz w:val="24"/>
                <w:szCs w:val="24"/>
                <w:lang w:val="en-US" w:eastAsia="zh-CN"/>
              </w:rPr>
              <w:t>建议5未采纳，</w:t>
            </w:r>
            <w:r>
              <w:rPr>
                <w:rFonts w:hint="default" w:ascii="Times New Roman" w:hAnsi="Times New Roman" w:eastAsia="仿宋_GB2312" w:cs="Times New Roman"/>
                <w:b w:val="0"/>
                <w:bCs/>
                <w:sz w:val="24"/>
                <w:szCs w:val="24"/>
                <w:lang w:val="en-US" w:eastAsia="zh-CN"/>
              </w:rPr>
              <w:t>工程造价包含建设项目全部投资，扩大了费用计算范围。建安工程费仅包含建筑安装工程费用，不含设备及工器具购置费，会遗漏因质量提高而增加的设备相关费用。工程费用= 建安工程费 + 设备及工器具购置费，最贴合 “提高质量标准导致增加费用” 的实际内容，范围准确、逻辑严谨。</w:t>
            </w:r>
          </w:p>
        </w:tc>
      </w:tr>
      <w:tr w14:paraId="0632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4CAE1082">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4</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A6D522F">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新疆中秦项目管理有限公司</w:t>
            </w:r>
          </w:p>
        </w:tc>
        <w:tc>
          <w:tcPr>
            <w:tcW w:w="8173" w:type="dxa"/>
            <w:tcBorders>
              <w:top w:val="single" w:color="auto" w:sz="4" w:space="0"/>
              <w:left w:val="single" w:color="auto" w:sz="4" w:space="0"/>
              <w:bottom w:val="single" w:color="auto" w:sz="4" w:space="0"/>
              <w:right w:val="single" w:color="auto" w:sz="4" w:space="0"/>
            </w:tcBorders>
            <w:noWrap w:val="0"/>
            <w:vAlign w:val="top"/>
          </w:tcPr>
          <w:p w14:paraId="72CE550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w:t>
            </w:r>
            <w:r>
              <w:rPr>
                <w:rFonts w:hint="default" w:ascii="Times New Roman" w:hAnsi="Times New Roman" w:eastAsia="仿宋_GB2312" w:cs="Times New Roman"/>
                <w:bCs/>
                <w:sz w:val="24"/>
                <w:szCs w:val="24"/>
                <w:lang w:val="en-US" w:eastAsia="zh-CN"/>
              </w:rPr>
              <w:t xml:space="preserve">“第十二条【建设工程造价活动定义】 本办法所称建设工程造价活动，包括下列事项：...”中建议增加“施工图预算编制”； </w:t>
            </w:r>
          </w:p>
          <w:p w14:paraId="17079DB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0155535E">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建议2：</w:t>
            </w:r>
            <w:r>
              <w:rPr>
                <w:rFonts w:hint="default" w:ascii="Times New Roman" w:hAnsi="Times New Roman" w:eastAsia="仿宋_GB2312" w:cs="Times New Roman"/>
                <w:bCs/>
                <w:sz w:val="24"/>
                <w:szCs w:val="24"/>
                <w:lang w:val="en-US" w:eastAsia="zh-CN"/>
              </w:rPr>
              <w:t xml:space="preserve">“第十八条【合同价款确定要求】”中建议增加“合同价应与中标价保持一致”； </w:t>
            </w:r>
          </w:p>
          <w:p w14:paraId="375BD64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1E3338AB">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
                <w:bCs w:val="0"/>
                <w:sz w:val="24"/>
                <w:szCs w:val="24"/>
                <w:lang w:val="en-US" w:eastAsia="zh-CN"/>
              </w:rPr>
              <w:t>建议3：</w:t>
            </w:r>
            <w:r>
              <w:rPr>
                <w:rFonts w:hint="default" w:ascii="Times New Roman" w:hAnsi="Times New Roman" w:eastAsia="仿宋_GB2312" w:cs="Times New Roman"/>
                <w:bCs/>
                <w:sz w:val="24"/>
                <w:szCs w:val="24"/>
                <w:lang w:val="en-US" w:eastAsia="zh-CN"/>
              </w:rPr>
              <w:t>“第二十条【施工过程结算】推行施工过程结算制度。发承包双方依据合同约定的结算周期，分阶段对质量合格的已完工程进行价款结算、确认和支付。”建议改为“第二十条【施工过程结算】推行施工过程结算制度。发承包双方依据合同约定的过程结算节点，分阶段对质量合格的已完工程进行价款结算、确认和支付。”:</w:t>
            </w:r>
          </w:p>
        </w:tc>
        <w:tc>
          <w:tcPr>
            <w:tcW w:w="5025" w:type="dxa"/>
            <w:tcBorders>
              <w:top w:val="single" w:color="auto" w:sz="4" w:space="0"/>
              <w:left w:val="single" w:color="auto" w:sz="4" w:space="0"/>
              <w:bottom w:val="single" w:color="auto" w:sz="4" w:space="0"/>
              <w:right w:val="single" w:color="auto" w:sz="4" w:space="0"/>
            </w:tcBorders>
            <w:noWrap w:val="0"/>
            <w:vAlign w:val="top"/>
          </w:tcPr>
          <w:p w14:paraId="3E31B836">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建议1采纳，</w:t>
            </w:r>
            <w:r>
              <w:rPr>
                <w:rFonts w:hint="default" w:ascii="Times New Roman" w:hAnsi="Times New Roman" w:eastAsia="仿宋_GB2312" w:cs="Times New Roman"/>
                <w:b w:val="0"/>
                <w:bCs/>
                <w:kern w:val="2"/>
                <w:sz w:val="24"/>
                <w:szCs w:val="24"/>
                <w:lang w:val="en-US" w:eastAsia="zh-CN" w:bidi="ar-SA"/>
              </w:rPr>
              <w:t>已增加。</w:t>
            </w:r>
          </w:p>
          <w:p w14:paraId="172B543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6C809508">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423D0A6F">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建议2采纳，</w:t>
            </w:r>
            <w:r>
              <w:rPr>
                <w:rFonts w:hint="default" w:ascii="Times New Roman" w:hAnsi="Times New Roman" w:eastAsia="仿宋_GB2312" w:cs="Times New Roman"/>
                <w:b w:val="0"/>
                <w:bCs/>
                <w:kern w:val="2"/>
                <w:sz w:val="24"/>
                <w:szCs w:val="24"/>
                <w:lang w:val="en-US" w:eastAsia="zh-CN" w:bidi="ar-SA"/>
              </w:rPr>
              <w:t>已增加。</w:t>
            </w:r>
          </w:p>
          <w:p w14:paraId="206BCF5E">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0F4B9B74">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179B7507">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建议3采纳，</w:t>
            </w:r>
            <w:r>
              <w:rPr>
                <w:rFonts w:hint="default" w:ascii="Times New Roman" w:hAnsi="Times New Roman" w:eastAsia="仿宋_GB2312" w:cs="Times New Roman"/>
                <w:b w:val="0"/>
                <w:bCs/>
                <w:kern w:val="2"/>
                <w:sz w:val="24"/>
                <w:szCs w:val="24"/>
                <w:lang w:val="en-US" w:eastAsia="zh-CN" w:bidi="ar-SA"/>
              </w:rPr>
              <w:t>已修改为“时间节点或进度节点”。</w:t>
            </w:r>
          </w:p>
          <w:p w14:paraId="0822ECB3">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2CDA2F60">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3E042AD8">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tc>
      </w:tr>
      <w:tr w14:paraId="678A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627FFF6F">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kern w:val="2"/>
                <w:sz w:val="24"/>
                <w:szCs w:val="24"/>
                <w:lang w:val="en-US" w:eastAsia="zh-CN" w:bidi="ar-SA"/>
              </w:rPr>
              <w:t>5</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443786">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新疆世纪星工程咨询有限公司</w:t>
            </w:r>
          </w:p>
          <w:p w14:paraId="6635A25C">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p>
        </w:tc>
        <w:tc>
          <w:tcPr>
            <w:tcW w:w="8173" w:type="dxa"/>
            <w:tcBorders>
              <w:top w:val="single" w:color="auto" w:sz="4" w:space="0"/>
              <w:left w:val="single" w:color="auto" w:sz="4" w:space="0"/>
              <w:bottom w:val="single" w:color="auto" w:sz="4" w:space="0"/>
              <w:right w:val="single" w:color="auto" w:sz="4" w:space="0"/>
            </w:tcBorders>
            <w:noWrap w:val="0"/>
            <w:vAlign w:val="top"/>
          </w:tcPr>
          <w:p w14:paraId="3F38474A">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w:t>
            </w:r>
            <w:r>
              <w:rPr>
                <w:rFonts w:hint="default" w:ascii="Times New Roman" w:hAnsi="Times New Roman" w:eastAsia="仿宋_GB2312" w:cs="Times New Roman"/>
                <w:bCs/>
                <w:sz w:val="24"/>
                <w:szCs w:val="24"/>
                <w:lang w:val="en-US" w:eastAsia="zh-CN"/>
              </w:rPr>
              <w:t xml:space="preserve">建议在第三章第十五条【工程量清单和最高投标限价要求】第二段中：最高投标限价应当依据工程量清单、工程计价有关规定、“常规的施工方案 ”和市场价格信息等编制。招标时应当公布最高投标限价的总价和编制方法。 </w:t>
            </w:r>
          </w:p>
          <w:p w14:paraId="3BACC5F4">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7BD9DD5A">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r>
              <w:rPr>
                <w:rFonts w:hint="default" w:ascii="Times New Roman" w:hAnsi="Times New Roman" w:eastAsia="仿宋_GB2312" w:cs="Times New Roman"/>
                <w:b/>
                <w:bCs w:val="0"/>
                <w:sz w:val="24"/>
                <w:szCs w:val="24"/>
                <w:lang w:val="en-US" w:eastAsia="zh-CN"/>
              </w:rPr>
              <w:t>建议2：</w:t>
            </w:r>
            <w:r>
              <w:rPr>
                <w:rFonts w:hint="default" w:ascii="Times New Roman" w:hAnsi="Times New Roman" w:eastAsia="仿宋_GB2312" w:cs="Times New Roman"/>
                <w:bCs/>
                <w:sz w:val="24"/>
                <w:szCs w:val="24"/>
                <w:lang w:val="en-US" w:eastAsia="zh-CN"/>
              </w:rPr>
              <w:t>第四章第二十九条第（五）款中“以个人名义承接工程造价业务”，造价师个人作为专家辅助人、专家证人，是否算个人名义承接业务？</w:t>
            </w:r>
          </w:p>
          <w:p w14:paraId="79A56200">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5837B404">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
                <w:bCs w:val="0"/>
                <w:sz w:val="24"/>
                <w:szCs w:val="24"/>
                <w:lang w:val="en-US" w:eastAsia="zh-CN"/>
              </w:rPr>
              <w:t>建议3：</w:t>
            </w:r>
            <w:r>
              <w:rPr>
                <w:rFonts w:hint="default" w:ascii="Times New Roman" w:hAnsi="Times New Roman" w:eastAsia="仿宋_GB2312" w:cs="Times New Roman"/>
                <w:bCs/>
                <w:sz w:val="24"/>
                <w:szCs w:val="24"/>
                <w:lang w:val="en-US" w:eastAsia="zh-CN"/>
              </w:rPr>
              <w:t>第四章第二十九条第（九）款：超出执业范围、注册专业范围执业；建议给出土建、安装注册造价工程师执业范围界定。</w:t>
            </w:r>
          </w:p>
        </w:tc>
        <w:tc>
          <w:tcPr>
            <w:tcW w:w="5025" w:type="dxa"/>
            <w:tcBorders>
              <w:top w:val="single" w:color="auto" w:sz="4" w:space="0"/>
              <w:left w:val="single" w:color="auto" w:sz="4" w:space="0"/>
              <w:bottom w:val="single" w:color="auto" w:sz="4" w:space="0"/>
              <w:right w:val="single" w:color="auto" w:sz="4" w:space="0"/>
            </w:tcBorders>
            <w:noWrap w:val="0"/>
            <w:vAlign w:val="top"/>
          </w:tcPr>
          <w:p w14:paraId="3287AFBD">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建议1未采纳，</w:t>
            </w:r>
            <w:r>
              <w:rPr>
                <w:rFonts w:hint="default" w:ascii="Times New Roman" w:hAnsi="Times New Roman" w:eastAsia="仿宋_GB2312" w:cs="Times New Roman"/>
                <w:b w:val="0"/>
                <w:bCs/>
                <w:kern w:val="2"/>
                <w:sz w:val="24"/>
                <w:szCs w:val="24"/>
                <w:lang w:val="en-US" w:eastAsia="zh-CN" w:bidi="ar-SA"/>
              </w:rPr>
              <w:t>是否依据施工方案编制最高投标限价在此不做强制规定。</w:t>
            </w:r>
          </w:p>
          <w:p w14:paraId="1AC38729">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2E39DE5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0AAE599B">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732007AE">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建议2未采纳，</w:t>
            </w:r>
            <w:r>
              <w:rPr>
                <w:rFonts w:hint="default" w:ascii="Times New Roman" w:hAnsi="Times New Roman" w:eastAsia="仿宋_GB2312" w:cs="Times New Roman"/>
                <w:b w:val="0"/>
                <w:bCs/>
                <w:kern w:val="2"/>
                <w:sz w:val="24"/>
                <w:szCs w:val="24"/>
                <w:lang w:val="en-US" w:eastAsia="zh-CN" w:bidi="ar-SA"/>
              </w:rPr>
              <w:t>此条为无效建议。</w:t>
            </w:r>
          </w:p>
          <w:p w14:paraId="78673D5C">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287863C9">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5A28F64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建议3未采纳，</w:t>
            </w:r>
            <w:r>
              <w:rPr>
                <w:rFonts w:hint="default" w:ascii="Times New Roman" w:hAnsi="Times New Roman" w:eastAsia="仿宋_GB2312" w:cs="Times New Roman"/>
                <w:b w:val="0"/>
                <w:bCs/>
                <w:kern w:val="2"/>
                <w:sz w:val="24"/>
                <w:szCs w:val="24"/>
                <w:lang w:val="en-US" w:eastAsia="zh-CN" w:bidi="ar-SA"/>
              </w:rPr>
              <w:t>注册造价工程师专业分类和执业范围国家已有明确规定。</w:t>
            </w:r>
          </w:p>
        </w:tc>
      </w:tr>
      <w:tr w14:paraId="0509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5351AAFA">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kern w:val="2"/>
                <w:sz w:val="24"/>
                <w:szCs w:val="24"/>
                <w:lang w:val="en-US" w:eastAsia="zh-CN" w:bidi="ar-SA"/>
              </w:rPr>
              <w:t>6</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81824AA">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新疆华域建设工程项目管理咨询有限公司</w:t>
            </w:r>
          </w:p>
        </w:tc>
        <w:tc>
          <w:tcPr>
            <w:tcW w:w="8173" w:type="dxa"/>
            <w:tcBorders>
              <w:top w:val="single" w:color="auto" w:sz="4" w:space="0"/>
              <w:left w:val="single" w:color="auto" w:sz="4" w:space="0"/>
              <w:bottom w:val="single" w:color="auto" w:sz="4" w:space="0"/>
              <w:right w:val="single" w:color="auto" w:sz="4" w:space="0"/>
            </w:tcBorders>
            <w:noWrap w:val="0"/>
            <w:vAlign w:val="top"/>
          </w:tcPr>
          <w:p w14:paraId="04BB262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w:t>
            </w:r>
            <w:r>
              <w:rPr>
                <w:rFonts w:hint="default" w:ascii="Times New Roman" w:hAnsi="Times New Roman" w:eastAsia="仿宋_GB2312" w:cs="Times New Roman"/>
                <w:bCs/>
                <w:sz w:val="24"/>
                <w:szCs w:val="24"/>
                <w:lang w:val="en-US" w:eastAsia="zh-CN"/>
              </w:rPr>
              <w:t>建议增加：第一条 建设工程造价行政主管部门应当建立指导性计价依据动态管理机制和市场调研机制，适时调整指导性计价依据和相关管理措施，科学引导建设工程造价活动。</w:t>
            </w:r>
          </w:p>
          <w:p w14:paraId="401A646B">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6E8D5410">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建议2：</w:t>
            </w:r>
            <w:r>
              <w:rPr>
                <w:rFonts w:hint="default" w:ascii="Times New Roman" w:hAnsi="Times New Roman" w:eastAsia="仿宋_GB2312" w:cs="Times New Roman"/>
                <w:bCs/>
                <w:sz w:val="24"/>
                <w:szCs w:val="24"/>
                <w:lang w:val="en-US" w:eastAsia="zh-CN"/>
              </w:rPr>
              <w:t>增加；第二条 编制或者修订建设工程指导性计价依据，应当采取论证会、座谈会或者其他方式，征求并充分听取工程建设各方以及有关专家的意见。</w:t>
            </w:r>
          </w:p>
          <w:p w14:paraId="73E77CBE">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编制或者修订建设工程指导性计价依据，应当与经济社会发展和工程技术发展水平相适应，反映建筑业的技术和管理水平，促进工程建设领域科学技术成果的推广和应用，符合国家有关标准要求。</w:t>
            </w:r>
          </w:p>
          <w:p w14:paraId="795C85E2">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4C6F71F7">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建议3：</w:t>
            </w:r>
            <w:r>
              <w:rPr>
                <w:rFonts w:hint="default" w:ascii="Times New Roman" w:hAnsi="Times New Roman" w:eastAsia="仿宋_GB2312" w:cs="Times New Roman"/>
                <w:bCs/>
                <w:sz w:val="24"/>
                <w:szCs w:val="24"/>
                <w:lang w:val="en-US" w:eastAsia="zh-CN"/>
              </w:rPr>
              <w:t>增加第三条 工程造价咨询机构不得有下列行为：</w:t>
            </w:r>
          </w:p>
          <w:p w14:paraId="789A99AB">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(一)工程造价成果文件上使用非承担本项目人员的名义和印章；</w:t>
            </w:r>
          </w:p>
          <w:p w14:paraId="3B052C2A">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(二)以给予回扣、恶意压低收费等方式进行不正当竞争；</w:t>
            </w:r>
          </w:p>
          <w:p w14:paraId="201016A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(三)出具虚假的建设工程造价咨询成果文件；</w:t>
            </w:r>
          </w:p>
          <w:p w14:paraId="3FCABE1B">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(四)泄露在咨询服务活动中获取的商业秘密和技术秘密；</w:t>
            </w:r>
          </w:p>
          <w:p w14:paraId="7AED8EE2">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3B4299AD">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建议4：</w:t>
            </w:r>
            <w:r>
              <w:rPr>
                <w:rFonts w:hint="default" w:ascii="Times New Roman" w:hAnsi="Times New Roman" w:eastAsia="仿宋_GB2312" w:cs="Times New Roman"/>
                <w:bCs/>
                <w:sz w:val="24"/>
                <w:szCs w:val="24"/>
                <w:lang w:val="en-US" w:eastAsia="zh-CN"/>
              </w:rPr>
              <w:t>增加第四条 工程造价专业人员在执业过程中不得有下列行为：</w:t>
            </w:r>
          </w:p>
          <w:p w14:paraId="19E763B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(一)涂改、倒卖、租借或者以其他形式非法转让资格证书或者执业印章；</w:t>
            </w:r>
          </w:p>
          <w:p w14:paraId="6910648D">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(二)签署有虚假记载、误导性陈述的建设工程造价成果文件；</w:t>
            </w:r>
          </w:p>
          <w:p w14:paraId="3245E36B">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(三)以个人名义承接建设工程造价业务；</w:t>
            </w:r>
          </w:p>
          <w:p w14:paraId="121FA6F7">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(四)同时在两个或者两个以上单位执业；</w:t>
            </w:r>
          </w:p>
          <w:p w14:paraId="54059738">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(五)在执业过程中索贿、受贿或谋取合同约定费用外的其他利益；</w:t>
            </w:r>
          </w:p>
          <w:p w14:paraId="1CE07C4D">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(六)‌在非实际从业单位注册；</w:t>
            </w:r>
          </w:p>
        </w:tc>
        <w:tc>
          <w:tcPr>
            <w:tcW w:w="5025" w:type="dxa"/>
            <w:tcBorders>
              <w:top w:val="single" w:color="auto" w:sz="4" w:space="0"/>
              <w:left w:val="single" w:color="auto" w:sz="4" w:space="0"/>
              <w:bottom w:val="single" w:color="auto" w:sz="4" w:space="0"/>
              <w:right w:val="single" w:color="auto" w:sz="4" w:space="0"/>
            </w:tcBorders>
            <w:noWrap w:val="0"/>
            <w:vAlign w:val="top"/>
          </w:tcPr>
          <w:p w14:paraId="5528228F">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建议1采纳，</w:t>
            </w:r>
            <w:r>
              <w:rPr>
                <w:rFonts w:hint="default" w:ascii="Times New Roman" w:hAnsi="Times New Roman" w:eastAsia="仿宋_GB2312" w:cs="Times New Roman"/>
                <w:b w:val="0"/>
                <w:bCs/>
                <w:kern w:val="2"/>
                <w:sz w:val="24"/>
                <w:szCs w:val="24"/>
                <w:lang w:val="en-US" w:eastAsia="zh-CN" w:bidi="ar-SA"/>
              </w:rPr>
              <w:t>第七条第二款已规定计价依据动态调整机制。</w:t>
            </w:r>
          </w:p>
          <w:p w14:paraId="0BB0BD4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39C6DCC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34D4652D">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建议2采纳，</w:t>
            </w:r>
            <w:r>
              <w:rPr>
                <w:rFonts w:hint="default" w:ascii="Times New Roman" w:hAnsi="Times New Roman" w:eastAsia="仿宋_GB2312" w:cs="Times New Roman"/>
                <w:b w:val="0"/>
                <w:bCs/>
                <w:kern w:val="2"/>
                <w:sz w:val="24"/>
                <w:szCs w:val="24"/>
                <w:lang w:val="en-US" w:eastAsia="zh-CN" w:bidi="ar-SA"/>
              </w:rPr>
              <w:t>第九条已明确规定。</w:t>
            </w:r>
          </w:p>
          <w:p w14:paraId="1B152F44">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75F24CD7">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6033F3EB">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4635F54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657B222D">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73987938">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6B46E797">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建议3采纳，</w:t>
            </w:r>
            <w:r>
              <w:rPr>
                <w:rFonts w:hint="default" w:ascii="Times New Roman" w:hAnsi="Times New Roman" w:eastAsia="仿宋_GB2312" w:cs="Times New Roman"/>
                <w:b w:val="0"/>
                <w:bCs/>
                <w:kern w:val="2"/>
                <w:sz w:val="24"/>
                <w:szCs w:val="24"/>
                <w:lang w:val="en-US" w:eastAsia="zh-CN" w:bidi="ar-SA"/>
              </w:rPr>
              <w:t>已修改。</w:t>
            </w:r>
          </w:p>
          <w:p w14:paraId="192492B9">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46A815C6">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297F955C">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56B1A16A">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7E1B7816">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569D8E8C">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建议4采纳，</w:t>
            </w:r>
            <w:r>
              <w:rPr>
                <w:rFonts w:hint="default" w:ascii="Times New Roman" w:hAnsi="Times New Roman" w:eastAsia="仿宋_GB2312" w:cs="Times New Roman"/>
                <w:b w:val="0"/>
                <w:bCs/>
                <w:kern w:val="2"/>
                <w:sz w:val="24"/>
                <w:szCs w:val="24"/>
                <w:lang w:val="en-US" w:eastAsia="zh-CN" w:bidi="ar-SA"/>
              </w:rPr>
              <w:t>第二十九条中已明确规定。</w:t>
            </w:r>
          </w:p>
        </w:tc>
      </w:tr>
      <w:tr w14:paraId="018B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49A6FB7F">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kern w:val="2"/>
                <w:sz w:val="24"/>
                <w:szCs w:val="24"/>
                <w:lang w:val="en-US" w:eastAsia="zh-CN" w:bidi="ar-SA"/>
              </w:rPr>
              <w:t>7</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25963EC">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阿勒泰地区财政局</w:t>
            </w:r>
          </w:p>
        </w:tc>
        <w:tc>
          <w:tcPr>
            <w:tcW w:w="8173" w:type="dxa"/>
            <w:tcBorders>
              <w:top w:val="single" w:color="auto" w:sz="4" w:space="0"/>
              <w:left w:val="single" w:color="auto" w:sz="4" w:space="0"/>
              <w:bottom w:val="single" w:color="auto" w:sz="4" w:space="0"/>
              <w:right w:val="single" w:color="auto" w:sz="4" w:space="0"/>
            </w:tcBorders>
            <w:noWrap w:val="0"/>
            <w:vAlign w:val="top"/>
          </w:tcPr>
          <w:p w14:paraId="0D73A922">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w:t>
            </w:r>
            <w:r>
              <w:rPr>
                <w:rFonts w:hint="default" w:ascii="Times New Roman" w:hAnsi="Times New Roman" w:eastAsia="仿宋_GB2312" w:cs="Times New Roman"/>
                <w:bCs/>
                <w:sz w:val="24"/>
                <w:szCs w:val="24"/>
                <w:lang w:val="en-US" w:eastAsia="zh-CN"/>
              </w:rPr>
              <w:t>第二十一条【工程结算】发承包双方应当在建设工程竣工验收后，按照合同约定及时办理工程竣工结算。建议保留2006年7月1日施行的《新疆维吾尔自治区建设工程造价管理办法》“第十九条……政府投资建设的项目，竣工结算文件由同级财政部门直接审查，也可以委托具有相应资质的工程造价咨询机构审查……”相关表述。</w:t>
            </w:r>
          </w:p>
          <w:p w14:paraId="004F1833">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相关依据：1.2022年6月1日公布的《财政部 住房城乡建设部关于完善建设工程价款结算有关办法的通知》（财建〔2022〕183号）“三、本通知自2022年8月1日起施行。自此日期起签订的工程合同应按照本通知执行。除本通知所规范事项外，其它有关事项继续按照《建设工程价款结算暂行办法》（财建〔2004〕369号）执行。”</w:t>
            </w:r>
          </w:p>
          <w:p w14:paraId="22627178">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0639720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建议2：</w:t>
            </w:r>
            <w:r>
              <w:rPr>
                <w:rFonts w:hint="default" w:ascii="Times New Roman" w:hAnsi="Times New Roman" w:eastAsia="仿宋_GB2312" w:cs="Times New Roman"/>
                <w:bCs/>
                <w:sz w:val="24"/>
                <w:szCs w:val="24"/>
                <w:lang w:val="en-US" w:eastAsia="zh-CN"/>
              </w:rPr>
              <w:t>2004年10月20日公布的《建设工程价款结算暂行办法》（财建〔2004〕369号）“第十四条工程完工后，双方应按照约定的合同价款及合同价款调整内容以及索赔事项，进行工程竣工结算。……（二）工程竣工结算编审……2、单项工程竣工结算或建设项目竣工总结算由总（承）包人编制，……政府投资项目，由同级财政部门审查。单项工程竣工结算或建设项目竣工总结算经发、承包人签字盖章后有效。</w:t>
            </w:r>
          </w:p>
          <w:p w14:paraId="028AB46D">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2025年工作成效：阿勒泰地区本级及所辖六县一市均设立财政评审机构，配备专业技术人员26人，一级造价工程师3人，二级造价工程师4人，具有中高级建筑职称6人。2025年全地区共计评审项目838个，评审金额51.4亿元，审定金额46.26亿元，平均误差率10%。在取消工程造价咨询企业资质审批后，机构服务质量良莠不齐，按《自治区建设工程造价咨询业务编审要求及成果文件质量评价导则（试行）》对咨询机构的成果进行复审，保障财政资金支付安全，地区本级复核中介机构成果8个，复核金额1.38亿元，核减0.06亿元，误差率4.35%，重点对中介机构是否超范围承接业务、三级复核制度落实、成果文件虚假记载、成果误差率超标准重点审查。</w:t>
            </w:r>
          </w:p>
        </w:tc>
        <w:tc>
          <w:tcPr>
            <w:tcW w:w="5025" w:type="dxa"/>
            <w:tcBorders>
              <w:top w:val="single" w:color="auto" w:sz="4" w:space="0"/>
              <w:left w:val="single" w:color="auto" w:sz="4" w:space="0"/>
              <w:bottom w:val="single" w:color="auto" w:sz="4" w:space="0"/>
              <w:right w:val="single" w:color="auto" w:sz="4" w:space="0"/>
            </w:tcBorders>
            <w:noWrap w:val="0"/>
            <w:vAlign w:val="top"/>
          </w:tcPr>
          <w:p w14:paraId="2EEB616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kern w:val="2"/>
                <w:sz w:val="24"/>
                <w:szCs w:val="24"/>
                <w:lang w:val="en-US" w:eastAsia="zh-CN" w:bidi="ar-SA"/>
              </w:rPr>
              <w:t>建议1未采纳，</w:t>
            </w:r>
            <w:r>
              <w:rPr>
                <w:rFonts w:hint="default" w:ascii="Times New Roman" w:hAnsi="Times New Roman" w:eastAsia="仿宋_GB2312" w:cs="Times New Roman"/>
                <w:b w:val="0"/>
                <w:bCs/>
                <w:kern w:val="2"/>
                <w:sz w:val="24"/>
                <w:szCs w:val="24"/>
                <w:lang w:val="en-US" w:eastAsia="zh-CN" w:bidi="ar-SA"/>
              </w:rPr>
              <w:t>可按照</w:t>
            </w:r>
            <w:r>
              <w:rPr>
                <w:rFonts w:hint="default" w:ascii="Times New Roman" w:hAnsi="Times New Roman" w:eastAsia="仿宋_GB2312" w:cs="Times New Roman"/>
                <w:bCs/>
                <w:sz w:val="24"/>
                <w:szCs w:val="24"/>
                <w:lang w:val="en-US" w:eastAsia="zh-CN"/>
              </w:rPr>
              <w:t>《建设工程价款结算暂行办法》（财建〔2004〕369号）执行。</w:t>
            </w:r>
          </w:p>
          <w:p w14:paraId="0165E0E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7A45158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267CCFEA">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6A2B1EA6">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6971CDFB">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095BD77E">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42752A8F">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5EF85EA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70F464BA">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p w14:paraId="316B8F5E">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建议2未采纳，</w:t>
            </w:r>
            <w:r>
              <w:rPr>
                <w:rFonts w:hint="default" w:ascii="Times New Roman" w:hAnsi="Times New Roman" w:eastAsia="仿宋_GB2312" w:cs="Times New Roman"/>
                <w:b w:val="0"/>
                <w:bCs/>
                <w:kern w:val="2"/>
                <w:sz w:val="24"/>
                <w:szCs w:val="24"/>
                <w:lang w:val="en-US" w:eastAsia="zh-CN" w:bidi="ar-SA"/>
              </w:rPr>
              <w:t>可按照</w:t>
            </w:r>
            <w:r>
              <w:rPr>
                <w:rFonts w:hint="default" w:ascii="Times New Roman" w:hAnsi="Times New Roman" w:eastAsia="仿宋_GB2312" w:cs="Times New Roman"/>
                <w:bCs/>
                <w:sz w:val="24"/>
                <w:szCs w:val="24"/>
                <w:lang w:val="en-US" w:eastAsia="zh-CN"/>
              </w:rPr>
              <w:t>《建设工程价款结算暂行办法》（财建〔2004〕369号）执行。</w:t>
            </w:r>
          </w:p>
          <w:p w14:paraId="4AA72DCC">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p>
        </w:tc>
      </w:tr>
      <w:tr w14:paraId="2B09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02DAA80D">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kern w:val="2"/>
                <w:sz w:val="24"/>
                <w:szCs w:val="24"/>
                <w:lang w:val="en-US" w:eastAsia="zh-CN" w:bidi="ar-SA"/>
              </w:rPr>
              <w:t>8</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8090A78">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新疆金正</w:t>
            </w:r>
          </w:p>
        </w:tc>
        <w:tc>
          <w:tcPr>
            <w:tcW w:w="8173" w:type="dxa"/>
            <w:tcBorders>
              <w:top w:val="single" w:color="auto" w:sz="4" w:space="0"/>
              <w:left w:val="single" w:color="auto" w:sz="4" w:space="0"/>
              <w:bottom w:val="single" w:color="auto" w:sz="4" w:space="0"/>
              <w:right w:val="single" w:color="auto" w:sz="4" w:space="0"/>
            </w:tcBorders>
            <w:noWrap w:val="0"/>
            <w:vAlign w:val="top"/>
          </w:tcPr>
          <w:p w14:paraId="435D010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w:t>
            </w:r>
            <w:r>
              <w:rPr>
                <w:rFonts w:hint="default" w:ascii="Times New Roman" w:hAnsi="Times New Roman" w:eastAsia="仿宋_GB2312" w:cs="Times New Roman"/>
                <w:bCs/>
                <w:sz w:val="24"/>
                <w:szCs w:val="24"/>
                <w:lang w:val="en-US" w:eastAsia="zh-CN"/>
              </w:rPr>
              <w:t>第一章  第五条建议：根据民法典及2024清单计价标准，建议上述标注部分改为“遵循客观公正、平等自愿、诚实守信、法定优先、有约从约的原则。”</w:t>
            </w:r>
          </w:p>
          <w:p w14:paraId="67AD53D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48CBC9E8">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建议2：</w:t>
            </w:r>
            <w:r>
              <w:rPr>
                <w:rFonts w:hint="default" w:ascii="Times New Roman" w:hAnsi="Times New Roman" w:eastAsia="仿宋_GB2312" w:cs="Times New Roman"/>
                <w:bCs/>
                <w:sz w:val="24"/>
                <w:szCs w:val="24"/>
                <w:lang w:val="en-US" w:eastAsia="zh-CN"/>
              </w:rPr>
              <w:t>第二章   第十条价格信息发布建议改为：“定期采集并发布主要建筑材料、人工、机械台班价格信息”，删除该条信息中“测算”要求。</w:t>
            </w:r>
          </w:p>
          <w:p w14:paraId="174E254B">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15227587">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31A9D469">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
                <w:bCs w:val="0"/>
                <w:sz w:val="24"/>
                <w:szCs w:val="24"/>
                <w:lang w:val="en-US" w:eastAsia="zh-CN"/>
              </w:rPr>
              <w:t>建议3：</w:t>
            </w:r>
            <w:r>
              <w:rPr>
                <w:rFonts w:hint="default" w:ascii="Times New Roman" w:hAnsi="Times New Roman" w:eastAsia="仿宋_GB2312" w:cs="Times New Roman"/>
                <w:bCs/>
                <w:sz w:val="24"/>
                <w:szCs w:val="24"/>
                <w:lang w:val="en-US" w:eastAsia="zh-CN"/>
              </w:rPr>
              <w:t xml:space="preserve">第三条造价活动定义（三）建议改为：“约定和调整工程合同价款，办理合同工程计量、期中价款支付”。   </w:t>
            </w:r>
          </w:p>
        </w:tc>
        <w:tc>
          <w:tcPr>
            <w:tcW w:w="5025" w:type="dxa"/>
            <w:tcBorders>
              <w:top w:val="single" w:color="auto" w:sz="4" w:space="0"/>
              <w:left w:val="single" w:color="auto" w:sz="4" w:space="0"/>
              <w:bottom w:val="single" w:color="auto" w:sz="4" w:space="0"/>
              <w:right w:val="single" w:color="auto" w:sz="4" w:space="0"/>
            </w:tcBorders>
            <w:noWrap w:val="0"/>
            <w:vAlign w:val="top"/>
          </w:tcPr>
          <w:p w14:paraId="459E2130">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建议1未采纳，</w:t>
            </w:r>
            <w:r>
              <w:rPr>
                <w:rFonts w:hint="default" w:ascii="Times New Roman" w:hAnsi="Times New Roman" w:eastAsia="仿宋_GB2312" w:cs="Times New Roman"/>
                <w:b w:val="0"/>
                <w:bCs/>
                <w:kern w:val="2"/>
                <w:sz w:val="24"/>
                <w:szCs w:val="24"/>
                <w:lang w:val="en-US" w:eastAsia="zh-CN" w:bidi="ar-SA"/>
              </w:rPr>
              <w:t>该原则不能完全适应工程造价活动行业原则。</w:t>
            </w:r>
          </w:p>
          <w:p w14:paraId="25C47470">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61953CAF">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2F86B7EE">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建议2未采纳，</w:t>
            </w:r>
            <w:r>
              <w:rPr>
                <w:rFonts w:hint="default" w:ascii="Times New Roman" w:hAnsi="Times New Roman" w:eastAsia="仿宋_GB2312" w:cs="Times New Roman"/>
                <w:b w:val="0"/>
                <w:bCs/>
                <w:kern w:val="2"/>
                <w:sz w:val="24"/>
                <w:szCs w:val="24"/>
                <w:lang w:val="en-US" w:eastAsia="zh-CN" w:bidi="ar-SA"/>
              </w:rPr>
              <w:t>价格信息是州（市、地）住建部门保证信息准确公正的工作程序，应大力加强和规范。</w:t>
            </w:r>
          </w:p>
          <w:p w14:paraId="0AB33C2E">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0BB4B076">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建议3采纳，</w:t>
            </w:r>
            <w:r>
              <w:rPr>
                <w:rFonts w:hint="default" w:ascii="Times New Roman" w:hAnsi="Times New Roman" w:eastAsia="仿宋_GB2312" w:cs="Times New Roman"/>
                <w:b w:val="0"/>
                <w:bCs/>
                <w:kern w:val="2"/>
                <w:sz w:val="24"/>
                <w:szCs w:val="24"/>
                <w:lang w:val="en-US" w:eastAsia="zh-CN" w:bidi="ar-SA"/>
              </w:rPr>
              <w:t>该条已包含此内容。</w:t>
            </w:r>
          </w:p>
        </w:tc>
      </w:tr>
      <w:tr w14:paraId="0B34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72" w:type="dxa"/>
            <w:tcBorders>
              <w:top w:val="single" w:color="auto" w:sz="4" w:space="0"/>
              <w:left w:val="single" w:color="auto" w:sz="4" w:space="0"/>
              <w:bottom w:val="single" w:color="auto" w:sz="4" w:space="0"/>
              <w:right w:val="single" w:color="auto" w:sz="4" w:space="0"/>
            </w:tcBorders>
            <w:noWrap w:val="0"/>
            <w:vAlign w:val="center"/>
          </w:tcPr>
          <w:p w14:paraId="370F0F73">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kern w:val="2"/>
                <w:sz w:val="24"/>
                <w:szCs w:val="24"/>
                <w:lang w:val="en-US" w:eastAsia="zh-CN" w:bidi="ar-SA"/>
              </w:rPr>
              <w:t>9</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6F33269">
            <w:pPr>
              <w:keepNext w:val="0"/>
              <w:keepLines w:val="0"/>
              <w:pageBreakBefore w:val="0"/>
              <w:widowControl/>
              <w:kinsoku/>
              <w:wordWrap/>
              <w:overflowPunct/>
              <w:topLinePunct w:val="0"/>
              <w:autoSpaceDE w:val="0"/>
              <w:autoSpaceDN/>
              <w:bidi w:val="0"/>
              <w:adjustRightInd/>
              <w:snapToGrid/>
              <w:spacing w:line="30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lang w:val="en-US" w:eastAsia="zh-CN"/>
              </w:rPr>
              <w:t>朱长勇</w:t>
            </w:r>
          </w:p>
        </w:tc>
        <w:tc>
          <w:tcPr>
            <w:tcW w:w="8173" w:type="dxa"/>
            <w:tcBorders>
              <w:top w:val="single" w:color="auto" w:sz="4" w:space="0"/>
              <w:left w:val="single" w:color="auto" w:sz="4" w:space="0"/>
              <w:bottom w:val="single" w:color="auto" w:sz="4" w:space="0"/>
              <w:right w:val="single" w:color="auto" w:sz="4" w:space="0"/>
            </w:tcBorders>
            <w:noWrap w:val="0"/>
            <w:vAlign w:val="top"/>
          </w:tcPr>
          <w:p w14:paraId="14B16FCB">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建议1：</w:t>
            </w:r>
            <w:r>
              <w:rPr>
                <w:rFonts w:hint="default" w:ascii="Times New Roman" w:hAnsi="Times New Roman" w:eastAsia="仿宋_GB2312" w:cs="Times New Roman"/>
                <w:bCs/>
                <w:sz w:val="24"/>
                <w:szCs w:val="24"/>
                <w:lang w:val="en-US" w:eastAsia="zh-CN"/>
              </w:rPr>
              <w:t>第一条【立法目的和依据】为了加强建设工程造价管理，删除“立法”</w:t>
            </w:r>
          </w:p>
          <w:p w14:paraId="66C4325D">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48F5CCEE">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建议2：</w:t>
            </w:r>
            <w:r>
              <w:rPr>
                <w:rFonts w:hint="default" w:ascii="Times New Roman" w:hAnsi="Times New Roman" w:eastAsia="仿宋_GB2312" w:cs="Times New Roman"/>
                <w:bCs/>
                <w:sz w:val="24"/>
                <w:szCs w:val="24"/>
                <w:lang w:val="en-US" w:eastAsia="zh-CN"/>
              </w:rPr>
              <w:t>“建筑”修改为“建设”与全文其他表述统一</w:t>
            </w:r>
          </w:p>
          <w:p w14:paraId="70CF8ED3">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64302B7C">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建议3：</w:t>
            </w:r>
            <w:r>
              <w:rPr>
                <w:rFonts w:hint="default" w:ascii="Times New Roman" w:hAnsi="Times New Roman" w:eastAsia="仿宋_GB2312" w:cs="Times New Roman"/>
                <w:bCs/>
                <w:sz w:val="24"/>
                <w:szCs w:val="24"/>
                <w:lang w:val="en-US" w:eastAsia="zh-CN"/>
              </w:rPr>
              <w:t>第十七条【安全生产】发承包双方应当按照规定将安全生产措施费、税金在工程造价中单独列项，不得参与投标报价竞争。施工现场安全生产措施费专项用于施工现场的安全防护。“安全生产”建议改为“安全文明施工费”</w:t>
            </w:r>
          </w:p>
          <w:p w14:paraId="3EEB2FDE">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73578DC0">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建议4：</w:t>
            </w:r>
            <w:r>
              <w:rPr>
                <w:rFonts w:hint="default" w:ascii="Times New Roman" w:hAnsi="Times New Roman" w:eastAsia="仿宋_GB2312" w:cs="Times New Roman"/>
                <w:bCs/>
                <w:sz w:val="24"/>
                <w:szCs w:val="24"/>
                <w:lang w:val="en-US" w:eastAsia="zh-CN"/>
              </w:rPr>
              <w:t>发承包双方在合同约定中不得违背招标、投标文件中关于工程范围、工期、造价、质量等方面的实质性内容，建议删除“招标、”以防招标与投标文件内容不一致</w:t>
            </w:r>
          </w:p>
          <w:p w14:paraId="6C267EB4">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0C9EEF0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建议5：</w:t>
            </w:r>
            <w:r>
              <w:rPr>
                <w:rFonts w:hint="default" w:ascii="Times New Roman" w:hAnsi="Times New Roman" w:eastAsia="仿宋_GB2312" w:cs="Times New Roman"/>
                <w:bCs/>
                <w:sz w:val="24"/>
                <w:szCs w:val="24"/>
                <w:lang w:val="en-US" w:eastAsia="zh-CN"/>
              </w:rPr>
              <w:t>第十九条【计价条款约定】建设工程发承包双方应当在合同中对下列工程造价事项进行约定，建议增加发承包双方对选择第三方造价咨询单位的</w:t>
            </w:r>
            <w:bookmarkStart w:id="0" w:name="_GoBack"/>
            <w:bookmarkEnd w:id="0"/>
            <w:r>
              <w:rPr>
                <w:rFonts w:hint="default" w:ascii="Times New Roman" w:hAnsi="Times New Roman" w:eastAsia="仿宋_GB2312" w:cs="Times New Roman"/>
                <w:bCs/>
                <w:sz w:val="24"/>
                <w:szCs w:val="24"/>
                <w:lang w:val="en-US" w:eastAsia="zh-CN"/>
              </w:rPr>
              <w:t>约定</w:t>
            </w:r>
          </w:p>
          <w:p w14:paraId="22F97BAF">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5A863A46">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建议6：</w:t>
            </w:r>
            <w:r>
              <w:rPr>
                <w:rFonts w:hint="default" w:ascii="Times New Roman" w:hAnsi="Times New Roman" w:eastAsia="仿宋_GB2312" w:cs="Times New Roman"/>
                <w:bCs/>
                <w:sz w:val="24"/>
                <w:szCs w:val="24"/>
                <w:lang w:val="en-US" w:eastAsia="zh-CN"/>
              </w:rPr>
              <w:t>经双方确认的施工过程结算文件作为竣工结算文件的组成部分，不再重复审核，有证据表明结算文件确有错误的除外，建议将“经双方确认”修改为：经发承包双方确认</w:t>
            </w:r>
          </w:p>
          <w:p w14:paraId="027419BC">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23C65333">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建议7：</w:t>
            </w:r>
            <w:r>
              <w:rPr>
                <w:rFonts w:hint="default" w:ascii="Times New Roman" w:hAnsi="Times New Roman" w:eastAsia="仿宋_GB2312" w:cs="Times New Roman"/>
                <w:bCs/>
                <w:sz w:val="24"/>
                <w:szCs w:val="24"/>
                <w:lang w:val="en-US" w:eastAsia="zh-CN"/>
              </w:rPr>
              <w:t>政府或者国有资金投资的建设工程，合同未作约定情况下，建设单位不得以未完成审计为由，拒绝或者拖延办理工程结算和工程款支付，建议删除“政府或者国有资金投资的”</w:t>
            </w:r>
          </w:p>
          <w:p w14:paraId="727D4F6C">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508A145A">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
                <w:bCs w:val="0"/>
                <w:sz w:val="24"/>
                <w:szCs w:val="24"/>
                <w:lang w:val="en-US" w:eastAsia="zh-CN"/>
              </w:rPr>
              <w:t>建议8：</w:t>
            </w:r>
            <w:r>
              <w:rPr>
                <w:rFonts w:hint="default" w:ascii="Times New Roman" w:hAnsi="Times New Roman" w:eastAsia="仿宋_GB2312" w:cs="Times New Roman"/>
                <w:bCs/>
                <w:sz w:val="24"/>
                <w:szCs w:val="24"/>
                <w:lang w:val="en-US" w:eastAsia="zh-CN"/>
              </w:rPr>
              <w:t>第二十三条【争议处理方式】发承包双方对竣工结算审核结果有异议的，可以向有关工程造价管理机构或者有关行业组织申请调解，也可以依法申请仲裁或者向人民法院提起诉讼。建议删除“发承包双方”改为当事人</w:t>
            </w:r>
          </w:p>
          <w:p w14:paraId="47ECF7F1">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
                <w:bCs w:val="0"/>
                <w:sz w:val="24"/>
                <w:szCs w:val="24"/>
                <w:lang w:val="en-US" w:eastAsia="zh-CN"/>
              </w:rPr>
            </w:pPr>
          </w:p>
          <w:p w14:paraId="75EABE57">
            <w:pPr>
              <w:keepNext w:val="0"/>
              <w:keepLines w:val="0"/>
              <w:pageBreakBefore w:val="0"/>
              <w:widowControl/>
              <w:kinsoku/>
              <w:wordWrap/>
              <w:overflowPunct/>
              <w:topLinePunct w:val="0"/>
              <w:autoSpaceDE w:val="0"/>
              <w:autoSpaceDN/>
              <w:bidi w:val="0"/>
              <w:adjustRightInd/>
              <w:snapToGrid/>
              <w:spacing w:line="300" w:lineRule="exact"/>
              <w:jc w:val="both"/>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
                <w:bCs w:val="0"/>
                <w:sz w:val="24"/>
                <w:szCs w:val="24"/>
                <w:lang w:val="en-US" w:eastAsia="zh-CN"/>
              </w:rPr>
              <w:t>建议9：</w:t>
            </w:r>
            <w:r>
              <w:rPr>
                <w:rFonts w:hint="default" w:ascii="Times New Roman" w:hAnsi="Times New Roman" w:eastAsia="仿宋_GB2312" w:cs="Times New Roman"/>
                <w:bCs/>
                <w:sz w:val="24"/>
                <w:szCs w:val="24"/>
                <w:lang w:val="en-US" w:eastAsia="zh-CN"/>
              </w:rPr>
              <w:t>（二）以给予回扣、恶意压低收费等方式进行不正当竞争；与第二十七条冲突，为了彰显公平，建议增加发承包双方增加摇号方式选择或确定造价咨询单位</w:t>
            </w:r>
          </w:p>
        </w:tc>
        <w:tc>
          <w:tcPr>
            <w:tcW w:w="5025" w:type="dxa"/>
            <w:tcBorders>
              <w:top w:val="single" w:color="auto" w:sz="4" w:space="0"/>
              <w:left w:val="single" w:color="auto" w:sz="4" w:space="0"/>
              <w:bottom w:val="single" w:color="auto" w:sz="4" w:space="0"/>
              <w:right w:val="single" w:color="auto" w:sz="4" w:space="0"/>
            </w:tcBorders>
            <w:noWrap w:val="0"/>
            <w:vAlign w:val="top"/>
          </w:tcPr>
          <w:p w14:paraId="05F51387">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建议1未采纳，</w:t>
            </w:r>
            <w:r>
              <w:rPr>
                <w:rFonts w:hint="default" w:ascii="Times New Roman" w:hAnsi="Times New Roman" w:eastAsia="仿宋_GB2312" w:cs="Times New Roman"/>
                <w:b w:val="0"/>
                <w:bCs/>
                <w:kern w:val="2"/>
                <w:sz w:val="24"/>
                <w:szCs w:val="24"/>
                <w:lang w:val="en-US" w:eastAsia="zh-CN" w:bidi="ar-SA"/>
              </w:rPr>
              <w:t>此为立法规范用语。</w:t>
            </w:r>
          </w:p>
          <w:p w14:paraId="5632A456">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48858EC7">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建议2采纳，</w:t>
            </w:r>
            <w:r>
              <w:rPr>
                <w:rFonts w:hint="default" w:ascii="Times New Roman" w:hAnsi="Times New Roman" w:eastAsia="仿宋_GB2312" w:cs="Times New Roman"/>
                <w:b w:val="0"/>
                <w:bCs/>
                <w:kern w:val="2"/>
                <w:sz w:val="24"/>
                <w:szCs w:val="24"/>
                <w:lang w:val="en-US" w:eastAsia="zh-CN" w:bidi="ar-SA"/>
              </w:rPr>
              <w:t>已修改。</w:t>
            </w:r>
          </w:p>
          <w:p w14:paraId="475D7BB8">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1DAECFBB">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建议3采纳，</w:t>
            </w:r>
            <w:r>
              <w:rPr>
                <w:rFonts w:hint="default" w:ascii="Times New Roman" w:hAnsi="Times New Roman" w:eastAsia="仿宋_GB2312" w:cs="Times New Roman"/>
                <w:b w:val="0"/>
                <w:bCs/>
                <w:kern w:val="2"/>
                <w:sz w:val="24"/>
                <w:szCs w:val="24"/>
                <w:lang w:val="en-US" w:eastAsia="zh-CN" w:bidi="ar-SA"/>
              </w:rPr>
              <w:t>已按照住建部24清单标准修改为“安全生产措施费”。</w:t>
            </w:r>
          </w:p>
          <w:p w14:paraId="16CC82D9">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4C10C7B6">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0D8EFB30">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建议4未采纳，</w:t>
            </w:r>
            <w:r>
              <w:rPr>
                <w:rFonts w:hint="default" w:ascii="Times New Roman" w:hAnsi="Times New Roman" w:eastAsia="仿宋_GB2312" w:cs="Times New Roman"/>
                <w:b w:val="0"/>
                <w:bCs/>
                <w:kern w:val="2"/>
                <w:sz w:val="24"/>
                <w:szCs w:val="24"/>
                <w:lang w:val="en-US" w:eastAsia="zh-CN" w:bidi="ar-SA"/>
              </w:rPr>
              <w:t>投标文件应该响应招标文件内容。</w:t>
            </w:r>
          </w:p>
          <w:p w14:paraId="2E619A87">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0A5A1428">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3172EDAD">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建议5未采纳，</w:t>
            </w:r>
            <w:r>
              <w:rPr>
                <w:rFonts w:hint="default" w:ascii="Times New Roman" w:hAnsi="Times New Roman" w:eastAsia="仿宋_GB2312" w:cs="Times New Roman"/>
                <w:b w:val="0"/>
                <w:bCs/>
                <w:kern w:val="2"/>
                <w:sz w:val="24"/>
                <w:szCs w:val="24"/>
                <w:lang w:val="en-US" w:eastAsia="zh-CN" w:bidi="ar-SA"/>
              </w:rPr>
              <w:t>该事项不作为强制条款在合同中约定。</w:t>
            </w:r>
          </w:p>
          <w:p w14:paraId="4D522D3B">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58DF6092">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74414D94">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建议6未采纳，</w:t>
            </w:r>
            <w:r>
              <w:rPr>
                <w:rFonts w:hint="default" w:ascii="Times New Roman" w:hAnsi="Times New Roman" w:eastAsia="仿宋_GB2312" w:cs="Times New Roman"/>
                <w:b w:val="0"/>
                <w:bCs/>
                <w:kern w:val="2"/>
                <w:sz w:val="24"/>
                <w:szCs w:val="24"/>
                <w:lang w:val="en-US" w:eastAsia="zh-CN" w:bidi="ar-SA"/>
              </w:rPr>
              <w:t>第二十条第一款已说明发承包双方，可结合上下条款理解。</w:t>
            </w:r>
          </w:p>
          <w:p w14:paraId="6CB41264">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5A6D59BC">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07D95CE1">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建议7未采纳，</w:t>
            </w:r>
            <w:r>
              <w:rPr>
                <w:rFonts w:hint="default" w:ascii="Times New Roman" w:hAnsi="Times New Roman" w:eastAsia="仿宋_GB2312" w:cs="Times New Roman"/>
                <w:b w:val="0"/>
                <w:bCs/>
                <w:kern w:val="2"/>
                <w:sz w:val="24"/>
                <w:szCs w:val="24"/>
                <w:lang w:val="en-US" w:eastAsia="zh-CN" w:bidi="ar-SA"/>
              </w:rPr>
              <w:t>国家相关上位法已明确主体为国有资金投资的建设工程，不建议再次扩大范围。</w:t>
            </w:r>
          </w:p>
          <w:p w14:paraId="2D78613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641C673C">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建议8未采纳，</w:t>
            </w:r>
            <w:r>
              <w:rPr>
                <w:rFonts w:hint="default" w:ascii="Times New Roman" w:hAnsi="Times New Roman" w:eastAsia="仿宋_GB2312" w:cs="Times New Roman"/>
                <w:b w:val="0"/>
                <w:bCs/>
                <w:kern w:val="2"/>
                <w:sz w:val="24"/>
                <w:szCs w:val="24"/>
                <w:lang w:val="en-US" w:eastAsia="zh-CN" w:bidi="ar-SA"/>
              </w:rPr>
              <w:t>此条为约束发承包双方条款，改为当事人范围过大。</w:t>
            </w:r>
          </w:p>
          <w:p w14:paraId="2233EACE">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2E758F75">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p>
          <w:p w14:paraId="14A3320D">
            <w:pPr>
              <w:keepNext w:val="0"/>
              <w:keepLines w:val="0"/>
              <w:pageBreakBefore w:val="0"/>
              <w:widowControl/>
              <w:kinsoku/>
              <w:wordWrap/>
              <w:overflowPunct/>
              <w:topLinePunct w:val="0"/>
              <w:autoSpaceDN/>
              <w:bidi w:val="0"/>
              <w:adjustRightInd/>
              <w:snapToGrid/>
              <w:spacing w:line="300" w:lineRule="exact"/>
              <w:jc w:val="both"/>
              <w:textAlignment w:val="auto"/>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eastAsia="仿宋_GB2312" w:cs="Times New Roman"/>
                <w:b/>
                <w:bCs w:val="0"/>
                <w:kern w:val="2"/>
                <w:sz w:val="24"/>
                <w:szCs w:val="24"/>
                <w:lang w:val="en-US" w:eastAsia="zh-CN" w:bidi="ar-SA"/>
              </w:rPr>
              <w:t>建议9未采纳，</w:t>
            </w:r>
            <w:r>
              <w:rPr>
                <w:rFonts w:hint="default" w:ascii="Times New Roman" w:hAnsi="Times New Roman" w:eastAsia="仿宋_GB2312" w:cs="Times New Roman"/>
                <w:b w:val="0"/>
                <w:bCs/>
                <w:kern w:val="2"/>
                <w:sz w:val="24"/>
                <w:szCs w:val="24"/>
                <w:lang w:val="en-US" w:eastAsia="zh-CN" w:bidi="ar-SA"/>
              </w:rPr>
              <w:t>确定造价咨询单位应根据服务内容、工作深度等合理确定。</w:t>
            </w:r>
          </w:p>
        </w:tc>
      </w:tr>
    </w:tbl>
    <w:p w14:paraId="68B71673">
      <w:pPr>
        <w:rPr>
          <w:rFonts w:hint="default" w:ascii="Times New Roman" w:hAnsi="Times New Roman" w:cs="Times New Roman"/>
          <w:lang w:val="en-US" w:eastAsia="zh-CN"/>
        </w:rPr>
      </w:pPr>
    </w:p>
    <w:p w14:paraId="45DB943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21A45"/>
    <w:rsid w:val="06756D6C"/>
    <w:rsid w:val="4C021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4976</Words>
  <Characters>5061</Characters>
  <Lines>0</Lines>
  <Paragraphs>0</Paragraphs>
  <TotalTime>1</TotalTime>
  <ScaleCrop>false</ScaleCrop>
  <LinksUpToDate>false</LinksUpToDate>
  <CharactersWithSpaces>5088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2026-03-13T04:04:00Z</dcterms:created>
  <dc:creator>zhengjing</dc:creator>
  <cp:lastModifiedBy>MG</cp:lastModifiedBy>
  <cp:lastPrinted>2026-03-13T04:17:00Z</cp:lastPrinted>
  <dcterms:modified xsi:type="dcterms:W3CDTF">2026-04-03T05:02:48Z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078A663789A24448AD15CD04F1E4D235_11</vt:lpwstr>
  </property>
  <property fmtid="{D5CDD505-2E9C-101B-9397-08002B2CF9AE}" pid="4" name="KSOTemplateDocerSaveRecord">
    <vt:lpwstr>eyJoZGlkIjoiODdjYjcxZGVmYWY3ZTE1YWZkOGY4NGQ3ZGNlM2JiYTUiLCJ1c2VySWQiOiIyODM0MzE1NTMifQ==</vt:lpwstr>
  </property>
</Properties>
</file>