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06B88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sz w:val="44"/>
          <w:szCs w:val="44"/>
          <w:lang w:val="en-US" w:eastAsia="zh-CN"/>
        </w:rPr>
      </w:pPr>
    </w:p>
    <w:p w14:paraId="01A08B8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sz w:val="44"/>
          <w:szCs w:val="44"/>
          <w:lang w:val="en-US" w:eastAsia="zh-CN"/>
        </w:rPr>
      </w:pPr>
      <w:r>
        <w:rPr>
          <w:rFonts w:hint="eastAsia" w:ascii="Times New Roman" w:hAnsi="Times New Roman" w:eastAsia="方正小标宋简体" w:cs="方正小标宋简体"/>
          <w:sz w:val="44"/>
          <w:szCs w:val="44"/>
          <w:lang w:val="en-US" w:eastAsia="zh-CN"/>
        </w:rPr>
        <w:t>《自治区房屋建筑和市政基础设施工程招标代理机构及从业人员信用综合评价</w:t>
      </w:r>
    </w:p>
    <w:p w14:paraId="7725BBB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方正小标宋简体"/>
          <w:sz w:val="44"/>
          <w:szCs w:val="44"/>
          <w:lang w:val="en-US" w:eastAsia="zh-CN"/>
        </w:rPr>
      </w:pPr>
      <w:r>
        <w:rPr>
          <w:rFonts w:hint="eastAsia" w:ascii="Times New Roman" w:hAnsi="Times New Roman" w:eastAsia="方正小标宋简体" w:cs="方正小标宋简体"/>
          <w:sz w:val="44"/>
          <w:szCs w:val="44"/>
          <w:lang w:val="en-US" w:eastAsia="zh-CN"/>
        </w:rPr>
        <w:t>管理办法》征集意见情况汇总表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8"/>
        <w:gridCol w:w="6026"/>
        <w:gridCol w:w="1628"/>
      </w:tblGrid>
      <w:tr w14:paraId="18D8C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blHeader/>
        </w:trPr>
        <w:tc>
          <w:tcPr>
            <w:tcW w:w="868" w:type="dxa"/>
            <w:vAlign w:val="center"/>
          </w:tcPr>
          <w:p w14:paraId="1AC5171F">
            <w:pPr>
              <w:pStyle w:val="2"/>
              <w:jc w:val="center"/>
              <w:rPr>
                <w:rFonts w:hint="eastAsia" w:ascii="Times New Roman" w:hAnsi="Times New Roman" w:eastAsia="黑体" w:cs="黑体"/>
                <w:sz w:val="24"/>
                <w:szCs w:val="24"/>
                <w:vertAlign w:val="baseline"/>
                <w:lang w:val="en-US" w:eastAsia="zh-CN"/>
              </w:rPr>
            </w:pPr>
            <w:r>
              <w:rPr>
                <w:rFonts w:hint="eastAsia" w:ascii="Times New Roman" w:hAnsi="Times New Roman" w:eastAsia="黑体" w:cs="黑体"/>
                <w:sz w:val="24"/>
                <w:szCs w:val="24"/>
                <w:vertAlign w:val="baseline"/>
                <w:lang w:val="en-US" w:eastAsia="zh-CN"/>
              </w:rPr>
              <w:t>序号</w:t>
            </w:r>
          </w:p>
        </w:tc>
        <w:tc>
          <w:tcPr>
            <w:tcW w:w="6026" w:type="dxa"/>
            <w:vAlign w:val="center"/>
          </w:tcPr>
          <w:p w14:paraId="168399AE">
            <w:pPr>
              <w:pStyle w:val="2"/>
              <w:jc w:val="center"/>
              <w:rPr>
                <w:rFonts w:hint="eastAsia" w:ascii="Times New Roman" w:hAnsi="Times New Roman" w:eastAsia="黑体" w:cs="黑体"/>
                <w:sz w:val="24"/>
                <w:szCs w:val="24"/>
                <w:vertAlign w:val="baseline"/>
                <w:lang w:val="en-US" w:eastAsia="zh-CN"/>
              </w:rPr>
            </w:pPr>
            <w:r>
              <w:rPr>
                <w:rFonts w:hint="eastAsia" w:ascii="Times New Roman" w:hAnsi="Times New Roman" w:eastAsia="黑体" w:cs="黑体"/>
                <w:sz w:val="24"/>
                <w:szCs w:val="24"/>
                <w:vertAlign w:val="baseline"/>
                <w:lang w:val="en-US" w:eastAsia="zh-CN"/>
              </w:rPr>
              <w:t>意见建议</w:t>
            </w:r>
          </w:p>
        </w:tc>
        <w:tc>
          <w:tcPr>
            <w:tcW w:w="1628" w:type="dxa"/>
            <w:vAlign w:val="center"/>
          </w:tcPr>
          <w:p w14:paraId="444308C5">
            <w:pPr>
              <w:pStyle w:val="2"/>
              <w:jc w:val="center"/>
              <w:rPr>
                <w:rFonts w:hint="eastAsia" w:ascii="Times New Roman" w:hAnsi="Times New Roman" w:eastAsia="黑体" w:cs="黑体"/>
                <w:sz w:val="24"/>
                <w:szCs w:val="24"/>
                <w:vertAlign w:val="baseline"/>
                <w:lang w:val="en-US" w:eastAsia="zh-CN"/>
              </w:rPr>
            </w:pPr>
            <w:r>
              <w:rPr>
                <w:rFonts w:hint="eastAsia" w:ascii="Times New Roman" w:hAnsi="Times New Roman" w:eastAsia="黑体" w:cs="黑体"/>
                <w:sz w:val="24"/>
                <w:szCs w:val="24"/>
                <w:vertAlign w:val="baseline"/>
                <w:lang w:val="en-US" w:eastAsia="zh-CN"/>
              </w:rPr>
              <w:t>采纳情况</w:t>
            </w:r>
          </w:p>
        </w:tc>
      </w:tr>
      <w:tr w14:paraId="7BBA0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tblHeader/>
        </w:trPr>
        <w:tc>
          <w:tcPr>
            <w:tcW w:w="868" w:type="dxa"/>
            <w:vAlign w:val="center"/>
          </w:tcPr>
          <w:p w14:paraId="3A890DCB">
            <w:pPr>
              <w:pStyle w:val="2"/>
              <w:jc w:val="center"/>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1</w:t>
            </w:r>
          </w:p>
        </w:tc>
        <w:tc>
          <w:tcPr>
            <w:tcW w:w="6026" w:type="dxa"/>
            <w:vAlign w:val="center"/>
          </w:tcPr>
          <w:p w14:paraId="7C270E31">
            <w:pPr>
              <w:pStyle w:val="2"/>
              <w:jc w:val="both"/>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lang w:val="en-US" w:eastAsia="zh-CN"/>
              </w:rPr>
              <w:t>附件1专业人员配置第1条：招标代理侧重于管理咨询策划，人员要从整体考虑，应综合全面，建议增加建造师、监理工程师、注册咨询师等其他类注册执业资格人员，不应只限于注册造价工程师。</w:t>
            </w:r>
          </w:p>
        </w:tc>
        <w:tc>
          <w:tcPr>
            <w:tcW w:w="1628" w:type="dxa"/>
            <w:vAlign w:val="center"/>
          </w:tcPr>
          <w:p w14:paraId="298BD041">
            <w:pPr>
              <w:pStyle w:val="2"/>
              <w:jc w:val="center"/>
              <w:rPr>
                <w:rFonts w:hint="default"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采纳</w:t>
            </w:r>
          </w:p>
        </w:tc>
      </w:tr>
      <w:tr w14:paraId="377A1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8" w:hRule="atLeast"/>
          <w:tblHeader/>
        </w:trPr>
        <w:tc>
          <w:tcPr>
            <w:tcW w:w="868" w:type="dxa"/>
            <w:vAlign w:val="center"/>
          </w:tcPr>
          <w:p w14:paraId="4C491B17">
            <w:pPr>
              <w:pStyle w:val="2"/>
              <w:jc w:val="center"/>
              <w:rPr>
                <w:rFonts w:hint="default"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2</w:t>
            </w:r>
          </w:p>
        </w:tc>
        <w:tc>
          <w:tcPr>
            <w:tcW w:w="6026" w:type="dxa"/>
            <w:vAlign w:val="center"/>
          </w:tcPr>
          <w:p w14:paraId="6129EF90">
            <w:pPr>
              <w:pStyle w:val="2"/>
              <w:jc w:val="both"/>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kern w:val="2"/>
                <w:sz w:val="24"/>
                <w:szCs w:val="24"/>
                <w:lang w:val="en-US" w:eastAsia="zh-CN" w:bidi="ar-SA"/>
              </w:rPr>
              <w:t>附件1招标代理业绩第1条、第2条：鉴于目前建筑市场情况，业绩目标是否过高，建议减少；业绩从工程建设云平台获取限制了业绩范围，建议增加平台外业绩比例。</w:t>
            </w:r>
          </w:p>
        </w:tc>
        <w:tc>
          <w:tcPr>
            <w:tcW w:w="1628" w:type="dxa"/>
            <w:vAlign w:val="center"/>
          </w:tcPr>
          <w:p w14:paraId="51078928">
            <w:pPr>
              <w:pStyle w:val="2"/>
              <w:jc w:val="center"/>
              <w:rPr>
                <w:rFonts w:hint="default"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采纳，建设云平台外业绩企业自行填报</w:t>
            </w:r>
          </w:p>
        </w:tc>
      </w:tr>
      <w:tr w14:paraId="0249D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blHeader/>
        </w:trPr>
        <w:tc>
          <w:tcPr>
            <w:tcW w:w="868" w:type="dxa"/>
            <w:vAlign w:val="center"/>
          </w:tcPr>
          <w:p w14:paraId="3EF05D5A">
            <w:pPr>
              <w:pStyle w:val="2"/>
              <w:jc w:val="center"/>
              <w:rPr>
                <w:rFonts w:hint="default"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3</w:t>
            </w:r>
          </w:p>
        </w:tc>
        <w:tc>
          <w:tcPr>
            <w:tcW w:w="6026" w:type="dxa"/>
            <w:vAlign w:val="center"/>
          </w:tcPr>
          <w:p w14:paraId="1B3F26EC">
            <w:pPr>
              <w:pStyle w:val="2"/>
              <w:jc w:val="both"/>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kern w:val="2"/>
                <w:sz w:val="24"/>
                <w:szCs w:val="24"/>
                <w:lang w:val="en-US" w:eastAsia="zh-CN" w:bidi="ar-SA"/>
              </w:rPr>
              <w:t>附件4业务能力第2.1条每参加一次自治区相关部门组织的招标代理相关考试最高得6分，满分12分，建议满分6分。</w:t>
            </w:r>
          </w:p>
        </w:tc>
        <w:tc>
          <w:tcPr>
            <w:tcW w:w="1628" w:type="dxa"/>
            <w:vAlign w:val="center"/>
          </w:tcPr>
          <w:p w14:paraId="63A3E78C">
            <w:pPr>
              <w:pStyle w:val="2"/>
              <w:jc w:val="center"/>
              <w:rPr>
                <w:rFonts w:hint="default"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采纳</w:t>
            </w:r>
          </w:p>
        </w:tc>
      </w:tr>
      <w:tr w14:paraId="3AED8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tblHeader/>
        </w:trPr>
        <w:tc>
          <w:tcPr>
            <w:tcW w:w="868" w:type="dxa"/>
            <w:vAlign w:val="center"/>
          </w:tcPr>
          <w:p w14:paraId="1B8DC626">
            <w:pPr>
              <w:pStyle w:val="2"/>
              <w:jc w:val="center"/>
              <w:rPr>
                <w:rFonts w:hint="default"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4</w:t>
            </w:r>
          </w:p>
        </w:tc>
        <w:tc>
          <w:tcPr>
            <w:tcW w:w="6026" w:type="dxa"/>
            <w:vAlign w:val="center"/>
          </w:tcPr>
          <w:p w14:paraId="7A648F14">
            <w:pPr>
              <w:keepNext w:val="0"/>
              <w:keepLines w:val="0"/>
              <w:pageBreakBefore w:val="0"/>
              <w:kinsoku/>
              <w:wordWrap/>
              <w:overflowPunct/>
              <w:topLinePunct w:val="0"/>
              <w:autoSpaceDE/>
              <w:autoSpaceDN/>
              <w:bidi w:val="0"/>
              <w:spacing w:line="320" w:lineRule="exact"/>
              <w:jc w:val="both"/>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办公场所面积：办公场所与营业执照地址一致？</w:t>
            </w:r>
          </w:p>
          <w:p w14:paraId="65F0D3FE">
            <w:pPr>
              <w:pStyle w:val="2"/>
              <w:jc w:val="both"/>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lang w:val="en-US" w:eastAsia="zh-CN"/>
              </w:rPr>
              <w:t>建议修改：营业执照场所如不一致，应提供相应证明材料，如房屋租赁发票、房屋租赁合同等，以及营业场所实拍照片，这样也可以证明。</w:t>
            </w:r>
          </w:p>
        </w:tc>
        <w:tc>
          <w:tcPr>
            <w:tcW w:w="1628" w:type="dxa"/>
            <w:vAlign w:val="center"/>
          </w:tcPr>
          <w:p w14:paraId="1050DC3C">
            <w:pPr>
              <w:pStyle w:val="2"/>
              <w:jc w:val="center"/>
              <w:rPr>
                <w:rFonts w:hint="default"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采纳</w:t>
            </w:r>
          </w:p>
        </w:tc>
      </w:tr>
      <w:tr w14:paraId="211E2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68" w:type="dxa"/>
            <w:vAlign w:val="center"/>
          </w:tcPr>
          <w:p w14:paraId="6878A236">
            <w:pPr>
              <w:pStyle w:val="2"/>
              <w:jc w:val="center"/>
              <w:rPr>
                <w:rFonts w:hint="default"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5</w:t>
            </w:r>
          </w:p>
        </w:tc>
        <w:tc>
          <w:tcPr>
            <w:tcW w:w="6026" w:type="dxa"/>
            <w:vAlign w:val="center"/>
          </w:tcPr>
          <w:p w14:paraId="2A2FA73F">
            <w:pPr>
              <w:pStyle w:val="2"/>
              <w:jc w:val="both"/>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lang w:val="en-US" w:eastAsia="zh-CN"/>
              </w:rPr>
              <w:t>从业人员信用分：上一年度中招标代理机构从业人员信用分应用。</w:t>
            </w:r>
            <w:r>
              <w:rPr>
                <w:rFonts w:hint="eastAsia" w:ascii="Times New Roman" w:hAnsi="Times New Roman" w:eastAsia="仿宋_GB2312" w:cs="仿宋_GB2312"/>
                <w:kern w:val="2"/>
                <w:sz w:val="24"/>
                <w:szCs w:val="24"/>
                <w:lang w:val="en-US" w:eastAsia="zh-CN" w:bidi="ar-SA"/>
              </w:rPr>
              <w:t>这条是否能删除，公司项目大部分在兵团，个人业绩在系统抓取不上，不能代表公司信用。</w:t>
            </w:r>
          </w:p>
        </w:tc>
        <w:tc>
          <w:tcPr>
            <w:tcW w:w="1628" w:type="dxa"/>
            <w:vAlign w:val="center"/>
          </w:tcPr>
          <w:p w14:paraId="10779765">
            <w:pPr>
              <w:pStyle w:val="2"/>
              <w:jc w:val="center"/>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采纳</w:t>
            </w:r>
          </w:p>
        </w:tc>
      </w:tr>
      <w:tr w14:paraId="74A33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68" w:type="dxa"/>
            <w:vAlign w:val="center"/>
          </w:tcPr>
          <w:p w14:paraId="5A50DFE0">
            <w:pPr>
              <w:pStyle w:val="2"/>
              <w:jc w:val="center"/>
              <w:rPr>
                <w:rFonts w:hint="default"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6</w:t>
            </w:r>
          </w:p>
        </w:tc>
        <w:tc>
          <w:tcPr>
            <w:tcW w:w="6026" w:type="dxa"/>
            <w:vAlign w:val="center"/>
          </w:tcPr>
          <w:p w14:paraId="441FF2D1">
            <w:pPr>
              <w:pStyle w:val="2"/>
              <w:jc w:val="both"/>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color w:val="333333"/>
                <w:sz w:val="24"/>
                <w:szCs w:val="24"/>
                <w:shd w:val="clear" w:color="auto" w:fill="FFFFFF"/>
              </w:rPr>
              <w:t>招标代理业绩要求过高：近年来由于建筑市场投资规模大幅度下降，房屋建筑和市政基础设施工程数量稀少</w:t>
            </w:r>
            <w:r>
              <w:rPr>
                <w:rFonts w:hint="eastAsia" w:ascii="Times New Roman" w:hAnsi="Times New Roman" w:eastAsia="仿宋_GB2312" w:cs="仿宋_GB2312"/>
                <w:color w:val="333333"/>
                <w:sz w:val="24"/>
                <w:szCs w:val="24"/>
                <w:shd w:val="clear" w:color="auto" w:fill="FFFFFF"/>
                <w:lang w:eastAsia="zh-CN"/>
              </w:rPr>
              <w:t>（</w:t>
            </w:r>
            <w:r>
              <w:rPr>
                <w:rFonts w:hint="eastAsia" w:ascii="Times New Roman" w:hAnsi="Times New Roman" w:eastAsia="仿宋_GB2312" w:cs="仿宋_GB2312"/>
                <w:color w:val="333333"/>
                <w:sz w:val="24"/>
                <w:szCs w:val="24"/>
                <w:shd w:val="clear" w:color="auto" w:fill="FFFFFF"/>
                <w:lang w:val="en-US" w:eastAsia="zh-CN"/>
              </w:rPr>
              <w:t>包括未进场项目</w:t>
            </w:r>
            <w:r>
              <w:rPr>
                <w:rFonts w:hint="eastAsia" w:ascii="Times New Roman" w:hAnsi="Times New Roman" w:eastAsia="仿宋_GB2312" w:cs="仿宋_GB2312"/>
                <w:color w:val="333333"/>
                <w:sz w:val="24"/>
                <w:szCs w:val="24"/>
                <w:shd w:val="clear" w:color="auto" w:fill="FFFFFF"/>
                <w:lang w:eastAsia="zh-CN"/>
              </w:rPr>
              <w:t>）</w:t>
            </w:r>
            <w:r>
              <w:rPr>
                <w:rFonts w:hint="eastAsia" w:ascii="Times New Roman" w:hAnsi="Times New Roman" w:eastAsia="仿宋_GB2312" w:cs="仿宋_GB2312"/>
                <w:color w:val="333333"/>
                <w:sz w:val="24"/>
                <w:szCs w:val="24"/>
                <w:shd w:val="clear" w:color="auto" w:fill="FFFFFF"/>
              </w:rPr>
              <w:t>，因此我区绝大多数代理机构的每年房建（市政）工程交易数量都不超过30项，累计标段数达到50个的屈指可数，不具有普遍性，建议将此项业绩要求予以调整。</w:t>
            </w:r>
          </w:p>
        </w:tc>
        <w:tc>
          <w:tcPr>
            <w:tcW w:w="1628" w:type="dxa"/>
            <w:vAlign w:val="center"/>
          </w:tcPr>
          <w:p w14:paraId="38017280">
            <w:pPr>
              <w:pStyle w:val="2"/>
              <w:jc w:val="center"/>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不采纳</w:t>
            </w:r>
          </w:p>
        </w:tc>
      </w:tr>
      <w:tr w14:paraId="4B4F6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68" w:type="dxa"/>
            <w:vAlign w:val="center"/>
          </w:tcPr>
          <w:p w14:paraId="0B7655E4">
            <w:pPr>
              <w:pStyle w:val="2"/>
              <w:jc w:val="center"/>
              <w:rPr>
                <w:rFonts w:hint="default"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7</w:t>
            </w:r>
          </w:p>
        </w:tc>
        <w:tc>
          <w:tcPr>
            <w:tcW w:w="6026" w:type="dxa"/>
            <w:vAlign w:val="center"/>
          </w:tcPr>
          <w:p w14:paraId="51D58120">
            <w:pPr>
              <w:pStyle w:val="2"/>
              <w:jc w:val="both"/>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color w:val="333333"/>
                <w:sz w:val="24"/>
                <w:szCs w:val="24"/>
                <w:shd w:val="clear" w:color="auto" w:fill="FFFFFF"/>
              </w:rPr>
              <w:t>行业贡献要求过高：招标代理工作是按照国家相关法律法规及地方相关政策，按照规范要求执行招标代理流程，在本职工作过程中，能受到国家级、省级、区级、地州市级部门（特别是监管部门）通报表扬的，非常罕见。建议将此项要求予以调整。</w:t>
            </w:r>
          </w:p>
        </w:tc>
        <w:tc>
          <w:tcPr>
            <w:tcW w:w="1628" w:type="dxa"/>
            <w:vAlign w:val="center"/>
          </w:tcPr>
          <w:p w14:paraId="39CBCEEC">
            <w:pPr>
              <w:pStyle w:val="2"/>
              <w:jc w:val="center"/>
              <w:rPr>
                <w:rFonts w:hint="default"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不采纳</w:t>
            </w:r>
          </w:p>
        </w:tc>
      </w:tr>
      <w:tr w14:paraId="70822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68" w:type="dxa"/>
            <w:vAlign w:val="center"/>
          </w:tcPr>
          <w:p w14:paraId="2BC7C6BB">
            <w:pPr>
              <w:pStyle w:val="2"/>
              <w:jc w:val="center"/>
              <w:rPr>
                <w:rFonts w:hint="default"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8</w:t>
            </w:r>
          </w:p>
        </w:tc>
        <w:tc>
          <w:tcPr>
            <w:tcW w:w="6026" w:type="dxa"/>
            <w:vAlign w:val="center"/>
          </w:tcPr>
          <w:p w14:paraId="6EBDBF10">
            <w:pPr>
              <w:pStyle w:val="2"/>
              <w:jc w:val="both"/>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color w:val="333333"/>
                <w:sz w:val="24"/>
                <w:szCs w:val="24"/>
                <w:shd w:val="clear" w:color="auto" w:fill="FFFFFF"/>
              </w:rPr>
              <w:t>一标一考中要求投标人对代理机构进行评价不妥，原因是：即便代理机构的工作准确无误，但是任何一个项目的中标人只有一个，其他所有未中标人不会以工作流程来评价代理机构，而是以未中标的遗憾和不甘来评价，建议对此项要求予以调整。</w:t>
            </w:r>
          </w:p>
        </w:tc>
        <w:tc>
          <w:tcPr>
            <w:tcW w:w="1628" w:type="dxa"/>
            <w:vAlign w:val="center"/>
          </w:tcPr>
          <w:p w14:paraId="5C60B517">
            <w:pPr>
              <w:pStyle w:val="2"/>
              <w:jc w:val="center"/>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不采纳</w:t>
            </w:r>
          </w:p>
        </w:tc>
      </w:tr>
      <w:tr w14:paraId="0C4AD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4" w:hRule="atLeast"/>
          <w:tblHeader/>
        </w:trPr>
        <w:tc>
          <w:tcPr>
            <w:tcW w:w="868" w:type="dxa"/>
            <w:vAlign w:val="center"/>
          </w:tcPr>
          <w:p w14:paraId="67EBC2E9">
            <w:pPr>
              <w:pStyle w:val="2"/>
              <w:jc w:val="center"/>
              <w:rPr>
                <w:rFonts w:hint="default"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9</w:t>
            </w:r>
          </w:p>
        </w:tc>
        <w:tc>
          <w:tcPr>
            <w:tcW w:w="6026" w:type="dxa"/>
            <w:vAlign w:val="center"/>
          </w:tcPr>
          <w:p w14:paraId="7E7BB0AB">
            <w:pPr>
              <w:pStyle w:val="2"/>
              <w:jc w:val="both"/>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rPr>
              <w:t>关于“招标代理业绩：上年度累计标段数（15分）”。经评估，该项分值权重偏高。实际招标工作中，单个项目常划分为施工标与监理标同步招标。为优化评分结构，建议调整为：“上年度累计标段数（10分）：累计标段数45个（含）以上得10分；30个（含）至45个（不含）得9分；15个（含）至30个（不含）得6分；1个（含）至15个（不含）得3分”。所调减的5分建议计入“从业人员信用分”指标。</w:t>
            </w:r>
          </w:p>
        </w:tc>
        <w:tc>
          <w:tcPr>
            <w:tcW w:w="1628" w:type="dxa"/>
            <w:vAlign w:val="center"/>
          </w:tcPr>
          <w:p w14:paraId="18231E9D">
            <w:pPr>
              <w:pStyle w:val="2"/>
              <w:jc w:val="center"/>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采纳</w:t>
            </w:r>
          </w:p>
        </w:tc>
      </w:tr>
      <w:tr w14:paraId="73A70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6" w:hRule="atLeast"/>
          <w:tblHeader/>
        </w:trPr>
        <w:tc>
          <w:tcPr>
            <w:tcW w:w="868" w:type="dxa"/>
            <w:vAlign w:val="center"/>
          </w:tcPr>
          <w:p w14:paraId="15FCAFC0">
            <w:pPr>
              <w:pStyle w:val="2"/>
              <w:jc w:val="center"/>
              <w:rPr>
                <w:rFonts w:hint="default"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10</w:t>
            </w:r>
          </w:p>
        </w:tc>
        <w:tc>
          <w:tcPr>
            <w:tcW w:w="6026" w:type="dxa"/>
            <w:vAlign w:val="center"/>
          </w:tcPr>
          <w:p w14:paraId="7B6A836A">
            <w:pPr>
              <w:pStyle w:val="2"/>
              <w:jc w:val="both"/>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rPr>
              <w:t>关于“业务能力提升：招标代理机构上一年度参加房建市政相关法律法规、政策制度等培训考试（6分）”。现行标准中每人得分额度偏低。参考近年行业培训考试费用标准（约700元/人），机构需至少投入10人（合计7000元）方可满分，经济负担较重。为提升政策可操作性，建议修改为：“招标代理机构上一年度参加房建市政相关法律法规、政策制度等培训考试（6分）：80分以上每人得1分；60-79分或合格每人得0.5分；60分以下或不合格不得分”。</w:t>
            </w:r>
          </w:p>
        </w:tc>
        <w:tc>
          <w:tcPr>
            <w:tcW w:w="1628" w:type="dxa"/>
            <w:vAlign w:val="center"/>
          </w:tcPr>
          <w:p w14:paraId="5C2F9F0E">
            <w:pPr>
              <w:pStyle w:val="2"/>
              <w:jc w:val="center"/>
              <w:rPr>
                <w:rFonts w:hint="default"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采纳</w:t>
            </w:r>
          </w:p>
        </w:tc>
      </w:tr>
      <w:tr w14:paraId="32317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5" w:hRule="atLeast"/>
          <w:tblHeader/>
        </w:trPr>
        <w:tc>
          <w:tcPr>
            <w:tcW w:w="868" w:type="dxa"/>
            <w:vAlign w:val="center"/>
          </w:tcPr>
          <w:p w14:paraId="1A541978">
            <w:pPr>
              <w:pStyle w:val="2"/>
              <w:jc w:val="center"/>
              <w:rPr>
                <w:rFonts w:hint="default"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11</w:t>
            </w:r>
          </w:p>
        </w:tc>
        <w:tc>
          <w:tcPr>
            <w:tcW w:w="6026" w:type="dxa"/>
            <w:vAlign w:val="center"/>
          </w:tcPr>
          <w:p w14:paraId="7431C881">
            <w:pPr>
              <w:pStyle w:val="2"/>
              <w:jc w:val="both"/>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rPr>
              <w:t>关于“从业人员信用分：上一年度中招标代理机构从业人员信用分应用（原标准：AAA级每人1分，AA级每人0.5分，A级每人0.2分）”。该指标对从业人员激励作用不足。根据附件4《自治区房屋建筑和市政基础设施工程建设项目招标代理机构从业人员信用信息量化评价标准》要求，从业人员年度至少需参加两次考试（费用约1400元/人）方可得满分。但在机构信用评定中仅占1分/人，投入产出失衡。为有效调动从业人员积极性，建议调整为：“从业人员信用分（10分）：AAA级每人得2分；AA级每人得1分；A级每人得0.5分”。</w:t>
            </w:r>
          </w:p>
        </w:tc>
        <w:tc>
          <w:tcPr>
            <w:tcW w:w="1628" w:type="dxa"/>
            <w:vAlign w:val="center"/>
          </w:tcPr>
          <w:p w14:paraId="268CCE8F">
            <w:pPr>
              <w:pStyle w:val="2"/>
              <w:jc w:val="center"/>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采纳</w:t>
            </w:r>
          </w:p>
        </w:tc>
      </w:tr>
      <w:tr w14:paraId="6E641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0" w:hRule="atLeast"/>
          <w:tblHeader/>
        </w:trPr>
        <w:tc>
          <w:tcPr>
            <w:tcW w:w="868" w:type="dxa"/>
            <w:vAlign w:val="center"/>
          </w:tcPr>
          <w:p w14:paraId="4D1297A6">
            <w:pPr>
              <w:pStyle w:val="2"/>
              <w:jc w:val="center"/>
              <w:rPr>
                <w:rFonts w:hint="default"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12</w:t>
            </w:r>
          </w:p>
        </w:tc>
        <w:tc>
          <w:tcPr>
            <w:tcW w:w="6026" w:type="dxa"/>
            <w:vAlign w:val="center"/>
          </w:tcPr>
          <w:p w14:paraId="6E1C5180">
            <w:pPr>
              <w:pStyle w:val="2"/>
              <w:jc w:val="both"/>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rPr>
              <w:t>关于“基本信息分，1.4工作年限（原标准：10年以上20分，5-9年15分，2-4年10分，1年5分）”。工作年限不能直接等同于专业能力，存在从业者跨行业流动导致实际代理经验不足的情况。建议优化为：“从事招标代理工作10年及以上得12分；5-9年得9分；2-4年得6分；满1年得3分。注：1.从业人员须与代理机构签订劳动合同并依法缴纳社会保险；2.跨企业工作经历需在新疆建设云平台可查历任企业；3.非平台登记企业工作年限不予认定”。</w:t>
            </w:r>
          </w:p>
        </w:tc>
        <w:tc>
          <w:tcPr>
            <w:tcW w:w="1628" w:type="dxa"/>
            <w:vAlign w:val="center"/>
          </w:tcPr>
          <w:p w14:paraId="7983439E">
            <w:pPr>
              <w:pStyle w:val="2"/>
              <w:jc w:val="center"/>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采纳</w:t>
            </w:r>
          </w:p>
        </w:tc>
      </w:tr>
      <w:tr w14:paraId="6DF7F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7" w:hRule="atLeast"/>
          <w:tblHeader/>
        </w:trPr>
        <w:tc>
          <w:tcPr>
            <w:tcW w:w="868" w:type="dxa"/>
            <w:vAlign w:val="center"/>
          </w:tcPr>
          <w:p w14:paraId="34600F2D">
            <w:pPr>
              <w:pStyle w:val="2"/>
              <w:jc w:val="center"/>
              <w:rPr>
                <w:rFonts w:hint="default"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13</w:t>
            </w:r>
          </w:p>
        </w:tc>
        <w:tc>
          <w:tcPr>
            <w:tcW w:w="6026" w:type="dxa"/>
            <w:vAlign w:val="center"/>
          </w:tcPr>
          <w:p w14:paraId="38E30B6E">
            <w:pPr>
              <w:pStyle w:val="2"/>
              <w:jc w:val="both"/>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rPr>
              <w:t>关于“业务能力水平信息，2.1考试（12分）”。考试成绩能客观反映从业者对政策法规的掌握程度，是衡量专业能力的重要依据。建议强化考核导向，修改为：“业务能力水平信息，2.1考试（20分）：参加自治区相关部门组织的招标代理考试，90分（含）以上每次得10分；75分（含）至90分每次得5分；60分（含）至75分或合格每次得2分；低于60分不得分”。</w:t>
            </w:r>
          </w:p>
        </w:tc>
        <w:tc>
          <w:tcPr>
            <w:tcW w:w="1628" w:type="dxa"/>
            <w:vAlign w:val="center"/>
          </w:tcPr>
          <w:p w14:paraId="232405A8">
            <w:pPr>
              <w:pStyle w:val="2"/>
              <w:jc w:val="center"/>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采纳</w:t>
            </w:r>
          </w:p>
        </w:tc>
      </w:tr>
      <w:tr w14:paraId="6EFBC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68" w:type="dxa"/>
            <w:vAlign w:val="center"/>
          </w:tcPr>
          <w:p w14:paraId="26415198">
            <w:pPr>
              <w:pStyle w:val="2"/>
              <w:jc w:val="center"/>
              <w:rPr>
                <w:rFonts w:hint="default"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14</w:t>
            </w:r>
          </w:p>
        </w:tc>
        <w:tc>
          <w:tcPr>
            <w:tcW w:w="6026" w:type="dxa"/>
            <w:vAlign w:val="center"/>
          </w:tcPr>
          <w:p w14:paraId="7544A13B">
            <w:pPr>
              <w:pStyle w:val="2"/>
              <w:jc w:val="both"/>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color w:val="000000"/>
                <w:kern w:val="0"/>
                <w:sz w:val="24"/>
                <w:szCs w:val="24"/>
                <w:lang w:val="en-US" w:eastAsia="zh-CN" w:bidi="ar"/>
              </w:rPr>
              <w:t>附件1《自治区房屋建筑和市政基础设施工程建设项目招标代理机构信用标准》，招标代理业绩信息采集方式由“工程建设云平台获取”调整为“工程建设云平台获取，涉密、限额以下业绩提供相关证明材料”。</w:t>
            </w:r>
          </w:p>
        </w:tc>
        <w:tc>
          <w:tcPr>
            <w:tcW w:w="1628" w:type="dxa"/>
            <w:vAlign w:val="center"/>
          </w:tcPr>
          <w:p w14:paraId="4CCFEB62">
            <w:pPr>
              <w:pStyle w:val="2"/>
              <w:jc w:val="center"/>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采纳</w:t>
            </w:r>
          </w:p>
        </w:tc>
      </w:tr>
      <w:tr w14:paraId="712DF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0" w:hRule="atLeast"/>
          <w:tblHeader/>
        </w:trPr>
        <w:tc>
          <w:tcPr>
            <w:tcW w:w="868" w:type="dxa"/>
            <w:vAlign w:val="center"/>
          </w:tcPr>
          <w:p w14:paraId="1554E517">
            <w:pPr>
              <w:pStyle w:val="2"/>
              <w:jc w:val="center"/>
              <w:rPr>
                <w:rFonts w:hint="default"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15</w:t>
            </w:r>
          </w:p>
        </w:tc>
        <w:tc>
          <w:tcPr>
            <w:tcW w:w="6026" w:type="dxa"/>
            <w:vAlign w:val="center"/>
          </w:tcPr>
          <w:p w14:paraId="034A8490">
            <w:pPr>
              <w:keepNext w:val="0"/>
              <w:keepLines w:val="0"/>
              <w:pageBreakBefore w:val="0"/>
              <w:widowControl/>
              <w:suppressLineNumbers w:val="0"/>
              <w:kinsoku/>
              <w:wordWrap/>
              <w:overflowPunct/>
              <w:topLinePunct w:val="0"/>
              <w:autoSpaceDE/>
              <w:autoSpaceDN/>
              <w:bidi w:val="0"/>
              <w:spacing w:line="320" w:lineRule="exact"/>
              <w:jc w:val="left"/>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color w:val="000000"/>
                <w:kern w:val="0"/>
                <w:sz w:val="24"/>
                <w:szCs w:val="24"/>
                <w:lang w:val="en-US" w:eastAsia="zh-CN" w:bidi="ar"/>
              </w:rPr>
              <w:t>附件4《自治区房屋建筑和市政基础设施工程建设项目招标代理机构从业人员信用信息量化评价标准》，2.1考试“每参加一次自治区相关部门组织的招标代理相关考试，80分以上的，得6分；60-79分或合格的，得2分；低于60分得0分。”调整为“每参加一次自治区相关部门或行业协会组织的招标代理相关考试，80分以上的，得12分；60-79分或合格的，得6分；低于60分得0分”。</w:t>
            </w:r>
          </w:p>
          <w:p w14:paraId="361B52D5">
            <w:pPr>
              <w:pStyle w:val="2"/>
              <w:jc w:val="both"/>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color w:val="000000"/>
                <w:kern w:val="0"/>
                <w:sz w:val="24"/>
                <w:szCs w:val="24"/>
                <w:lang w:val="en-US" w:eastAsia="zh-CN" w:bidi="ar"/>
              </w:rPr>
              <w:t>（培训合格证有效期一年，一年参加一次培训考试，减轻企业负担，优化营商环境）。</w:t>
            </w:r>
          </w:p>
        </w:tc>
        <w:tc>
          <w:tcPr>
            <w:tcW w:w="1628" w:type="dxa"/>
            <w:vAlign w:val="center"/>
          </w:tcPr>
          <w:p w14:paraId="4251D15E">
            <w:pPr>
              <w:pStyle w:val="2"/>
              <w:jc w:val="center"/>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采纳</w:t>
            </w:r>
          </w:p>
        </w:tc>
      </w:tr>
      <w:tr w14:paraId="3D149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68" w:type="dxa"/>
            <w:vAlign w:val="center"/>
          </w:tcPr>
          <w:p w14:paraId="6E5CC06E">
            <w:pPr>
              <w:pStyle w:val="2"/>
              <w:jc w:val="center"/>
              <w:rPr>
                <w:rFonts w:hint="default"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16</w:t>
            </w:r>
          </w:p>
        </w:tc>
        <w:tc>
          <w:tcPr>
            <w:tcW w:w="6026" w:type="dxa"/>
            <w:vAlign w:val="center"/>
          </w:tcPr>
          <w:p w14:paraId="572D110D">
            <w:pPr>
              <w:pStyle w:val="2"/>
              <w:jc w:val="both"/>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color w:val="000000"/>
                <w:kern w:val="0"/>
                <w:sz w:val="24"/>
                <w:szCs w:val="24"/>
                <w:lang w:val="en-US" w:eastAsia="zh-CN" w:bidi="ar"/>
              </w:rPr>
              <w:t>个人业绩采集单位由“工程建设云系统获取”调整为“工程建设云平台获取，涉密、限额以下业绩提供相关证明材料”。</w:t>
            </w:r>
          </w:p>
        </w:tc>
        <w:tc>
          <w:tcPr>
            <w:tcW w:w="1628" w:type="dxa"/>
            <w:vAlign w:val="center"/>
          </w:tcPr>
          <w:p w14:paraId="0C00AA71">
            <w:pPr>
              <w:pStyle w:val="2"/>
              <w:jc w:val="center"/>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采纳</w:t>
            </w:r>
          </w:p>
        </w:tc>
      </w:tr>
      <w:tr w14:paraId="496D2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68" w:type="dxa"/>
            <w:vAlign w:val="center"/>
          </w:tcPr>
          <w:p w14:paraId="4BBA675D">
            <w:pPr>
              <w:pStyle w:val="2"/>
              <w:jc w:val="center"/>
              <w:rPr>
                <w:rFonts w:hint="default"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17</w:t>
            </w:r>
          </w:p>
        </w:tc>
        <w:tc>
          <w:tcPr>
            <w:tcW w:w="6026" w:type="dxa"/>
            <w:vAlign w:val="center"/>
          </w:tcPr>
          <w:p w14:paraId="0135B671">
            <w:pPr>
              <w:pStyle w:val="2"/>
              <w:jc w:val="both"/>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color w:val="000000"/>
                <w:kern w:val="0"/>
                <w:sz w:val="24"/>
                <w:szCs w:val="24"/>
                <w:lang w:val="en-US" w:eastAsia="zh-CN" w:bidi="ar"/>
              </w:rPr>
              <w:t>行业表现：增加“地（州、市）级，得2分”。</w:t>
            </w:r>
          </w:p>
        </w:tc>
        <w:tc>
          <w:tcPr>
            <w:tcW w:w="1628" w:type="dxa"/>
            <w:vAlign w:val="center"/>
          </w:tcPr>
          <w:p w14:paraId="5B8B9809">
            <w:pPr>
              <w:pStyle w:val="2"/>
              <w:jc w:val="center"/>
              <w:rPr>
                <w:rFonts w:hint="eastAsia" w:ascii="Times New Roman" w:hAnsi="Times New Roman" w:eastAsia="仿宋_GB2312" w:cs="仿宋_GB2312"/>
                <w:sz w:val="24"/>
                <w:szCs w:val="24"/>
                <w:vertAlign w:val="baseline"/>
                <w:lang w:val="en-US" w:eastAsia="zh-CN"/>
              </w:rPr>
            </w:pPr>
          </w:p>
        </w:tc>
      </w:tr>
      <w:tr w14:paraId="2F0EA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68" w:type="dxa"/>
            <w:vAlign w:val="center"/>
          </w:tcPr>
          <w:p w14:paraId="2B52DE01">
            <w:pPr>
              <w:pStyle w:val="2"/>
              <w:jc w:val="center"/>
              <w:rPr>
                <w:rFonts w:hint="default"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18</w:t>
            </w:r>
          </w:p>
        </w:tc>
        <w:tc>
          <w:tcPr>
            <w:tcW w:w="6026" w:type="dxa"/>
            <w:vAlign w:val="center"/>
          </w:tcPr>
          <w:p w14:paraId="5831EE19">
            <w:pPr>
              <w:pStyle w:val="2"/>
              <w:jc w:val="both"/>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color w:val="000000"/>
                <w:kern w:val="0"/>
                <w:sz w:val="24"/>
                <w:szCs w:val="24"/>
                <w:lang w:val="en-US" w:eastAsia="zh-CN" w:bidi="ar"/>
              </w:rPr>
              <w:t>社会服务，3.4行业贡献分值设置过高。</w:t>
            </w:r>
          </w:p>
        </w:tc>
        <w:tc>
          <w:tcPr>
            <w:tcW w:w="1628" w:type="dxa"/>
            <w:vAlign w:val="center"/>
          </w:tcPr>
          <w:p w14:paraId="1769BF27">
            <w:pPr>
              <w:pStyle w:val="2"/>
              <w:jc w:val="center"/>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不采纳</w:t>
            </w:r>
          </w:p>
        </w:tc>
      </w:tr>
      <w:tr w14:paraId="20784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68" w:type="dxa"/>
            <w:vAlign w:val="center"/>
          </w:tcPr>
          <w:p w14:paraId="5ABB6B21">
            <w:pPr>
              <w:pStyle w:val="2"/>
              <w:jc w:val="center"/>
              <w:rPr>
                <w:rFonts w:hint="default"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19</w:t>
            </w:r>
          </w:p>
        </w:tc>
        <w:tc>
          <w:tcPr>
            <w:tcW w:w="6026" w:type="dxa"/>
            <w:vAlign w:val="center"/>
          </w:tcPr>
          <w:p w14:paraId="485E6B67">
            <w:pPr>
              <w:pStyle w:val="2"/>
              <w:jc w:val="both"/>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color w:val="000000"/>
                <w:kern w:val="0"/>
                <w:sz w:val="24"/>
                <w:szCs w:val="24"/>
                <w:lang w:val="en-US" w:eastAsia="zh-CN" w:bidi="ar"/>
              </w:rPr>
              <w:t>良好行为信息增加“3.5专业论文发表：上一年度专职人员在公开发行刊物（双刊号刊物）上发表与招标投标工作相关文章得***分，最高得***分。”</w:t>
            </w:r>
          </w:p>
        </w:tc>
        <w:tc>
          <w:tcPr>
            <w:tcW w:w="1628" w:type="dxa"/>
            <w:vAlign w:val="center"/>
          </w:tcPr>
          <w:p w14:paraId="29AA6DFE">
            <w:pPr>
              <w:pStyle w:val="2"/>
              <w:jc w:val="center"/>
              <w:rPr>
                <w:rFonts w:hint="default"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采纳</w:t>
            </w:r>
          </w:p>
        </w:tc>
      </w:tr>
      <w:tr w14:paraId="1F064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68" w:type="dxa"/>
            <w:vAlign w:val="center"/>
          </w:tcPr>
          <w:p w14:paraId="55B31777">
            <w:pPr>
              <w:pStyle w:val="2"/>
              <w:jc w:val="center"/>
              <w:rPr>
                <w:rFonts w:hint="default"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20</w:t>
            </w:r>
          </w:p>
        </w:tc>
        <w:tc>
          <w:tcPr>
            <w:tcW w:w="6026" w:type="dxa"/>
            <w:vAlign w:val="center"/>
          </w:tcPr>
          <w:p w14:paraId="71A99F8F">
            <w:pPr>
              <w:pStyle w:val="2"/>
              <w:jc w:val="both"/>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kern w:val="0"/>
                <w:sz w:val="24"/>
                <w:szCs w:val="24"/>
              </w:rPr>
              <w:t>专业人员配置</w:t>
            </w:r>
            <w:r>
              <w:rPr>
                <w:rFonts w:hint="eastAsia" w:ascii="Times New Roman" w:hAnsi="Times New Roman" w:eastAsia="仿宋_GB2312" w:cs="仿宋_GB2312"/>
                <w:kern w:val="0"/>
                <w:sz w:val="24"/>
                <w:szCs w:val="24"/>
                <w:lang w:val="en-US" w:eastAsia="zh-CN" w:bidi="ar-SA"/>
              </w:rPr>
              <w:t>1.有一级注册造价师执业资格人员每人得2分，最多得12分；2.具有工程建设类中级及以上职称每人得1分，最多得8分。</w:t>
            </w:r>
          </w:p>
        </w:tc>
        <w:tc>
          <w:tcPr>
            <w:tcW w:w="1628" w:type="dxa"/>
            <w:vAlign w:val="center"/>
          </w:tcPr>
          <w:p w14:paraId="0F0B3EB3">
            <w:pPr>
              <w:pStyle w:val="2"/>
              <w:jc w:val="center"/>
              <w:rPr>
                <w:rFonts w:hint="default"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不采纳，对应分值不满足需求</w:t>
            </w:r>
          </w:p>
        </w:tc>
      </w:tr>
      <w:tr w14:paraId="02B3C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68" w:type="dxa"/>
            <w:vAlign w:val="center"/>
          </w:tcPr>
          <w:p w14:paraId="43382470">
            <w:pPr>
              <w:pStyle w:val="2"/>
              <w:jc w:val="center"/>
              <w:rPr>
                <w:rFonts w:hint="default"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21</w:t>
            </w:r>
          </w:p>
        </w:tc>
        <w:tc>
          <w:tcPr>
            <w:tcW w:w="6026" w:type="dxa"/>
            <w:vAlign w:val="center"/>
          </w:tcPr>
          <w:p w14:paraId="5022FA7D">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Times New Roman" w:hAnsi="Times New Roman" w:eastAsia="仿宋_GB2312" w:cs="仿宋_GB2312"/>
                <w:color w:val="auto"/>
                <w:kern w:val="0"/>
                <w:sz w:val="24"/>
                <w:szCs w:val="24"/>
              </w:rPr>
            </w:pPr>
            <w:r>
              <w:rPr>
                <w:rFonts w:hint="eastAsia" w:ascii="Times New Roman" w:hAnsi="Times New Roman" w:eastAsia="仿宋_GB2312" w:cs="仿宋_GB2312"/>
                <w:kern w:val="0"/>
                <w:sz w:val="24"/>
                <w:szCs w:val="24"/>
              </w:rPr>
              <w:t>办公场所面积</w:t>
            </w:r>
            <w:r>
              <w:rPr>
                <w:rFonts w:hint="eastAsia" w:ascii="Times New Roman" w:hAnsi="Times New Roman" w:eastAsia="仿宋_GB2312" w:cs="仿宋_GB2312"/>
                <w:color w:val="auto"/>
                <w:kern w:val="0"/>
                <w:sz w:val="24"/>
                <w:szCs w:val="24"/>
              </w:rPr>
              <w:t>办公面积达到：</w:t>
            </w:r>
          </w:p>
          <w:p w14:paraId="4BF22480">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Times New Roman" w:hAnsi="Times New Roman" w:eastAsia="仿宋_GB2312" w:cs="仿宋_GB2312"/>
                <w:color w:val="auto"/>
                <w:kern w:val="0"/>
                <w:sz w:val="24"/>
                <w:szCs w:val="24"/>
              </w:rPr>
            </w:pPr>
            <w:r>
              <w:rPr>
                <w:rFonts w:hint="eastAsia" w:ascii="Times New Roman" w:hAnsi="Times New Roman" w:eastAsia="仿宋_GB2312" w:cs="仿宋_GB2312"/>
                <w:color w:val="auto"/>
                <w:kern w:val="0"/>
                <w:sz w:val="24"/>
                <w:szCs w:val="24"/>
                <w:lang w:val="en-US" w:eastAsia="zh-CN"/>
              </w:rPr>
              <w:t>5</w:t>
            </w:r>
            <w:r>
              <w:rPr>
                <w:rFonts w:hint="eastAsia" w:ascii="Times New Roman" w:hAnsi="Times New Roman" w:eastAsia="仿宋_GB2312" w:cs="仿宋_GB2312"/>
                <w:color w:val="auto"/>
                <w:kern w:val="0"/>
                <w:sz w:val="24"/>
                <w:szCs w:val="24"/>
              </w:rPr>
              <w:t>00平方米（含）及以上得4分；</w:t>
            </w:r>
          </w:p>
          <w:p w14:paraId="44608204">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Times New Roman" w:hAnsi="Times New Roman" w:eastAsia="仿宋_GB2312" w:cs="仿宋_GB2312"/>
                <w:color w:val="auto"/>
                <w:kern w:val="0"/>
                <w:sz w:val="24"/>
                <w:szCs w:val="24"/>
              </w:rPr>
            </w:pPr>
            <w:r>
              <w:rPr>
                <w:rFonts w:hint="eastAsia" w:ascii="Times New Roman" w:hAnsi="Times New Roman" w:eastAsia="仿宋_GB2312" w:cs="仿宋_GB2312"/>
                <w:color w:val="auto"/>
                <w:kern w:val="0"/>
                <w:sz w:val="24"/>
                <w:szCs w:val="24"/>
                <w:lang w:val="en-US" w:eastAsia="zh-CN"/>
              </w:rPr>
              <w:t>4</w:t>
            </w:r>
            <w:r>
              <w:rPr>
                <w:rFonts w:hint="eastAsia" w:ascii="Times New Roman" w:hAnsi="Times New Roman" w:eastAsia="仿宋_GB2312" w:cs="仿宋_GB2312"/>
                <w:color w:val="auto"/>
                <w:kern w:val="0"/>
                <w:sz w:val="24"/>
                <w:szCs w:val="24"/>
              </w:rPr>
              <w:t>00平方米（含）-</w:t>
            </w:r>
            <w:r>
              <w:rPr>
                <w:rFonts w:hint="eastAsia" w:ascii="Times New Roman" w:hAnsi="Times New Roman" w:eastAsia="仿宋_GB2312" w:cs="仿宋_GB2312"/>
                <w:color w:val="auto"/>
                <w:kern w:val="0"/>
                <w:sz w:val="24"/>
                <w:szCs w:val="24"/>
                <w:lang w:val="en-US" w:eastAsia="zh-CN"/>
              </w:rPr>
              <w:t>5</w:t>
            </w:r>
            <w:r>
              <w:rPr>
                <w:rFonts w:hint="eastAsia" w:ascii="Times New Roman" w:hAnsi="Times New Roman" w:eastAsia="仿宋_GB2312" w:cs="仿宋_GB2312"/>
                <w:color w:val="auto"/>
                <w:kern w:val="0"/>
                <w:sz w:val="24"/>
                <w:szCs w:val="24"/>
              </w:rPr>
              <w:t>00平方米（不含）得</w:t>
            </w:r>
            <w:r>
              <w:rPr>
                <w:rFonts w:hint="eastAsia" w:ascii="Times New Roman" w:hAnsi="Times New Roman" w:eastAsia="仿宋_GB2312" w:cs="仿宋_GB2312"/>
                <w:color w:val="auto"/>
                <w:kern w:val="0"/>
                <w:sz w:val="24"/>
                <w:szCs w:val="24"/>
                <w:lang w:val="en-US" w:eastAsia="zh-CN"/>
              </w:rPr>
              <w:t>3</w:t>
            </w:r>
            <w:r>
              <w:rPr>
                <w:rFonts w:hint="eastAsia" w:ascii="Times New Roman" w:hAnsi="Times New Roman" w:eastAsia="仿宋_GB2312" w:cs="仿宋_GB2312"/>
                <w:color w:val="auto"/>
                <w:kern w:val="0"/>
                <w:sz w:val="24"/>
                <w:szCs w:val="24"/>
              </w:rPr>
              <w:t>分；</w:t>
            </w:r>
          </w:p>
          <w:p w14:paraId="2EF2EC1A">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Times New Roman" w:hAnsi="Times New Roman" w:eastAsia="仿宋_GB2312" w:cs="仿宋_GB2312"/>
                <w:color w:val="auto"/>
                <w:kern w:val="0"/>
                <w:sz w:val="24"/>
                <w:szCs w:val="24"/>
              </w:rPr>
            </w:pPr>
            <w:r>
              <w:rPr>
                <w:rFonts w:hint="eastAsia" w:ascii="Times New Roman" w:hAnsi="Times New Roman" w:eastAsia="仿宋_GB2312" w:cs="仿宋_GB2312"/>
                <w:color w:val="auto"/>
                <w:kern w:val="0"/>
                <w:sz w:val="24"/>
                <w:szCs w:val="24"/>
                <w:lang w:val="en-US" w:eastAsia="zh-CN"/>
              </w:rPr>
              <w:t>3</w:t>
            </w:r>
            <w:r>
              <w:rPr>
                <w:rFonts w:hint="eastAsia" w:ascii="Times New Roman" w:hAnsi="Times New Roman" w:eastAsia="仿宋_GB2312" w:cs="仿宋_GB2312"/>
                <w:color w:val="auto"/>
                <w:kern w:val="0"/>
                <w:sz w:val="24"/>
                <w:szCs w:val="24"/>
              </w:rPr>
              <w:t>00平方米（含）-</w:t>
            </w:r>
            <w:r>
              <w:rPr>
                <w:rFonts w:hint="eastAsia" w:ascii="Times New Roman" w:hAnsi="Times New Roman" w:eastAsia="仿宋_GB2312" w:cs="仿宋_GB2312"/>
                <w:color w:val="auto"/>
                <w:kern w:val="0"/>
                <w:sz w:val="24"/>
                <w:szCs w:val="24"/>
                <w:lang w:val="en-US" w:eastAsia="zh-CN"/>
              </w:rPr>
              <w:t>4</w:t>
            </w:r>
            <w:r>
              <w:rPr>
                <w:rFonts w:hint="eastAsia" w:ascii="Times New Roman" w:hAnsi="Times New Roman" w:eastAsia="仿宋_GB2312" w:cs="仿宋_GB2312"/>
                <w:color w:val="auto"/>
                <w:kern w:val="0"/>
                <w:sz w:val="24"/>
                <w:szCs w:val="24"/>
              </w:rPr>
              <w:t>00平方米（不含）得</w:t>
            </w:r>
            <w:r>
              <w:rPr>
                <w:rFonts w:hint="eastAsia" w:ascii="Times New Roman" w:hAnsi="Times New Roman" w:eastAsia="仿宋_GB2312" w:cs="仿宋_GB2312"/>
                <w:color w:val="auto"/>
                <w:kern w:val="0"/>
                <w:sz w:val="24"/>
                <w:szCs w:val="24"/>
                <w:lang w:val="en-US" w:eastAsia="zh-CN"/>
              </w:rPr>
              <w:t>2</w:t>
            </w:r>
            <w:r>
              <w:rPr>
                <w:rFonts w:hint="eastAsia" w:ascii="Times New Roman" w:hAnsi="Times New Roman" w:eastAsia="仿宋_GB2312" w:cs="仿宋_GB2312"/>
                <w:color w:val="auto"/>
                <w:kern w:val="0"/>
                <w:sz w:val="24"/>
                <w:szCs w:val="24"/>
              </w:rPr>
              <w:t>分；</w:t>
            </w:r>
          </w:p>
          <w:p w14:paraId="4353BF6A">
            <w:pPr>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Times New Roman" w:hAnsi="Times New Roman" w:eastAsia="仿宋_GB2312" w:cs="仿宋_GB2312"/>
                <w:color w:val="auto"/>
                <w:kern w:val="0"/>
                <w:sz w:val="24"/>
                <w:szCs w:val="24"/>
                <w:lang w:eastAsia="zh-CN"/>
              </w:rPr>
            </w:pPr>
            <w:r>
              <w:rPr>
                <w:rFonts w:hint="eastAsia" w:ascii="Times New Roman" w:hAnsi="Times New Roman" w:eastAsia="仿宋_GB2312" w:cs="仿宋_GB2312"/>
                <w:color w:val="auto"/>
                <w:kern w:val="0"/>
                <w:sz w:val="24"/>
                <w:szCs w:val="24"/>
              </w:rPr>
              <w:t>100平方米（含）-</w:t>
            </w:r>
            <w:r>
              <w:rPr>
                <w:rFonts w:hint="eastAsia" w:ascii="Times New Roman" w:hAnsi="Times New Roman" w:eastAsia="仿宋_GB2312" w:cs="仿宋_GB2312"/>
                <w:color w:val="auto"/>
                <w:kern w:val="0"/>
                <w:sz w:val="24"/>
                <w:szCs w:val="24"/>
                <w:lang w:val="en-US" w:eastAsia="zh-CN"/>
              </w:rPr>
              <w:t>3</w:t>
            </w:r>
            <w:r>
              <w:rPr>
                <w:rFonts w:hint="eastAsia" w:ascii="Times New Roman" w:hAnsi="Times New Roman" w:eastAsia="仿宋_GB2312" w:cs="仿宋_GB2312"/>
                <w:color w:val="auto"/>
                <w:kern w:val="0"/>
                <w:sz w:val="24"/>
                <w:szCs w:val="24"/>
              </w:rPr>
              <w:t>00平方米（不含）得</w:t>
            </w:r>
            <w:r>
              <w:rPr>
                <w:rFonts w:hint="eastAsia" w:ascii="Times New Roman" w:hAnsi="Times New Roman" w:eastAsia="仿宋_GB2312" w:cs="仿宋_GB2312"/>
                <w:color w:val="auto"/>
                <w:kern w:val="0"/>
                <w:sz w:val="24"/>
                <w:szCs w:val="24"/>
                <w:lang w:val="en-US" w:eastAsia="zh-CN"/>
              </w:rPr>
              <w:t>1</w:t>
            </w:r>
            <w:r>
              <w:rPr>
                <w:rFonts w:hint="eastAsia" w:ascii="Times New Roman" w:hAnsi="Times New Roman" w:eastAsia="仿宋_GB2312" w:cs="仿宋_GB2312"/>
                <w:color w:val="auto"/>
                <w:kern w:val="0"/>
                <w:sz w:val="24"/>
                <w:szCs w:val="24"/>
              </w:rPr>
              <w:t>分</w:t>
            </w:r>
            <w:r>
              <w:rPr>
                <w:rFonts w:hint="eastAsia" w:ascii="Times New Roman" w:hAnsi="Times New Roman" w:eastAsia="仿宋_GB2312" w:cs="仿宋_GB2312"/>
                <w:color w:val="auto"/>
                <w:kern w:val="0"/>
                <w:sz w:val="24"/>
                <w:szCs w:val="24"/>
                <w:lang w:val="en-US" w:eastAsia="zh-CN"/>
              </w:rPr>
              <w:t>.</w:t>
            </w:r>
          </w:p>
          <w:p w14:paraId="3A895154">
            <w:pPr>
              <w:pStyle w:val="2"/>
              <w:jc w:val="both"/>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color w:val="auto"/>
                <w:kern w:val="0"/>
                <w:sz w:val="24"/>
                <w:szCs w:val="24"/>
                <w:lang w:val="en-US" w:eastAsia="zh-CN"/>
              </w:rPr>
              <w:t>注：需与营业执照地址一致。</w:t>
            </w:r>
          </w:p>
        </w:tc>
        <w:tc>
          <w:tcPr>
            <w:tcW w:w="1628" w:type="dxa"/>
            <w:vAlign w:val="center"/>
          </w:tcPr>
          <w:p w14:paraId="0FE24309">
            <w:pPr>
              <w:pStyle w:val="2"/>
              <w:jc w:val="center"/>
              <w:rPr>
                <w:rFonts w:hint="default"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不采纳，企业自行填报房产证（购房合同）或房屋租赁合同即可</w:t>
            </w:r>
          </w:p>
        </w:tc>
      </w:tr>
      <w:tr w14:paraId="1FC98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68" w:type="dxa"/>
            <w:vAlign w:val="center"/>
          </w:tcPr>
          <w:p w14:paraId="6EE4751A">
            <w:pPr>
              <w:pStyle w:val="2"/>
              <w:jc w:val="center"/>
              <w:rPr>
                <w:rFonts w:hint="default"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22</w:t>
            </w:r>
          </w:p>
        </w:tc>
        <w:tc>
          <w:tcPr>
            <w:tcW w:w="6026" w:type="dxa"/>
            <w:vAlign w:val="center"/>
          </w:tcPr>
          <w:p w14:paraId="258B44D0">
            <w:pPr>
              <w:pStyle w:val="2"/>
              <w:keepNext w:val="0"/>
              <w:keepLines w:val="0"/>
              <w:pageBreakBefore w:val="0"/>
              <w:kinsoku/>
              <w:wordWrap/>
              <w:overflowPunct/>
              <w:topLinePunct w:val="0"/>
              <w:autoSpaceDE/>
              <w:autoSpaceDN/>
              <w:bidi w:val="0"/>
              <w:spacing w:line="320" w:lineRule="exact"/>
              <w:textAlignment w:val="auto"/>
              <w:rPr>
                <w:rFonts w:hint="eastAsia"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招标代理业绩建议：累计招标金额3亿元以下的（不含）得5分；累计招标金额3亿元-5亿元的（不含）得8分；</w:t>
            </w:r>
          </w:p>
          <w:p w14:paraId="656F5C49">
            <w:pPr>
              <w:pStyle w:val="2"/>
              <w:keepNext w:val="0"/>
              <w:keepLines w:val="0"/>
              <w:pageBreakBefore w:val="0"/>
              <w:kinsoku/>
              <w:wordWrap/>
              <w:overflowPunct/>
              <w:topLinePunct w:val="0"/>
              <w:autoSpaceDE/>
              <w:autoSpaceDN/>
              <w:bidi w:val="0"/>
              <w:spacing w:line="320" w:lineRule="exact"/>
              <w:textAlignment w:val="auto"/>
              <w:rPr>
                <w:rFonts w:hint="eastAsia" w:ascii="Times New Roman" w:hAnsi="Times New Roman" w:eastAsia="仿宋_GB2312" w:cs="仿宋_GB2312"/>
                <w:kern w:val="0"/>
                <w:sz w:val="24"/>
                <w:szCs w:val="24"/>
              </w:rPr>
            </w:pPr>
            <w:r>
              <w:rPr>
                <w:rFonts w:hint="eastAsia" w:ascii="Times New Roman" w:hAnsi="Times New Roman" w:eastAsia="仿宋_GB2312" w:cs="仿宋_GB2312"/>
                <w:kern w:val="0"/>
                <w:sz w:val="24"/>
                <w:szCs w:val="24"/>
              </w:rPr>
              <w:t>累计招标金额5亿元-15亿元的（不含）得13分;</w:t>
            </w:r>
          </w:p>
          <w:p w14:paraId="7DBA613D">
            <w:pPr>
              <w:pStyle w:val="2"/>
              <w:jc w:val="both"/>
              <w:rPr>
                <w:rFonts w:hint="eastAsia"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kern w:val="0"/>
                <w:sz w:val="24"/>
                <w:szCs w:val="24"/>
              </w:rPr>
              <w:t>累计招标金额15亿元以上的（含）得15分。</w:t>
            </w:r>
          </w:p>
        </w:tc>
        <w:tc>
          <w:tcPr>
            <w:tcW w:w="1628" w:type="dxa"/>
            <w:vAlign w:val="center"/>
          </w:tcPr>
          <w:p w14:paraId="7CBF7B61">
            <w:pPr>
              <w:pStyle w:val="2"/>
              <w:jc w:val="center"/>
              <w:rPr>
                <w:rFonts w:hint="default" w:ascii="Times New Roman" w:hAnsi="Times New Roman" w:eastAsia="仿宋_GB2312" w:cs="仿宋_GB2312"/>
                <w:sz w:val="24"/>
                <w:szCs w:val="24"/>
                <w:vertAlign w:val="baseline"/>
                <w:lang w:val="en-US" w:eastAsia="zh-CN"/>
              </w:rPr>
            </w:pPr>
            <w:r>
              <w:rPr>
                <w:rFonts w:hint="eastAsia" w:ascii="Times New Roman" w:hAnsi="Times New Roman" w:eastAsia="仿宋_GB2312" w:cs="仿宋_GB2312"/>
                <w:sz w:val="24"/>
                <w:szCs w:val="24"/>
                <w:vertAlign w:val="baseline"/>
                <w:lang w:val="en-US" w:eastAsia="zh-CN"/>
              </w:rPr>
              <w:t>采</w:t>
            </w:r>
            <w:bookmarkStart w:id="0" w:name="_GoBack"/>
            <w:bookmarkEnd w:id="0"/>
            <w:r>
              <w:rPr>
                <w:rFonts w:hint="eastAsia" w:ascii="Times New Roman" w:hAnsi="Times New Roman" w:eastAsia="仿宋_GB2312" w:cs="仿宋_GB2312"/>
                <w:sz w:val="24"/>
                <w:szCs w:val="24"/>
                <w:vertAlign w:val="baseline"/>
                <w:lang w:val="en-US" w:eastAsia="zh-CN"/>
              </w:rPr>
              <w:t>纳</w:t>
            </w:r>
          </w:p>
        </w:tc>
      </w:tr>
    </w:tbl>
    <w:p w14:paraId="5BC6AC76">
      <w:pPr>
        <w:pStyle w:val="2"/>
        <w:jc w:val="both"/>
        <w:rPr>
          <w:rFonts w:hint="eastAsia" w:ascii="Times New Roman" w:hAnsi="Times New Roman"/>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WPSEMBED1">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0E2E2D"/>
    <w:rsid w:val="5B9C3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仿宋" w:hAnsi="仿宋" w:eastAsia="仿宋" w:cs="仿宋"/>
      <w:sz w:val="35"/>
      <w:szCs w:val="35"/>
      <w:lang w:val="en-US" w:eastAsia="en-US" w:bidi="ar-SA"/>
    </w:rPr>
  </w:style>
  <w:style w:type="paragraph" w:styleId="3">
    <w:name w:val="Body Text First Indent"/>
    <w:basedOn w:val="2"/>
    <w:next w:val="2"/>
    <w:qFormat/>
    <w:uiPriority w:val="0"/>
    <w:pPr>
      <w:autoSpaceDE w:val="0"/>
      <w:autoSpaceDN w:val="0"/>
      <w:ind w:firstLine="420" w:firstLineChars="100"/>
    </w:pPr>
    <w:rPr>
      <w:sz w:val="21"/>
      <w:szCs w:val="18"/>
      <w:lang w:eastAsia="en-US"/>
    </w:rPr>
  </w:style>
  <w:style w:type="paragraph" w:styleId="4">
    <w:name w:val="annotation text"/>
    <w:basedOn w:val="1"/>
    <w:qFormat/>
    <w:uiPriority w:val="0"/>
    <w:pPr>
      <w:jc w:val="left"/>
    </w:p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2550</Words>
  <Characters>2712</Characters>
  <Lines>0</Lines>
  <Paragraphs>0</Paragraphs>
  <TotalTime>22</TotalTime>
  <ScaleCrop>false</ScaleCrop>
  <LinksUpToDate>false</LinksUpToDate>
  <CharactersWithSpaces>2721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2025-09-24T04:13:00Z</dcterms:created>
  <dc:creator>Administrator</dc:creator>
  <cp:lastModifiedBy>.ysFrk</cp:lastModifiedBy>
  <dcterms:modified xsi:type="dcterms:W3CDTF">2025-12-23T03:16:45Z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eyJoZGlkIjoiNmVmNzg2MWRjZjVjNzVhNTU2ZTBhMzdhNmZhNGFkZGEiLCJ1c2VySWQiOiI0NjEwMjA3NjEifQ==</vt:lpwstr>
  </property>
  <property fmtid="{D5CDD505-2E9C-101B-9397-08002B2CF9AE}" pid="4" name="ICV">
    <vt:lpwstr>62BC9258B90049BD87F92DFCC388B156_13</vt:lpwstr>
  </property>
</Properties>
</file>