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72571">
      <w:pPr>
        <w:pStyle w:val="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val="0"/>
          <w:sz w:val="44"/>
          <w:szCs w:val="44"/>
        </w:rPr>
      </w:pPr>
    </w:p>
    <w:p w14:paraId="26E0C1C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b w:val="0"/>
          <w:bCs w:val="0"/>
          <w:sz w:val="44"/>
          <w:szCs w:val="44"/>
        </w:rPr>
      </w:pPr>
      <w:r>
        <w:rPr>
          <w:rFonts w:hint="eastAsia" w:ascii="Times New Roman" w:hAnsi="Times New Roman" w:eastAsia="方正小标宋简体" w:cs="方正小标宋简体"/>
          <w:b w:val="0"/>
          <w:bCs w:val="0"/>
          <w:sz w:val="44"/>
          <w:szCs w:val="44"/>
        </w:rPr>
        <w:t>《新疆维吾尔自治区房屋建筑和市政基础设施项目工程总承包招标投标暂行规定》</w:t>
      </w:r>
    </w:p>
    <w:p w14:paraId="6113A2F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b w:val="0"/>
          <w:bCs w:val="0"/>
          <w:sz w:val="44"/>
          <w:szCs w:val="44"/>
        </w:rPr>
      </w:pPr>
      <w:r>
        <w:rPr>
          <w:rFonts w:hint="eastAsia" w:ascii="Times New Roman" w:hAnsi="Times New Roman" w:eastAsia="方正小标宋简体" w:cs="方正小标宋简体"/>
          <w:b w:val="0"/>
          <w:bCs w:val="0"/>
          <w:sz w:val="44"/>
          <w:szCs w:val="44"/>
        </w:rPr>
        <w:t>起草说明</w:t>
      </w:r>
    </w:p>
    <w:p w14:paraId="32C03270">
      <w:pPr>
        <w:rPr>
          <w:rFonts w:hint="eastAsia" w:ascii="Times New Roman" w:hAnsi="Times New Roman"/>
        </w:rPr>
      </w:pPr>
    </w:p>
    <w:p w14:paraId="24143D3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为进一步规范自治区房屋建筑和市政基础设施项目工程总承包招标投标活动，优化营商环境，维护公平竞争的建筑市场秩序，自治区住房城乡建设厅</w:t>
      </w:r>
      <w:r>
        <w:rPr>
          <w:rFonts w:hint="eastAsia" w:ascii="Times New Roman" w:hAnsi="Times New Roman" w:eastAsia="仿宋_GB2312" w:cs="仿宋_GB2312"/>
          <w:sz w:val="32"/>
          <w:szCs w:val="32"/>
          <w:lang w:val="en-US" w:eastAsia="zh-CN"/>
        </w:rPr>
        <w:t>对</w:t>
      </w:r>
      <w:r>
        <w:rPr>
          <w:rFonts w:hint="eastAsia" w:ascii="Times New Roman" w:hAnsi="Times New Roman" w:eastAsia="仿宋_GB2312" w:cs="仿宋_GB2312"/>
          <w:sz w:val="32"/>
          <w:szCs w:val="32"/>
        </w:rPr>
        <w:t>《新疆维吾尔自治区房屋建筑和市政基础设施项目工程总承包招标投标暂行规定（试行）》开展修订工作，形成修订稿。现将有关情况说明如下</w:t>
      </w:r>
      <w:r>
        <w:rPr>
          <w:rFonts w:hint="eastAsia" w:ascii="Times New Roman" w:hAnsi="Times New Roman" w:eastAsia="仿宋_GB2312" w:cs="仿宋_GB2312"/>
          <w:sz w:val="32"/>
          <w:szCs w:val="32"/>
          <w:lang w:eastAsia="zh-CN"/>
        </w:rPr>
        <w:t>。</w:t>
      </w:r>
    </w:p>
    <w:p w14:paraId="64B6D44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黑体" w:cs="黑体"/>
          <w:b w:val="0"/>
          <w:bCs w:val="0"/>
          <w:sz w:val="32"/>
          <w:szCs w:val="32"/>
        </w:rPr>
      </w:pPr>
      <w:r>
        <w:rPr>
          <w:rFonts w:hint="eastAsia" w:ascii="Times New Roman" w:hAnsi="Times New Roman" w:eastAsia="黑体" w:cs="黑体"/>
          <w:b w:val="0"/>
          <w:bCs w:val="0"/>
          <w:sz w:val="32"/>
          <w:szCs w:val="32"/>
        </w:rPr>
        <w:t>一、起草背景</w:t>
      </w:r>
    </w:p>
    <w:p w14:paraId="2AF8C63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原《新疆维吾尔自治区房屋建筑和市政基础设施项目工程总承包招标投标暂行规定（试行）》（以下简称原试行规定）</w:t>
      </w:r>
      <w:r>
        <w:rPr>
          <w:rFonts w:hint="eastAsia" w:ascii="Times New Roman" w:hAnsi="Times New Roman" w:eastAsia="仿宋_GB2312" w:cs="仿宋_GB2312"/>
          <w:sz w:val="32"/>
          <w:szCs w:val="32"/>
          <w:lang w:val="en-US" w:eastAsia="zh-CN"/>
        </w:rPr>
        <w:t>自2021年</w:t>
      </w:r>
      <w:r>
        <w:rPr>
          <w:rFonts w:hint="eastAsia" w:ascii="Times New Roman" w:hAnsi="Times New Roman" w:eastAsia="仿宋_GB2312" w:cs="仿宋_GB2312"/>
          <w:sz w:val="32"/>
          <w:szCs w:val="32"/>
        </w:rPr>
        <w:t>实施以来，对规范我区房屋建筑和市政基础设施工程总承包招标投标行为，引导项目依法依规采用工程总承包模式，推动装配式建筑、绿色建筑、BIM技术应用发挥了积极制度保障作用。</w:t>
      </w:r>
    </w:p>
    <w:p w14:paraId="342D0F1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随着招标投标领域改革持续深化，国家相继出台招标投标领域公平竞争审查、创新完善招标投标体制机制等政策文件，对破除市场壁垒、规范评标定标、落实招标人主体责任、保障各类市场主体平等参与竞争提出新要求。原试行规定在试行实践过程中，市场主体反映出部分制度条款操作性不足、联合体投标规则不够细化、技术标评审机制不够完善、存在隐性市场壁垒风险等现实问题，部分条款已不能完全适配当前行业实际需要。</w:t>
      </w:r>
    </w:p>
    <w:p w14:paraId="7D4CF38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为落实国家及自治区优化营商环境相关工作部署，破除不合理市场准入条件，细化联合体投标管理规则，完</w:t>
      </w:r>
      <w:bookmarkStart w:id="0" w:name="_GoBack"/>
      <w:bookmarkEnd w:id="0"/>
      <w:r>
        <w:rPr>
          <w:rFonts w:hint="eastAsia" w:ascii="Times New Roman" w:hAnsi="Times New Roman" w:eastAsia="仿宋_GB2312" w:cs="仿宋_GB2312"/>
          <w:sz w:val="32"/>
          <w:szCs w:val="32"/>
        </w:rPr>
        <w:t>善工程总承包评标评审机制，解决原试行规定在实践运行中的堵点难点问题，进一步提升制度的针对性、可操作性，更好指导全疆房屋建筑和市政基础设施工程总承包招投标工作，启动本次修订工作。</w:t>
      </w:r>
    </w:p>
    <w:p w14:paraId="3A4E864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黑体" w:cs="黑体"/>
          <w:b w:val="0"/>
          <w:bCs w:val="0"/>
          <w:sz w:val="32"/>
          <w:szCs w:val="32"/>
        </w:rPr>
      </w:pPr>
      <w:r>
        <w:rPr>
          <w:rFonts w:hint="eastAsia" w:ascii="Times New Roman" w:hAnsi="Times New Roman" w:eastAsia="黑体" w:cs="黑体"/>
          <w:b w:val="0"/>
          <w:bCs w:val="0"/>
          <w:sz w:val="32"/>
          <w:szCs w:val="32"/>
        </w:rPr>
        <w:t>二、起草过程</w:t>
      </w:r>
    </w:p>
    <w:p w14:paraId="278529C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rPr>
        <w:t>一是</w:t>
      </w:r>
      <w:r>
        <w:rPr>
          <w:rFonts w:hint="eastAsia" w:ascii="Times New Roman" w:hAnsi="Times New Roman" w:eastAsia="仿宋_GB2312" w:cs="仿宋_GB2312"/>
          <w:sz w:val="32"/>
          <w:szCs w:val="32"/>
        </w:rPr>
        <w:t>梳理评估，明确修订方向。全面梳理原试行规定实施以来各地、各市场主体反馈的问题，对标《中华人民共和国招标投标法》及其实施条例、住建部</w:t>
      </w:r>
      <w:r>
        <w:rPr>
          <w:rFonts w:hint="eastAsia" w:ascii="Times New Roman" w:hAnsi="Times New Roman" w:eastAsia="仿宋_GB2312" w:cs="仿宋_GB2312"/>
          <w:sz w:val="32"/>
          <w:szCs w:val="32"/>
          <w:lang w:eastAsia="zh-CN"/>
        </w:rPr>
        <w:t>国家发展改革委</w:t>
      </w:r>
      <w:r>
        <w:rPr>
          <w:rFonts w:hint="eastAsia" w:ascii="Times New Roman" w:hAnsi="Times New Roman" w:eastAsia="仿宋_GB2312" w:cs="仿宋_GB2312"/>
          <w:sz w:val="32"/>
          <w:szCs w:val="32"/>
        </w:rPr>
        <w:t>工程总承包管理办法、招标投标领域公平竞争审查规则等上位制度，梳理制度短板，明确修订重点，确定修订工作思路。</w:t>
      </w:r>
    </w:p>
    <w:p w14:paraId="69AB9DA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rPr>
        <w:t>二是</w:t>
      </w:r>
      <w:r>
        <w:rPr>
          <w:rFonts w:hint="eastAsia" w:ascii="Times New Roman" w:hAnsi="Times New Roman" w:eastAsia="仿宋_GB2312" w:cs="仿宋_GB2312"/>
          <w:sz w:val="32"/>
          <w:szCs w:val="32"/>
        </w:rPr>
        <w:t>调研座谈，收集实践意见。面向各地</w:t>
      </w:r>
      <w:r>
        <w:rPr>
          <w:rFonts w:hint="eastAsia" w:ascii="Times New Roman" w:hAnsi="Times New Roman" w:eastAsia="仿宋_GB2312" w:cs="仿宋_GB2312"/>
          <w:sz w:val="32"/>
          <w:szCs w:val="32"/>
          <w:lang w:val="en-US" w:eastAsia="zh-CN"/>
        </w:rPr>
        <w:t>住房城乡建设主管部门</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建设单位、勘察设计</w:t>
      </w:r>
      <w:r>
        <w:rPr>
          <w:rFonts w:hint="eastAsia" w:ascii="Times New Roman" w:hAnsi="Times New Roman" w:eastAsia="仿宋_GB2312" w:cs="仿宋_GB2312"/>
          <w:sz w:val="32"/>
          <w:szCs w:val="32"/>
          <w:lang w:val="en-US" w:eastAsia="zh-CN"/>
        </w:rPr>
        <w:t>企业</w:t>
      </w:r>
      <w:r>
        <w:rPr>
          <w:rFonts w:hint="eastAsia" w:ascii="Times New Roman" w:hAnsi="Times New Roman" w:eastAsia="仿宋_GB2312" w:cs="仿宋_GB2312"/>
          <w:sz w:val="32"/>
          <w:szCs w:val="32"/>
        </w:rPr>
        <w:t>、施工企业、招标代理机构开展调研座谈，收集联合体投标、评标评审、资格条件设置、技术标暗标评审等实践环节的意见建议，总结全疆工程总承包招投标实践经验。</w:t>
      </w:r>
    </w:p>
    <w:p w14:paraId="79198F0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rPr>
        <w:t>三是</w:t>
      </w:r>
      <w:r>
        <w:rPr>
          <w:rFonts w:hint="eastAsia" w:ascii="Times New Roman" w:hAnsi="Times New Roman" w:eastAsia="仿宋_GB2312" w:cs="仿宋_GB2312"/>
          <w:sz w:val="32"/>
          <w:szCs w:val="32"/>
        </w:rPr>
        <w:t>文稿起草，形成修订初稿。结合调研收集的问题与建议，对照上位法规政策，对原试行规定条款进行修改、补充、完善，形成修订稿</w:t>
      </w:r>
      <w:r>
        <w:rPr>
          <w:rFonts w:hint="eastAsia" w:ascii="Times New Roman" w:hAnsi="Times New Roman" w:eastAsia="仿宋_GB2312" w:cs="仿宋_GB2312"/>
          <w:sz w:val="32"/>
          <w:szCs w:val="32"/>
          <w:lang w:val="en-US" w:eastAsia="zh-CN"/>
        </w:rPr>
        <w:t>征求意见</w:t>
      </w:r>
      <w:r>
        <w:rPr>
          <w:rFonts w:hint="eastAsia" w:ascii="Times New Roman" w:hAnsi="Times New Roman" w:eastAsia="仿宋_GB2312" w:cs="仿宋_GB2312"/>
          <w:sz w:val="32"/>
          <w:szCs w:val="32"/>
        </w:rPr>
        <w:t>稿。</w:t>
      </w:r>
    </w:p>
    <w:p w14:paraId="7B9D87D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黑体" w:cs="黑体"/>
          <w:b w:val="0"/>
          <w:bCs w:val="0"/>
          <w:sz w:val="32"/>
          <w:szCs w:val="32"/>
        </w:rPr>
        <w:t>三、主要内容</w:t>
      </w:r>
    </w:p>
    <w:p w14:paraId="384EA9C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本次修订总体保持原试行规定6章框架结构不变，即总则、招标、开标、评标定标、法律责任、附则，重点对实操性条款进行补充完善，主要修订内容如下：</w:t>
      </w:r>
    </w:p>
    <w:p w14:paraId="52B9E19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破除市场壁垒，规范资格条件设置。在第四条增加规定，不得将疆外企业信息报送、备案手续设置为投标、资格预审阶段前置条件，落实公平竞争审查要求，保障疆内外企业平等参与投标竞争，消除隐性准入门槛。</w:t>
      </w:r>
    </w:p>
    <w:p w14:paraId="0A38C7A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细化联合体投标相关规则。在第八条补充完善联合体投标制度：明确联合体成员数量应当设置上限；细化联合体资质认定规则，同一专业按资质等级较低单位确定，不同专业按照各成员分工对应的资质确定；明确联合体各方不得再单独或者与其他单位共同参与本项目投标，联合体各方就中标项目承担连带责任；联合体所有成员均须出具法定代表人身份证明及授权委托书，联合体授权委托书应由全体成员共同盖章，补齐原制度联合体实操规则短板。</w:t>
      </w:r>
    </w:p>
    <w:p w14:paraId="2420911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优化综合评估法评审流程。调整综合评估法评审顺序，原规定为先初步评审、后详细评审；修订后调整为先确定评审区间，对进入评审区间投标人技术方案评审，再开展形式、资格、响应性评审，之后开展商务、报价评审，优化评标逻辑，适配工程总承包项目先技术后商务的评审特点。</w:t>
      </w:r>
    </w:p>
    <w:p w14:paraId="6BDB0C5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完善技术标评审制度，细化暗标管理。一是明确技术评审分为计分制、合格制两种模式；区分政府投资项目规模：最高限价5000万元（含）以上政府投资工程，技术评审可采用合格制或计分制；5000万元以下政府投资工程，技术评审原则上采用合格制，合格制模式下技术标权重为0。二是强化暗标保密管理：计分制评审应当落实暗评加密、章节乱序等保密保障；明确投标文件明示投标人信息扣5分，暗示投标人信息扣3分；评审得分偏离合理区间85%</w:t>
      </w:r>
      <w:r>
        <w:rPr>
          <w:rFonts w:hint="eastAsia" w:ascii="Times New Roman" w:hAnsi="Times New Roman" w:eastAsia="仿宋_GB2312" w:cs="仿宋_GB2312"/>
          <w:sz w:val="32"/>
          <w:szCs w:val="32"/>
        </w:rPr>
        <w:noBreakHyphen/>
      </w:r>
      <w:r>
        <w:rPr>
          <w:rFonts w:hint="eastAsia" w:ascii="Times New Roman" w:hAnsi="Times New Roman" w:eastAsia="仿宋_GB2312" w:cs="仿宋_GB2312"/>
          <w:sz w:val="32"/>
          <w:szCs w:val="32"/>
        </w:rPr>
        <w:t>95%的，评标委员会应当书面说明评审理由，进一步防范技术标评审倾向性打分问题。</w:t>
      </w:r>
    </w:p>
    <w:p w14:paraId="27E0BC2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精简商务评审要素。删减原商务评审中的财务情况评审内容，商务评审调整为包含投标人类似工程业绩、项目管理机构及工程总承包项目经理职称和主要项目管理人员类似项目业绩，聚焦工程总承包履约核心能力，减轻企业投标材料负担。</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A47CCE-DF61-422B-8E89-3CB21DED15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8884A9F2-2F13-45E7-BA17-4DD9EE4F6B99}"/>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81F1E"/>
    <w:rsid w:val="22463314"/>
    <w:rsid w:val="42DF375A"/>
    <w:rsid w:val="5D6F0B34"/>
    <w:rsid w:val="5D804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502</Words>
  <Characters>507</Characters>
  <Lines>0</Lines>
  <Paragraphs>0</Paragraphs>
  <TotalTime>15</TotalTime>
  <ScaleCrop>false</ScaleCrop>
  <LinksUpToDate>false</LinksUpToDate>
  <CharactersWithSpaces>507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2026-10-15T03:47:00Z</dcterms:created>
  <dc:creator>Administrator</dc:creator>
  <cp:lastModifiedBy>.ysFrk</cp:lastModifiedBy>
  <cp:lastPrinted>2026-10-15T05:10:00Z</cp:lastPrinted>
  <dcterms:modified xsi:type="dcterms:W3CDTF">2026-11-03T08:15:53Z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eyJoZGlkIjoiNmVmNzg2MWRjZjVjNzVhNTU2ZTBhMzdhNmZhNGFkZGEiLCJ1c2VySWQiOiI0NjEwMjA3NjEifQ==</vt:lpwstr>
  </property>
  <property fmtid="{D5CDD505-2E9C-101B-9397-08002B2CF9AE}" pid="4" name="ICV">
    <vt:lpwstr>D8A0DE0C3EC8489EA25BD59FF18ABF47_12</vt:lpwstr>
  </property>
</Properties>
</file>