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B521D">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default" w:ascii="Nimbus Roman No9 L" w:hAnsi="Nimbus Roman No9 L" w:eastAsia="方正小标宋简体" w:cs="Nimbus Roman No9 L"/>
          <w:kern w:val="0"/>
          <w:sz w:val="44"/>
          <w:szCs w:val="44"/>
          <w:highlight w:val="none"/>
        </w:rPr>
      </w:pPr>
    </w:p>
    <w:p w14:paraId="272E72F0">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default" w:ascii="Nimbus Roman No9 L" w:hAnsi="Nimbus Roman No9 L" w:eastAsia="方正小标宋简体" w:cs="Nimbus Roman No9 L"/>
          <w:kern w:val="0"/>
          <w:sz w:val="44"/>
          <w:szCs w:val="44"/>
          <w:highlight w:val="none"/>
        </w:rPr>
      </w:pPr>
      <w:r>
        <w:rPr>
          <w:rFonts w:hint="default" w:ascii="Nimbus Roman No9 L" w:hAnsi="Nimbus Roman No9 L" w:eastAsia="方正小标宋简体" w:cs="Nimbus Roman No9 L"/>
          <w:kern w:val="0"/>
          <w:sz w:val="44"/>
          <w:szCs w:val="44"/>
          <w:highlight w:val="none"/>
        </w:rPr>
        <w:t>新疆维吾尔自治区房屋建筑和市政基础设施</w:t>
      </w:r>
    </w:p>
    <w:p w14:paraId="113EB35A">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Nimbus Roman No9 L" w:hAnsi="Nimbus Roman No9 L" w:eastAsia="方正小标宋简体" w:cs="Nimbus Roman No9 L"/>
          <w:highlight w:val="none"/>
          <w:lang w:eastAsia="zh-CN"/>
        </w:rPr>
      </w:pPr>
      <w:r>
        <w:rPr>
          <w:rFonts w:hint="default" w:ascii="Nimbus Roman No9 L" w:hAnsi="Nimbus Roman No9 L" w:eastAsia="方正小标宋简体" w:cs="Nimbus Roman No9 L"/>
          <w:kern w:val="0"/>
          <w:sz w:val="44"/>
          <w:szCs w:val="44"/>
          <w:highlight w:val="none"/>
        </w:rPr>
        <w:t>工程施工评标办法</w:t>
      </w:r>
      <w:r>
        <w:rPr>
          <w:rFonts w:hint="eastAsia" w:ascii="Nimbus Roman No9 L" w:hAnsi="Nimbus Roman No9 L" w:eastAsia="方正小标宋简体" w:cs="Nimbus Roman No9 L"/>
          <w:kern w:val="0"/>
          <w:sz w:val="44"/>
          <w:szCs w:val="44"/>
          <w:highlight w:val="none"/>
          <w:lang w:eastAsia="zh-CN"/>
        </w:rPr>
        <w:t>（</w:t>
      </w:r>
      <w:r>
        <w:rPr>
          <w:rFonts w:hint="eastAsia" w:ascii="Nimbus Roman No9 L" w:hAnsi="Nimbus Roman No9 L" w:eastAsia="方正小标宋简体" w:cs="Nimbus Roman No9 L"/>
          <w:kern w:val="0"/>
          <w:sz w:val="44"/>
          <w:szCs w:val="44"/>
          <w:highlight w:val="none"/>
          <w:lang w:val="en-US" w:eastAsia="zh-CN"/>
        </w:rPr>
        <w:t>修订征求意见稿</w:t>
      </w:r>
      <w:r>
        <w:rPr>
          <w:rFonts w:hint="eastAsia" w:ascii="Nimbus Roman No9 L" w:hAnsi="Nimbus Roman No9 L" w:eastAsia="方正小标宋简体" w:cs="Nimbus Roman No9 L"/>
          <w:kern w:val="0"/>
          <w:sz w:val="44"/>
          <w:szCs w:val="44"/>
          <w:highlight w:val="none"/>
          <w:lang w:eastAsia="zh-CN"/>
        </w:rPr>
        <w:t>）</w:t>
      </w:r>
    </w:p>
    <w:p w14:paraId="39BD0A99">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b/>
          <w:bCs/>
          <w:sz w:val="32"/>
          <w:szCs w:val="32"/>
          <w:highlight w:val="none"/>
          <w:lang w:eastAsia="zh-CN"/>
        </w:rPr>
      </w:pPr>
    </w:p>
    <w:p w14:paraId="782335AD">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 w:cs="Nimbus Roman No9 L"/>
          <w:sz w:val="32"/>
          <w:szCs w:val="32"/>
          <w:highlight w:val="none"/>
        </w:rPr>
      </w:pPr>
      <w:r>
        <w:rPr>
          <w:rFonts w:hint="default" w:ascii="Nimbus Roman No9 L" w:hAnsi="Nimbus Roman No9 L" w:eastAsia="仿宋_GB2312" w:cs="Nimbus Roman No9 L"/>
          <w:b/>
          <w:bCs/>
          <w:sz w:val="32"/>
          <w:szCs w:val="32"/>
          <w:highlight w:val="none"/>
          <w:lang w:eastAsia="zh-CN"/>
        </w:rPr>
        <w:t>第一条</w:t>
      </w:r>
      <w:r>
        <w:rPr>
          <w:rFonts w:hint="default" w:ascii="Nimbus Roman No9 L" w:hAnsi="Nimbus Roman No9 L" w:eastAsia="仿宋_GB2312" w:cs="Nimbus Roman No9 L"/>
          <w:sz w:val="32"/>
          <w:szCs w:val="32"/>
          <w:highlight w:val="none"/>
          <w:lang w:eastAsia="zh-CN"/>
        </w:rPr>
        <w:t xml:space="preserve">  为进一步规范</w:t>
      </w:r>
      <w:r>
        <w:rPr>
          <w:rFonts w:hint="default" w:ascii="Nimbus Roman No9 L" w:hAnsi="Nimbus Roman No9 L" w:eastAsia="仿宋_GB2312" w:cs="Nimbus Roman No9 L"/>
          <w:sz w:val="32"/>
          <w:szCs w:val="32"/>
          <w:highlight w:val="none"/>
          <w:lang w:val="en-US" w:eastAsia="zh-CN"/>
        </w:rPr>
        <w:t>自治区</w:t>
      </w:r>
      <w:r>
        <w:rPr>
          <w:rFonts w:hint="default" w:ascii="Nimbus Roman No9 L" w:hAnsi="Nimbus Roman No9 L" w:eastAsia="仿宋_GB2312" w:cs="Nimbus Roman No9 L"/>
          <w:sz w:val="32"/>
          <w:szCs w:val="32"/>
          <w:highlight w:val="none"/>
          <w:lang w:eastAsia="zh-CN"/>
        </w:rPr>
        <w:t>、新疆生产建设兵团</w:t>
      </w:r>
      <w:r>
        <w:rPr>
          <w:rFonts w:hint="default" w:ascii="Nimbus Roman No9 L" w:hAnsi="Nimbus Roman No9 L" w:eastAsia="仿宋_GB2312" w:cs="Nimbus Roman No9 L"/>
          <w:sz w:val="32"/>
          <w:szCs w:val="32"/>
          <w:highlight w:val="none"/>
          <w:lang w:val="en-US" w:eastAsia="zh-CN"/>
        </w:rPr>
        <w:t>（以下简称兵团）</w:t>
      </w:r>
      <w:r>
        <w:rPr>
          <w:rFonts w:hint="default" w:ascii="Nimbus Roman No9 L" w:hAnsi="Nimbus Roman No9 L" w:eastAsia="仿宋_GB2312" w:cs="Nimbus Roman No9 L"/>
          <w:sz w:val="32"/>
          <w:szCs w:val="32"/>
          <w:highlight w:val="none"/>
          <w:lang w:eastAsia="zh-CN"/>
        </w:rPr>
        <w:t>房屋建筑和市政基础设施工程招标评标活动，维护公开、公平、公正的市场竞争环境，</w:t>
      </w:r>
      <w:r>
        <w:rPr>
          <w:rFonts w:hint="default" w:ascii="Nimbus Roman No9 L" w:hAnsi="Nimbus Roman No9 L" w:eastAsia="仿宋_GB2312" w:cs="Nimbus Roman No9 L"/>
          <w:sz w:val="32"/>
          <w:szCs w:val="32"/>
          <w:highlight w:val="none"/>
          <w:lang w:val="en-US" w:eastAsia="zh-CN"/>
        </w:rPr>
        <w:t>加强</w:t>
      </w:r>
      <w:r>
        <w:rPr>
          <w:rFonts w:hint="default" w:ascii="Nimbus Roman No9 L" w:hAnsi="Nimbus Roman No9 L" w:eastAsia="仿宋_GB2312" w:cs="Nimbus Roman No9 L"/>
          <w:sz w:val="32"/>
          <w:szCs w:val="32"/>
          <w:highlight w:val="none"/>
          <w:lang w:eastAsia="zh-CN"/>
        </w:rPr>
        <w:t>建筑市场</w:t>
      </w:r>
      <w:r>
        <w:rPr>
          <w:rFonts w:hint="default" w:ascii="Nimbus Roman No9 L" w:hAnsi="Nimbus Roman No9 L" w:eastAsia="仿宋_GB2312" w:cs="Nimbus Roman No9 L"/>
          <w:sz w:val="32"/>
          <w:szCs w:val="32"/>
          <w:highlight w:val="none"/>
          <w:lang w:val="en-US" w:eastAsia="zh-CN"/>
        </w:rPr>
        <w:t>信用</w:t>
      </w:r>
      <w:r>
        <w:rPr>
          <w:rFonts w:hint="default" w:ascii="Nimbus Roman No9 L" w:hAnsi="Nimbus Roman No9 L" w:eastAsia="仿宋_GB2312" w:cs="Nimbus Roman No9 L"/>
          <w:sz w:val="32"/>
          <w:szCs w:val="32"/>
          <w:highlight w:val="none"/>
          <w:lang w:eastAsia="zh-CN"/>
        </w:rPr>
        <w:t>体系</w:t>
      </w:r>
      <w:r>
        <w:rPr>
          <w:rFonts w:hint="default" w:ascii="Nimbus Roman No9 L" w:hAnsi="Nimbus Roman No9 L" w:eastAsia="仿宋_GB2312" w:cs="Nimbus Roman No9 L"/>
          <w:sz w:val="32"/>
          <w:szCs w:val="32"/>
          <w:highlight w:val="none"/>
          <w:lang w:val="en-US" w:eastAsia="zh-CN"/>
        </w:rPr>
        <w:t>建设</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依</w:t>
      </w:r>
      <w:r>
        <w:rPr>
          <w:rFonts w:hint="default" w:ascii="Nimbus Roman No9 L" w:hAnsi="Nimbus Roman No9 L" w:eastAsia="仿宋_GB2312" w:cs="Nimbus Roman No9 L"/>
          <w:sz w:val="32"/>
          <w:szCs w:val="32"/>
          <w:highlight w:val="none"/>
          <w:lang w:eastAsia="zh-CN"/>
        </w:rPr>
        <w:t>据《中华人民共和国建筑法》《中华人民共和国招标投标法》《中华人民共和国招标投标法实施条例》《电子招标投标办法》（发展改革委令第</w:t>
      </w:r>
      <w:r>
        <w:rPr>
          <w:rFonts w:hint="default" w:ascii="Nimbus Roman No9 L" w:hAnsi="Nimbus Roman No9 L" w:eastAsia="仿宋_GB2312" w:cs="Nimbus Roman No9 L"/>
          <w:sz w:val="32"/>
          <w:szCs w:val="32"/>
          <w:highlight w:val="none"/>
        </w:rPr>
        <w:t>20</w:t>
      </w:r>
      <w:r>
        <w:rPr>
          <w:rFonts w:hint="default" w:ascii="Nimbus Roman No9 L" w:hAnsi="Nimbus Roman No9 L" w:eastAsia="仿宋_GB2312" w:cs="Nimbus Roman No9 L"/>
          <w:sz w:val="32"/>
          <w:szCs w:val="32"/>
          <w:highlight w:val="none"/>
          <w:lang w:eastAsia="zh-CN"/>
        </w:rPr>
        <w:t>号）、《工程建设项目施工招标投标办法》（七部委令第</w:t>
      </w:r>
      <w:r>
        <w:rPr>
          <w:rFonts w:hint="default" w:ascii="Nimbus Roman No9 L" w:hAnsi="Nimbus Roman No9 L" w:eastAsia="仿宋_GB2312" w:cs="Nimbus Roman No9 L"/>
          <w:sz w:val="32"/>
          <w:szCs w:val="32"/>
          <w:highlight w:val="none"/>
        </w:rPr>
        <w:t>30</w:t>
      </w:r>
      <w:r>
        <w:rPr>
          <w:rFonts w:hint="default" w:ascii="Nimbus Roman No9 L" w:hAnsi="Nimbus Roman No9 L" w:eastAsia="仿宋_GB2312" w:cs="Nimbus Roman No9 L"/>
          <w:sz w:val="32"/>
          <w:szCs w:val="32"/>
          <w:highlight w:val="none"/>
          <w:lang w:eastAsia="zh-CN"/>
        </w:rPr>
        <w:t>号）、《评标委员会和评标方法暂行规定》（七部委令第</w:t>
      </w:r>
      <w:r>
        <w:rPr>
          <w:rFonts w:hint="default" w:ascii="Nimbus Roman No9 L" w:hAnsi="Nimbus Roman No9 L" w:eastAsia="仿宋_GB2312" w:cs="Nimbus Roman No9 L"/>
          <w:sz w:val="32"/>
          <w:szCs w:val="32"/>
          <w:highlight w:val="none"/>
        </w:rPr>
        <w:t>12</w:t>
      </w:r>
      <w:r>
        <w:rPr>
          <w:rFonts w:hint="default" w:ascii="Nimbus Roman No9 L" w:hAnsi="Nimbus Roman No9 L" w:eastAsia="仿宋_GB2312" w:cs="Nimbus Roman No9 L"/>
          <w:sz w:val="32"/>
          <w:szCs w:val="32"/>
          <w:highlight w:val="none"/>
          <w:lang w:eastAsia="zh-CN"/>
        </w:rPr>
        <w:t>号）、《房屋建筑和市政基础设施工程施工招标投标管理办法》（建设部令第</w:t>
      </w:r>
      <w:r>
        <w:rPr>
          <w:rFonts w:hint="eastAsia" w:ascii="Nimbus Roman No9 L" w:hAnsi="Nimbus Roman No9 L" w:eastAsia="仿宋_GB2312" w:cs="Nimbus Roman No9 L"/>
          <w:sz w:val="32"/>
          <w:szCs w:val="32"/>
          <w:highlight w:val="none"/>
          <w:lang w:val="en-US" w:eastAsia="zh-CN"/>
        </w:rPr>
        <w:t>89</w:t>
      </w:r>
      <w:r>
        <w:rPr>
          <w:rFonts w:hint="default" w:ascii="Nimbus Roman No9 L" w:hAnsi="Nimbus Roman No9 L" w:eastAsia="仿宋_GB2312" w:cs="Nimbus Roman No9 L"/>
          <w:sz w:val="32"/>
          <w:szCs w:val="32"/>
          <w:highlight w:val="none"/>
          <w:lang w:eastAsia="zh-CN"/>
        </w:rPr>
        <w:t>号）、</w:t>
      </w:r>
      <w:r>
        <w:rPr>
          <w:rFonts w:hint="default" w:ascii="Nimbus Roman No9 L" w:hAnsi="Nimbus Roman No9 L" w:eastAsia="仿宋_GB2312" w:cs="Nimbus Roman No9 L"/>
          <w:sz w:val="32"/>
          <w:szCs w:val="32"/>
          <w:highlight w:val="none"/>
          <w:lang w:val="en-US" w:eastAsia="zh-CN"/>
        </w:rPr>
        <w:t>《建筑工程施工发包与承包计价管理办法》</w:t>
      </w:r>
      <w:r>
        <w:rPr>
          <w:rFonts w:hint="default" w:ascii="Nimbus Roman No9 L" w:hAnsi="Nimbus Roman No9 L" w:eastAsia="仿宋_GB2312" w:cs="Nimbus Roman No9 L"/>
          <w:sz w:val="32"/>
          <w:szCs w:val="32"/>
          <w:highlight w:val="none"/>
          <w:lang w:eastAsia="zh-CN"/>
        </w:rPr>
        <w:t>（住房和城乡建设部令第</w:t>
      </w:r>
      <w:r>
        <w:rPr>
          <w:rFonts w:hint="default" w:ascii="Nimbus Roman No9 L" w:hAnsi="Nimbus Roman No9 L" w:eastAsia="仿宋_GB2312" w:cs="Nimbus Roman No9 L"/>
          <w:sz w:val="32"/>
          <w:szCs w:val="32"/>
          <w:highlight w:val="none"/>
        </w:rPr>
        <w:t>16</w:t>
      </w:r>
      <w:r>
        <w:rPr>
          <w:rFonts w:hint="default" w:ascii="Nimbus Roman No9 L" w:hAnsi="Nimbus Roman No9 L" w:eastAsia="仿宋_GB2312" w:cs="Nimbus Roman No9 L"/>
          <w:sz w:val="32"/>
          <w:szCs w:val="32"/>
          <w:highlight w:val="none"/>
          <w:lang w:eastAsia="zh-CN"/>
        </w:rPr>
        <w:t>号）、《建设工程工程量清单计价标准》（GB/T 50500-2024）等有关</w:t>
      </w:r>
      <w:r>
        <w:rPr>
          <w:rFonts w:hint="default" w:ascii="Nimbus Roman No9 L" w:hAnsi="Nimbus Roman No9 L" w:eastAsia="仿宋_GB2312" w:cs="Nimbus Roman No9 L"/>
          <w:sz w:val="32"/>
          <w:szCs w:val="32"/>
          <w:highlight w:val="none"/>
          <w:lang w:val="en-US" w:eastAsia="zh-CN"/>
        </w:rPr>
        <w:t>法律法规规章规范和标准</w:t>
      </w:r>
      <w:r>
        <w:rPr>
          <w:rFonts w:hint="default" w:ascii="Nimbus Roman No9 L" w:hAnsi="Nimbus Roman No9 L" w:eastAsia="仿宋_GB2312" w:cs="Nimbus Roman No9 L"/>
          <w:sz w:val="32"/>
          <w:szCs w:val="32"/>
          <w:highlight w:val="none"/>
          <w:lang w:eastAsia="zh-CN"/>
        </w:rPr>
        <w:t>，结合自治区、</w:t>
      </w:r>
      <w:r>
        <w:rPr>
          <w:rFonts w:hint="default" w:ascii="Nimbus Roman No9 L" w:hAnsi="Nimbus Roman No9 L" w:eastAsia="仿宋_GB2312" w:cs="Nimbus Roman No9 L"/>
          <w:sz w:val="32"/>
          <w:szCs w:val="32"/>
          <w:highlight w:val="none"/>
          <w:lang w:val="en-US" w:eastAsia="zh-CN"/>
        </w:rPr>
        <w:t>兵团</w:t>
      </w:r>
      <w:r>
        <w:rPr>
          <w:rFonts w:hint="default" w:ascii="Nimbus Roman No9 L" w:hAnsi="Nimbus Roman No9 L" w:eastAsia="仿宋_GB2312" w:cs="Nimbus Roman No9 L"/>
          <w:sz w:val="32"/>
          <w:szCs w:val="32"/>
          <w:highlight w:val="none"/>
          <w:lang w:eastAsia="zh-CN"/>
        </w:rPr>
        <w:t>实际，制定本办法。</w:t>
      </w:r>
    </w:p>
    <w:p w14:paraId="4CBA2955">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 xml:space="preserve">第二条  </w:t>
      </w:r>
      <w:r>
        <w:rPr>
          <w:rFonts w:hint="default" w:ascii="Nimbus Roman No9 L" w:hAnsi="Nimbus Roman No9 L" w:eastAsia="仿宋_GB2312" w:cs="Nimbus Roman No9 L"/>
          <w:sz w:val="32"/>
          <w:szCs w:val="32"/>
          <w:highlight w:val="none"/>
        </w:rPr>
        <w:t>自治区</w:t>
      </w:r>
      <w:r>
        <w:rPr>
          <w:rFonts w:hint="default" w:ascii="Nimbus Roman No9 L" w:hAnsi="Nimbus Roman No9 L" w:eastAsia="仿宋_GB2312" w:cs="Nimbus Roman No9 L"/>
          <w:sz w:val="32"/>
          <w:szCs w:val="32"/>
          <w:highlight w:val="none"/>
          <w:lang w:eastAsia="zh-CN"/>
        </w:rPr>
        <w:t>、兵团</w:t>
      </w:r>
      <w:r>
        <w:rPr>
          <w:rFonts w:hint="default" w:ascii="Nimbus Roman No9 L" w:hAnsi="Nimbus Roman No9 L" w:eastAsia="仿宋_GB2312" w:cs="Nimbus Roman No9 L"/>
          <w:sz w:val="32"/>
          <w:szCs w:val="32"/>
          <w:highlight w:val="none"/>
        </w:rPr>
        <w:t>行政区域内依法必须招标的房屋建筑和市政基础设施工程（以下简称建筑工程）施工评标活动</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适用本办法。</w:t>
      </w:r>
    </w:p>
    <w:p w14:paraId="0B123236">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b/>
          <w:bCs/>
          <w:sz w:val="32"/>
          <w:szCs w:val="32"/>
          <w:highlight w:val="none"/>
        </w:rPr>
        <w:t>第三条</w:t>
      </w:r>
      <w:r>
        <w:rPr>
          <w:rFonts w:hint="default" w:ascii="Nimbus Roman No9 L" w:hAnsi="Nimbus Roman No9 L" w:eastAsia="仿宋_GB2312" w:cs="Nimbus Roman No9 L"/>
          <w:sz w:val="32"/>
          <w:szCs w:val="32"/>
          <w:highlight w:val="none"/>
        </w:rPr>
        <w:t xml:space="preserve">  </w:t>
      </w:r>
      <w:r>
        <w:rPr>
          <w:rFonts w:hint="default" w:ascii="Nimbus Roman No9 L" w:hAnsi="Nimbus Roman No9 L" w:eastAsia="仿宋_GB2312" w:cs="Nimbus Roman No9 L"/>
          <w:sz w:val="32"/>
          <w:szCs w:val="32"/>
          <w:highlight w:val="none"/>
          <w:lang w:val="en-US" w:eastAsia="zh-CN"/>
        </w:rPr>
        <w:t>自治区住房城乡建设主管部门对全区建筑工程施工评标活动实施监督管理。</w:t>
      </w:r>
    </w:p>
    <w:p w14:paraId="3A6B3199">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地（州、市）、县（市、区）</w:t>
      </w:r>
      <w:r>
        <w:rPr>
          <w:rFonts w:hint="default" w:ascii="Nimbus Roman No9 L" w:hAnsi="Nimbus Roman No9 L" w:eastAsia="仿宋_GB2312" w:cs="Nimbus Roman No9 L"/>
          <w:sz w:val="32"/>
          <w:szCs w:val="32"/>
          <w:highlight w:val="none"/>
        </w:rPr>
        <w:t>住房城乡建设主管部门对</w:t>
      </w:r>
      <w:r>
        <w:rPr>
          <w:rFonts w:hint="default" w:ascii="Nimbus Roman No9 L" w:hAnsi="Nimbus Roman No9 L" w:eastAsia="仿宋_GB2312" w:cs="Nimbus Roman No9 L"/>
          <w:sz w:val="32"/>
          <w:szCs w:val="32"/>
          <w:highlight w:val="none"/>
          <w:lang w:val="en-US" w:eastAsia="zh-CN"/>
        </w:rPr>
        <w:t>本行政区域内</w:t>
      </w:r>
      <w:r>
        <w:rPr>
          <w:rFonts w:hint="default" w:ascii="Nimbus Roman No9 L" w:hAnsi="Nimbus Roman No9 L" w:eastAsia="仿宋_GB2312" w:cs="Nimbus Roman No9 L"/>
          <w:sz w:val="32"/>
          <w:szCs w:val="32"/>
          <w:highlight w:val="none"/>
        </w:rPr>
        <w:t>建筑工程</w:t>
      </w:r>
      <w:r>
        <w:rPr>
          <w:rFonts w:hint="default" w:ascii="Nimbus Roman No9 L" w:hAnsi="Nimbus Roman No9 L" w:eastAsia="仿宋_GB2312" w:cs="Nimbus Roman No9 L"/>
          <w:sz w:val="32"/>
          <w:szCs w:val="32"/>
          <w:highlight w:val="none"/>
          <w:lang w:val="en-US" w:eastAsia="zh-CN"/>
        </w:rPr>
        <w:t>施工</w:t>
      </w:r>
      <w:r>
        <w:rPr>
          <w:rFonts w:hint="default" w:ascii="Nimbus Roman No9 L" w:hAnsi="Nimbus Roman No9 L" w:eastAsia="仿宋_GB2312" w:cs="Nimbus Roman No9 L"/>
          <w:sz w:val="32"/>
          <w:szCs w:val="32"/>
          <w:highlight w:val="none"/>
        </w:rPr>
        <w:t>评标活动实施监督，依法查处评标活动中的违法违规行为。</w:t>
      </w:r>
    </w:p>
    <w:p w14:paraId="25F97C25">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兵团住房城乡建设主管部门依法对兵团各师（市）建筑工程施工评标活动实施监督管理。</w:t>
      </w:r>
    </w:p>
    <w:p w14:paraId="0EE7A39B">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兵团各师（市）住房城乡建设主管部门负责对本行政区域内建筑工程施工评标活动实施监督</w:t>
      </w:r>
      <w:r>
        <w:rPr>
          <w:rFonts w:hint="default" w:ascii="Nimbus Roman No9 L" w:hAnsi="Nimbus Roman No9 L" w:eastAsia="仿宋_GB2312" w:cs="Nimbus Roman No9 L"/>
          <w:sz w:val="32"/>
          <w:szCs w:val="32"/>
          <w:highlight w:val="none"/>
        </w:rPr>
        <w:t>，依法查处评标活动中的违法违规行为。</w:t>
      </w:r>
    </w:p>
    <w:p w14:paraId="435DC81C">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四</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w:t>
      </w:r>
      <w:r>
        <w:rPr>
          <w:rFonts w:hint="default" w:ascii="Nimbus Roman No9 L" w:hAnsi="Nimbus Roman No9 L" w:eastAsia="仿宋_GB2312" w:cs="Nimbus Roman No9 L"/>
          <w:sz w:val="32"/>
          <w:szCs w:val="32"/>
          <w:highlight w:val="none"/>
          <w:lang w:val="en-US" w:eastAsia="zh-CN"/>
        </w:rPr>
        <w:t xml:space="preserve"> 施工</w:t>
      </w:r>
      <w:r>
        <w:rPr>
          <w:rFonts w:hint="default" w:ascii="Nimbus Roman No9 L" w:hAnsi="Nimbus Roman No9 L" w:eastAsia="仿宋_GB2312" w:cs="Nimbus Roman No9 L"/>
          <w:sz w:val="32"/>
          <w:szCs w:val="32"/>
          <w:highlight w:val="none"/>
        </w:rPr>
        <w:t>评标活动</w:t>
      </w:r>
      <w:r>
        <w:rPr>
          <w:rFonts w:hint="default" w:ascii="Nimbus Roman No9 L" w:hAnsi="Nimbus Roman No9 L" w:eastAsia="仿宋_GB2312" w:cs="Nimbus Roman No9 L"/>
          <w:sz w:val="32"/>
          <w:szCs w:val="32"/>
          <w:highlight w:val="none"/>
          <w:lang w:val="en-US" w:eastAsia="zh-CN"/>
        </w:rPr>
        <w:t>应当</w:t>
      </w:r>
      <w:r>
        <w:rPr>
          <w:rFonts w:hint="default" w:ascii="Nimbus Roman No9 L" w:hAnsi="Nimbus Roman No9 L" w:eastAsia="仿宋_GB2312" w:cs="Nimbus Roman No9 L"/>
          <w:sz w:val="32"/>
          <w:szCs w:val="32"/>
          <w:highlight w:val="none"/>
        </w:rPr>
        <w:t>遵循公平、公正、科学、诚信、择优的原则，任何单位和个人不得非法干预或者影响评标过程和结果。</w:t>
      </w:r>
    </w:p>
    <w:p w14:paraId="43969CB7">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五</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招标人是依照</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中华人民共和国</w:t>
      </w:r>
      <w:r>
        <w:rPr>
          <w:rFonts w:hint="default" w:ascii="Nimbus Roman No9 L" w:hAnsi="Nimbus Roman No9 L" w:eastAsia="仿宋_GB2312" w:cs="Nimbus Roman No9 L"/>
          <w:sz w:val="32"/>
          <w:szCs w:val="32"/>
          <w:highlight w:val="none"/>
          <w:lang w:val="en-US" w:eastAsia="zh-CN"/>
        </w:rPr>
        <w:t>招标投标法</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规定提出招标项目、进行招标的法人或者其他组织。</w:t>
      </w:r>
      <w:r>
        <w:rPr>
          <w:rFonts w:hint="default" w:ascii="Nimbus Roman No9 L" w:hAnsi="Nimbus Roman No9 L" w:eastAsia="仿宋_GB2312" w:cs="Nimbus Roman No9 L"/>
          <w:sz w:val="32"/>
          <w:szCs w:val="32"/>
          <w:highlight w:val="none"/>
          <w:lang w:val="en-US" w:eastAsia="zh-CN"/>
        </w:rPr>
        <w:t>建筑工程施工评标活动由招标人依法组织实施。</w:t>
      </w:r>
      <w:r>
        <w:rPr>
          <w:rFonts w:hint="default" w:ascii="Nimbus Roman No9 L" w:hAnsi="Nimbus Roman No9 L" w:eastAsia="仿宋_GB2312" w:cs="Nimbus Roman No9 L"/>
          <w:sz w:val="32"/>
          <w:szCs w:val="32"/>
          <w:highlight w:val="none"/>
        </w:rPr>
        <w:t>招标人应对招标过程及结果的合法性、合理性负责。</w:t>
      </w:r>
    </w:p>
    <w:p w14:paraId="79FCA927">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招标人的法定代表人是招标活动的第一责任人，依法承担廉政风险防范主体责任。</w:t>
      </w:r>
    </w:p>
    <w:p w14:paraId="4B20DC9A">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六</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w:t>
      </w:r>
      <w:r>
        <w:rPr>
          <w:rFonts w:hint="default" w:ascii="Nimbus Roman No9 L" w:hAnsi="Nimbus Roman No9 L" w:eastAsia="仿宋_GB2312" w:cs="Nimbus Roman No9 L"/>
          <w:sz w:val="32"/>
          <w:szCs w:val="32"/>
          <w:highlight w:val="none"/>
          <w:lang w:val="en-US" w:eastAsia="zh-CN"/>
        </w:rPr>
        <w:t>建筑</w:t>
      </w:r>
      <w:r>
        <w:rPr>
          <w:rFonts w:hint="default" w:ascii="Nimbus Roman No9 L" w:hAnsi="Nimbus Roman No9 L" w:eastAsia="仿宋_GB2312" w:cs="Nimbus Roman No9 L"/>
          <w:sz w:val="32"/>
          <w:szCs w:val="32"/>
          <w:highlight w:val="none"/>
        </w:rPr>
        <w:t>工程</w:t>
      </w:r>
      <w:r>
        <w:rPr>
          <w:rFonts w:hint="default" w:ascii="Nimbus Roman No9 L" w:hAnsi="Nimbus Roman No9 L" w:eastAsia="仿宋_GB2312" w:cs="Nimbus Roman No9 L"/>
          <w:sz w:val="32"/>
          <w:szCs w:val="32"/>
          <w:highlight w:val="none"/>
          <w:lang w:val="en-US" w:eastAsia="zh-CN"/>
        </w:rPr>
        <w:t>施工</w:t>
      </w:r>
      <w:r>
        <w:rPr>
          <w:rFonts w:hint="default" w:ascii="Nimbus Roman No9 L" w:hAnsi="Nimbus Roman No9 L" w:eastAsia="仿宋_GB2312" w:cs="Nimbus Roman No9 L"/>
          <w:sz w:val="32"/>
          <w:szCs w:val="32"/>
          <w:highlight w:val="none"/>
        </w:rPr>
        <w:t>招标投标活动依法应由招标人自主决定发起，自主选择资格审查方式</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资格审查分为资格预审和资格后审。</w:t>
      </w:r>
    </w:p>
    <w:p w14:paraId="72467673">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资格预审，是指在投标前对潜在投标人进行的资格审查。资格后审，是指在开标后对投标人进行的资格审查。进行资格预审的，一般不再进行资格后审。</w:t>
      </w:r>
    </w:p>
    <w:p w14:paraId="6C5D0289">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政府投资项目施工招标原则上采用资格后审。实行资格预审的，招标人应当邀请所有资格预审合格的潜在投标人参加投标。</w:t>
      </w:r>
    </w:p>
    <w:p w14:paraId="2BC22F99">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七</w:t>
      </w:r>
      <w:r>
        <w:rPr>
          <w:rFonts w:hint="default" w:ascii="Nimbus Roman No9 L" w:hAnsi="Nimbus Roman No9 L" w:eastAsia="仿宋_GB2312" w:cs="Nimbus Roman No9 L"/>
          <w:b/>
          <w:bCs/>
          <w:sz w:val="32"/>
          <w:szCs w:val="32"/>
          <w:highlight w:val="none"/>
        </w:rPr>
        <w:t xml:space="preserve">条  </w:t>
      </w:r>
      <w:r>
        <w:rPr>
          <w:rFonts w:hint="default" w:ascii="Nimbus Roman No9 L" w:hAnsi="Nimbus Roman No9 L" w:eastAsia="仿宋_GB2312" w:cs="Nimbus Roman No9 L"/>
          <w:sz w:val="32"/>
          <w:szCs w:val="32"/>
          <w:highlight w:val="none"/>
        </w:rPr>
        <w:t>资格预审结束后，招标人应当及时向资格预审申请人发出资格预审结果通知书，告知通过资格预审的申请人获取招标文件的时间、地点和方式。</w:t>
      </w:r>
    </w:p>
    <w:p w14:paraId="11233F4A">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资格预审结果的通知不应泄露其他通过资格预审申请人的名称和数量。</w:t>
      </w:r>
    </w:p>
    <w:p w14:paraId="101289FF">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通过资格预审申请人少于3个的应当重新招标。</w:t>
      </w:r>
    </w:p>
    <w:p w14:paraId="60E6A925">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八</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各地住房城乡建设主管部门应全面推行电子招标投标，</w:t>
      </w:r>
      <w:r>
        <w:rPr>
          <w:rFonts w:hint="default" w:ascii="Nimbus Roman No9 L" w:hAnsi="Nimbus Roman No9 L" w:eastAsia="仿宋_GB2312" w:cs="Nimbus Roman No9 L"/>
          <w:sz w:val="32"/>
          <w:szCs w:val="32"/>
          <w:highlight w:val="none"/>
          <w:lang w:val="en-US" w:eastAsia="zh-CN"/>
        </w:rPr>
        <w:t>鼓励</w:t>
      </w:r>
      <w:r>
        <w:rPr>
          <w:rFonts w:hint="default" w:ascii="Nimbus Roman No9 L" w:hAnsi="Nimbus Roman No9 L" w:eastAsia="仿宋_GB2312" w:cs="Nimbus Roman No9 L"/>
          <w:sz w:val="32"/>
          <w:szCs w:val="32"/>
          <w:highlight w:val="none"/>
        </w:rPr>
        <w:t>推进</w:t>
      </w:r>
      <w:r>
        <w:rPr>
          <w:rFonts w:hint="default" w:ascii="Nimbus Roman No9 L" w:hAnsi="Nimbus Roman No9 L" w:eastAsia="仿宋_GB2312" w:cs="Nimbus Roman No9 L"/>
          <w:sz w:val="32"/>
          <w:szCs w:val="32"/>
          <w:highlight w:val="none"/>
          <w:lang w:val="en-US" w:eastAsia="zh-CN"/>
        </w:rPr>
        <w:t>远程异地评标，实现评标专家资源共享</w:t>
      </w:r>
      <w:r>
        <w:rPr>
          <w:rFonts w:hint="default" w:ascii="Nimbus Roman No9 L" w:hAnsi="Nimbus Roman No9 L" w:eastAsia="仿宋_GB2312" w:cs="Nimbus Roman No9 L"/>
          <w:sz w:val="32"/>
          <w:szCs w:val="32"/>
          <w:highlight w:val="none"/>
        </w:rPr>
        <w:t>。</w:t>
      </w:r>
    </w:p>
    <w:p w14:paraId="51A3DE2B">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九</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w:t>
      </w:r>
      <w:r>
        <w:rPr>
          <w:rFonts w:hint="default" w:ascii="Nimbus Roman No9 L" w:hAnsi="Nimbus Roman No9 L" w:eastAsia="仿宋_GB2312" w:cs="Nimbus Roman No9 L"/>
          <w:sz w:val="32"/>
          <w:szCs w:val="32"/>
          <w:highlight w:val="none"/>
          <w:lang w:val="en-US" w:eastAsia="zh-CN"/>
        </w:rPr>
        <w:t>投标担保实行工程保函制度。投标人可以采用银行保函、工程担保公司保函和工程保证保险等方式缴纳投标保证金，任何单位不得以任何理由拒绝收取。</w:t>
      </w:r>
    </w:p>
    <w:p w14:paraId="1D2B680C">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十</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评标方法包括综合评估法、经评审的最低投标价法、定性评审法。</w:t>
      </w:r>
    </w:p>
    <w:p w14:paraId="2C8A835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采用综合评估法评标的，以能够最大限度地满足招标文件中规定的各项条件的投标为中标标准</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详见附件1</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w:t>
      </w:r>
    </w:p>
    <w:p w14:paraId="694BB10C">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采用经评审的最低投标价法评标的，以能够满足招标文件的实质性要求，经评审投标价格最低，但不低于</w:t>
      </w:r>
      <w:r>
        <w:rPr>
          <w:rFonts w:hint="eastAsia" w:ascii="Nimbus Roman No9 L" w:hAnsi="Nimbus Roman No9 L" w:eastAsia="仿宋_GB2312" w:cs="Nimbus Roman No9 L"/>
          <w:sz w:val="32"/>
          <w:szCs w:val="32"/>
          <w:highlight w:val="none"/>
          <w:lang w:eastAsia="zh-CN"/>
        </w:rPr>
        <w:t>基准价</w:t>
      </w:r>
      <w:r>
        <w:rPr>
          <w:rFonts w:hint="default" w:ascii="Nimbus Roman No9 L" w:hAnsi="Nimbus Roman No9 L" w:eastAsia="仿宋_GB2312" w:cs="Nimbus Roman No9 L"/>
          <w:sz w:val="32"/>
          <w:szCs w:val="32"/>
          <w:highlight w:val="none"/>
        </w:rPr>
        <w:t>的投标为中标标准。</w:t>
      </w:r>
      <w:r>
        <w:rPr>
          <w:rFonts w:hint="eastAsia" w:ascii="Nimbus Roman No9 L" w:hAnsi="Nimbus Roman No9 L" w:eastAsia="仿宋_GB2312" w:cs="Nimbus Roman No9 L"/>
          <w:sz w:val="32"/>
          <w:szCs w:val="32"/>
          <w:highlight w:val="none"/>
          <w:lang w:eastAsia="zh-CN"/>
        </w:rPr>
        <w:t>评标委员会应充分承担评标责任，对明显可认定的低价恶性竞争行为作出判断。</w:t>
      </w:r>
      <w:r>
        <w:rPr>
          <w:rFonts w:hint="default" w:ascii="Nimbus Roman No9 L" w:hAnsi="Nimbus Roman No9 L" w:eastAsia="仿宋_GB2312" w:cs="Nimbus Roman No9 L"/>
          <w:sz w:val="32"/>
          <w:szCs w:val="32"/>
          <w:highlight w:val="none"/>
        </w:rPr>
        <w:t>招标文件中标的、数量、质量、价款、履行期限、履行地点和方式、违约责任和解决争议方法属于招标文件的实质性要求</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详见附件2</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w:t>
      </w:r>
    </w:p>
    <w:p w14:paraId="6393FC2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采用定性评审法评标的，是以</w:t>
      </w:r>
      <w:r>
        <w:rPr>
          <w:rFonts w:hint="default" w:ascii="Nimbus Roman No9 L" w:hAnsi="Nimbus Roman No9 L" w:eastAsia="仿宋_GB2312" w:cs="Nimbus Roman No9 L"/>
          <w:sz w:val="32"/>
          <w:szCs w:val="32"/>
          <w:highlight w:val="none"/>
          <w:lang w:val="en-US" w:eastAsia="zh-CN"/>
        </w:rPr>
        <w:t>满足</w:t>
      </w:r>
      <w:r>
        <w:rPr>
          <w:rFonts w:hint="default" w:ascii="Nimbus Roman No9 L" w:hAnsi="Nimbus Roman No9 L" w:eastAsia="仿宋_GB2312" w:cs="Nimbus Roman No9 L"/>
          <w:sz w:val="32"/>
          <w:szCs w:val="32"/>
          <w:highlight w:val="none"/>
        </w:rPr>
        <w:t>招标文件公布的符合性条件为基准，筛选资格条件合格的潜在投标人。</w:t>
      </w:r>
      <w:r>
        <w:rPr>
          <w:rFonts w:hint="default" w:ascii="Nimbus Roman No9 L" w:hAnsi="Nimbus Roman No9 L" w:eastAsia="仿宋_GB2312" w:cs="Nimbus Roman No9 L"/>
          <w:strike w:val="0"/>
          <w:dstrike w:val="0"/>
          <w:color w:val="auto"/>
          <w:sz w:val="32"/>
          <w:szCs w:val="32"/>
          <w:highlight w:val="none"/>
          <w:lang w:val="en-US" w:eastAsia="zh-CN"/>
        </w:rPr>
        <w:t>并对其质量安全技术措施、工期管控、造价管控等方面提出</w:t>
      </w:r>
      <w:r>
        <w:rPr>
          <w:rFonts w:hint="default" w:ascii="Nimbus Roman No9 L" w:hAnsi="Nimbus Roman No9 L" w:eastAsia="仿宋_GB2312" w:cs="Nimbus Roman No9 L"/>
          <w:strike w:val="0"/>
          <w:dstrike w:val="0"/>
          <w:color w:val="auto"/>
          <w:sz w:val="32"/>
          <w:szCs w:val="32"/>
          <w:highlight w:val="none"/>
          <w:lang w:eastAsia="zh-CN"/>
        </w:rPr>
        <w:t>合理化</w:t>
      </w:r>
      <w:r>
        <w:rPr>
          <w:rFonts w:hint="default" w:ascii="Nimbus Roman No9 L" w:hAnsi="Nimbus Roman No9 L" w:eastAsia="仿宋_GB2312" w:cs="Nimbus Roman No9 L"/>
          <w:strike w:val="0"/>
          <w:dstrike w:val="0"/>
          <w:color w:val="auto"/>
          <w:sz w:val="32"/>
          <w:szCs w:val="32"/>
          <w:highlight w:val="none"/>
        </w:rPr>
        <w:t>建议</w:t>
      </w:r>
      <w:r>
        <w:rPr>
          <w:rFonts w:hint="default" w:ascii="Nimbus Roman No9 L" w:hAnsi="Nimbus Roman No9 L" w:eastAsia="仿宋_GB2312" w:cs="Nimbus Roman No9 L"/>
          <w:strike w:val="0"/>
          <w:dstrike w:val="0"/>
          <w:color w:val="auto"/>
          <w:sz w:val="32"/>
          <w:szCs w:val="32"/>
          <w:highlight w:val="none"/>
          <w:lang w:eastAsia="zh-CN"/>
        </w:rPr>
        <w:t>，</w:t>
      </w:r>
      <w:r>
        <w:rPr>
          <w:rFonts w:hint="default" w:ascii="Nimbus Roman No9 L" w:hAnsi="Nimbus Roman No9 L" w:eastAsia="仿宋_GB2312" w:cs="Nimbus Roman No9 L"/>
          <w:kern w:val="2"/>
          <w:sz w:val="32"/>
          <w:szCs w:val="32"/>
          <w:highlight w:val="none"/>
          <w:lang w:val="en-US" w:eastAsia="zh-CN" w:bidi="ar-SA"/>
        </w:rPr>
        <w:t>以不排序的形式推荐至招标人。</w:t>
      </w:r>
      <w:r>
        <w:rPr>
          <w:rFonts w:hint="default" w:ascii="Nimbus Roman No9 L" w:hAnsi="Nimbus Roman No9 L" w:eastAsia="仿宋_GB2312" w:cs="Nimbus Roman No9 L"/>
          <w:sz w:val="32"/>
          <w:szCs w:val="32"/>
          <w:highlight w:val="none"/>
        </w:rPr>
        <w:t>由招标人组建的定标委员会，根据招标文件公布的定标方法确定中标人</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详见附件3</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w:t>
      </w:r>
    </w:p>
    <w:p w14:paraId="0EE17672">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十一</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评标过程中，评标委员会成员对法律法规及相关政策文件理解不一致或者不熟悉的，应当提请在现场或远程监督的住房城乡建设主管部门解释；对招标文件中存在的其他非实质性问题应当提请招标人澄清。</w:t>
      </w:r>
    </w:p>
    <w:p w14:paraId="41585BBD">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对上述情形以外的问题，由评标委员会集体讨论决定。无法形成一致意见时，应当按照少数服从多数原则进行表决</w:t>
      </w:r>
      <w:r>
        <w:rPr>
          <w:rFonts w:hint="eastAsia"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并</w:t>
      </w:r>
      <w:r>
        <w:rPr>
          <w:rFonts w:hint="eastAsia" w:ascii="Nimbus Roman No9 L" w:hAnsi="Nimbus Roman No9 L" w:eastAsia="仿宋_GB2312" w:cs="Nimbus Roman No9 L"/>
          <w:sz w:val="32"/>
          <w:szCs w:val="32"/>
          <w:highlight w:val="none"/>
          <w:lang w:eastAsia="zh-CN"/>
        </w:rPr>
        <w:t>由评标委员会成员签字确认后予以</w:t>
      </w:r>
      <w:r>
        <w:rPr>
          <w:rFonts w:hint="default" w:ascii="Nimbus Roman No9 L" w:hAnsi="Nimbus Roman No9 L" w:eastAsia="仿宋_GB2312" w:cs="Nimbus Roman No9 L"/>
          <w:sz w:val="32"/>
          <w:szCs w:val="32"/>
          <w:highlight w:val="none"/>
        </w:rPr>
        <w:t>记录。</w:t>
      </w:r>
    </w:p>
    <w:p w14:paraId="7624F48E">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十二</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招标人应当按照招标范围、技术要求及国家的标准规范，并遵循国家、自治区颁发的计价依据和计价办法编制工程量清单和招标控制价。</w:t>
      </w:r>
    </w:p>
    <w:p w14:paraId="2C171999">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yellow"/>
        </w:rPr>
      </w:pPr>
      <w:r>
        <w:rPr>
          <w:rFonts w:hint="default" w:ascii="Nimbus Roman No9 L" w:hAnsi="Nimbus Roman No9 L" w:eastAsia="仿宋_GB2312" w:cs="Nimbus Roman No9 L"/>
          <w:sz w:val="32"/>
          <w:szCs w:val="32"/>
          <w:highlight w:val="none"/>
        </w:rPr>
        <w:t>招标控制价由招标人或其委托的工程造价咨询机构编制，并在招标文件</w:t>
      </w:r>
      <w:r>
        <w:rPr>
          <w:rFonts w:hint="default" w:ascii="Nimbus Roman No9 L" w:hAnsi="Nimbus Roman No9 L" w:eastAsia="仿宋_GB2312" w:cs="Nimbus Roman No9 L"/>
          <w:sz w:val="32"/>
          <w:szCs w:val="32"/>
          <w:highlight w:val="none"/>
          <w:lang w:val="en-US" w:eastAsia="zh-CN"/>
        </w:rPr>
        <w:t>发布</w:t>
      </w:r>
      <w:r>
        <w:rPr>
          <w:rFonts w:hint="default" w:ascii="Nimbus Roman No9 L" w:hAnsi="Nimbus Roman No9 L" w:eastAsia="仿宋_GB2312" w:cs="Nimbus Roman No9 L"/>
          <w:sz w:val="32"/>
          <w:szCs w:val="32"/>
          <w:highlight w:val="none"/>
        </w:rPr>
        <w:t>时公布。公布的内容包括：</w:t>
      </w:r>
      <w:r>
        <w:rPr>
          <w:rFonts w:hint="default" w:ascii="Nimbus Roman No9 L" w:hAnsi="Nimbus Roman No9 L" w:eastAsia="仿宋_GB2312" w:cs="Nimbus Roman No9 L"/>
          <w:sz w:val="32"/>
          <w:szCs w:val="32"/>
          <w:highlight w:val="none"/>
          <w:lang w:val="en-US" w:eastAsia="zh-CN"/>
        </w:rPr>
        <w:t>招标控制价</w:t>
      </w:r>
      <w:r>
        <w:rPr>
          <w:rFonts w:hint="default" w:ascii="Nimbus Roman No9 L" w:hAnsi="Nimbus Roman No9 L" w:eastAsia="仿宋_GB2312" w:cs="Nimbus Roman No9 L"/>
          <w:sz w:val="32"/>
          <w:szCs w:val="32"/>
          <w:highlight w:val="none"/>
        </w:rPr>
        <w:t>总价</w:t>
      </w:r>
      <w:r>
        <w:rPr>
          <w:rFonts w:hint="default" w:ascii="Nimbus Roman No9 L" w:hAnsi="Nimbus Roman No9 L" w:eastAsia="仿宋_GB2312" w:cs="Nimbus Roman No9 L"/>
          <w:sz w:val="32"/>
          <w:szCs w:val="32"/>
          <w:highlight w:val="none"/>
          <w:lang w:val="en-US" w:eastAsia="zh-CN"/>
        </w:rPr>
        <w:t>以及</w:t>
      </w:r>
      <w:r>
        <w:rPr>
          <w:rFonts w:hint="default" w:ascii="Nimbus Roman No9 L" w:hAnsi="Nimbus Roman No9 L" w:eastAsia="仿宋_GB2312" w:cs="Nimbus Roman No9 L"/>
          <w:sz w:val="32"/>
          <w:szCs w:val="32"/>
          <w:highlight w:val="none"/>
        </w:rPr>
        <w:t>各单位工程的分部分项工程费、措施项目费、其他项目费、</w:t>
      </w:r>
      <w:r>
        <w:rPr>
          <w:rFonts w:hint="eastAsia" w:ascii="Nimbus Roman No9 L" w:hAnsi="Nimbus Roman No9 L" w:eastAsia="仿宋_GB2312" w:cs="Nimbus Roman No9 L"/>
          <w:sz w:val="32"/>
          <w:szCs w:val="32"/>
          <w:highlight w:val="none"/>
          <w:lang w:val="en-US" w:eastAsia="zh-CN"/>
        </w:rPr>
        <w:t>增值税</w:t>
      </w:r>
      <w:r>
        <w:rPr>
          <w:rFonts w:hint="default" w:ascii="Nimbus Roman No9 L" w:hAnsi="Nimbus Roman No9 L" w:eastAsia="仿宋_GB2312" w:cs="Nimbus Roman No9 L"/>
          <w:sz w:val="32"/>
          <w:szCs w:val="32"/>
          <w:highlight w:val="none"/>
        </w:rPr>
        <w:t>。</w:t>
      </w:r>
    </w:p>
    <w:p w14:paraId="248A2658">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第十</w:t>
      </w:r>
      <w:r>
        <w:rPr>
          <w:rFonts w:hint="default" w:ascii="Nimbus Roman No9 L" w:hAnsi="Nimbus Roman No9 L" w:eastAsia="仿宋_GB2312" w:cs="Nimbus Roman No9 L"/>
          <w:b/>
          <w:bCs/>
          <w:sz w:val="32"/>
          <w:szCs w:val="32"/>
          <w:highlight w:val="none"/>
          <w:lang w:val="en-US" w:eastAsia="zh-CN"/>
        </w:rPr>
        <w:t>三</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评标由</w:t>
      </w:r>
      <w:r>
        <w:rPr>
          <w:rFonts w:hint="default" w:ascii="Nimbus Roman No9 L" w:hAnsi="Nimbus Roman No9 L" w:eastAsia="仿宋_GB2312" w:cs="Nimbus Roman No9 L"/>
          <w:sz w:val="32"/>
          <w:szCs w:val="32"/>
          <w:highlight w:val="none"/>
          <w:lang w:val="en-US" w:eastAsia="zh-CN"/>
        </w:rPr>
        <w:t>招标人</w:t>
      </w:r>
      <w:r>
        <w:rPr>
          <w:rFonts w:hint="default" w:ascii="Nimbus Roman No9 L" w:hAnsi="Nimbus Roman No9 L" w:eastAsia="仿宋_GB2312" w:cs="Nimbus Roman No9 L"/>
          <w:sz w:val="32"/>
          <w:szCs w:val="32"/>
          <w:highlight w:val="none"/>
        </w:rPr>
        <w:t>依法组建的评标委员会负责</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依法必须进行招标的项目，其评标委员会成员由招标人代表以及技术、经济等方面专家组成，成员人数为五人以上单数，其中技术、经济等方面专家不得少于成员总数的三分之二。</w:t>
      </w:r>
    </w:p>
    <w:p w14:paraId="0F21F8FD">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第十</w:t>
      </w:r>
      <w:r>
        <w:rPr>
          <w:rFonts w:hint="default" w:ascii="Nimbus Roman No9 L" w:hAnsi="Nimbus Roman No9 L" w:eastAsia="仿宋_GB2312" w:cs="Nimbus Roman No9 L"/>
          <w:b/>
          <w:bCs/>
          <w:sz w:val="32"/>
          <w:szCs w:val="32"/>
          <w:highlight w:val="none"/>
          <w:lang w:val="en-US" w:eastAsia="zh-CN"/>
        </w:rPr>
        <w:t>四</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评标委员会成员应当认真研究招标文件，至少应当了解和熟悉以下内容：</w:t>
      </w:r>
    </w:p>
    <w:p w14:paraId="52C9E04F">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（一）招标的目标；</w:t>
      </w:r>
    </w:p>
    <w:p w14:paraId="09B3D75F">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（二）招标项目的范围和性质；</w:t>
      </w:r>
    </w:p>
    <w:p w14:paraId="7B90240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（三）招标文件中规定的主要技术要求、标准和商务条款、质量标准和工期要求；</w:t>
      </w:r>
    </w:p>
    <w:p w14:paraId="7EDD957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（四）招标文件规定的评审标准、评标办法和评标过程应当考虑的相关因素；</w:t>
      </w:r>
    </w:p>
    <w:p w14:paraId="23F1A81A">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（五）招标人或者其委托的招标代理机构提供的评标所需的重要信息和数据。</w:t>
      </w:r>
    </w:p>
    <w:p w14:paraId="57854A37">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lang w:eastAsia="zh-CN"/>
        </w:rPr>
      </w:pPr>
      <w:r>
        <w:rPr>
          <w:rFonts w:hint="default" w:ascii="Nimbus Roman No9 L" w:hAnsi="Nimbus Roman No9 L" w:eastAsia="仿宋_GB2312" w:cs="Nimbus Roman No9 L"/>
          <w:b/>
          <w:bCs/>
          <w:sz w:val="32"/>
          <w:szCs w:val="32"/>
          <w:highlight w:val="none"/>
        </w:rPr>
        <w:t>第十</w:t>
      </w:r>
      <w:r>
        <w:rPr>
          <w:rFonts w:hint="default" w:ascii="Nimbus Roman No9 L" w:hAnsi="Nimbus Roman No9 L" w:eastAsia="仿宋_GB2312" w:cs="Nimbus Roman No9 L"/>
          <w:b/>
          <w:bCs/>
          <w:sz w:val="32"/>
          <w:szCs w:val="32"/>
          <w:highlight w:val="none"/>
          <w:lang w:val="en-US" w:eastAsia="zh-CN"/>
        </w:rPr>
        <w:t>五</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评标委员会应当严格按照招标文件公布的评</w:t>
      </w:r>
      <w:r>
        <w:rPr>
          <w:rFonts w:hint="default" w:ascii="Nimbus Roman No9 L" w:hAnsi="Nimbus Roman No9 L" w:eastAsia="仿宋_GB2312" w:cs="Nimbus Roman No9 L"/>
          <w:sz w:val="32"/>
          <w:szCs w:val="32"/>
          <w:highlight w:val="none"/>
          <w:lang w:eastAsia="zh-CN"/>
        </w:rPr>
        <w:t>标</w:t>
      </w:r>
      <w:r>
        <w:rPr>
          <w:rFonts w:hint="default" w:ascii="Nimbus Roman No9 L" w:hAnsi="Nimbus Roman No9 L" w:eastAsia="仿宋_GB2312" w:cs="Nimbus Roman No9 L"/>
          <w:sz w:val="32"/>
          <w:szCs w:val="32"/>
          <w:highlight w:val="none"/>
        </w:rPr>
        <w:t>标准和方法进行评审。</w:t>
      </w:r>
      <w:r>
        <w:rPr>
          <w:rFonts w:hint="default" w:ascii="Nimbus Roman No9 L" w:hAnsi="Nimbus Roman No9 L" w:eastAsia="仿宋_GB2312" w:cs="Nimbus Roman No9 L"/>
          <w:sz w:val="32"/>
          <w:szCs w:val="32"/>
          <w:highlight w:val="none"/>
          <w:lang w:val="en-US" w:eastAsia="zh-CN"/>
        </w:rPr>
        <w:t>招标文件没有规定的评标标准和方法不得作为评审依据。</w:t>
      </w:r>
    </w:p>
    <w:p w14:paraId="42694A41">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第十</w:t>
      </w:r>
      <w:r>
        <w:rPr>
          <w:rFonts w:hint="default" w:ascii="Nimbus Roman No9 L" w:hAnsi="Nimbus Roman No9 L" w:eastAsia="仿宋_GB2312" w:cs="Nimbus Roman No9 L"/>
          <w:b/>
          <w:bCs/>
          <w:sz w:val="32"/>
          <w:szCs w:val="32"/>
          <w:highlight w:val="none"/>
          <w:lang w:val="en-US" w:eastAsia="zh-CN"/>
        </w:rPr>
        <w:t>六</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w:t>
      </w:r>
      <w:r>
        <w:rPr>
          <w:rFonts w:hint="default" w:ascii="Nimbus Roman No9 L" w:hAnsi="Nimbus Roman No9 L" w:eastAsia="仿宋_GB2312" w:cs="Nimbus Roman No9 L"/>
          <w:sz w:val="32"/>
          <w:szCs w:val="32"/>
          <w:highlight w:val="none"/>
          <w:lang w:val="en-US" w:eastAsia="zh-CN"/>
        </w:rPr>
        <w:t>开标时投标人</w:t>
      </w:r>
      <w:r>
        <w:rPr>
          <w:rFonts w:hint="default" w:ascii="Nimbus Roman No9 L" w:hAnsi="Nimbus Roman No9 L" w:eastAsia="仿宋_GB2312" w:cs="Nimbus Roman No9 L"/>
          <w:sz w:val="32"/>
          <w:szCs w:val="32"/>
          <w:highlight w:val="none"/>
        </w:rPr>
        <w:t>存在以下情形，投标文件将</w:t>
      </w:r>
      <w:r>
        <w:rPr>
          <w:rFonts w:hint="default" w:ascii="Nimbus Roman No9 L" w:hAnsi="Nimbus Roman No9 L" w:eastAsia="仿宋_GB2312" w:cs="Nimbus Roman No9 L"/>
          <w:sz w:val="32"/>
          <w:szCs w:val="32"/>
          <w:highlight w:val="none"/>
          <w:lang w:eastAsia="zh-CN"/>
        </w:rPr>
        <w:t>被拒收或</w:t>
      </w:r>
      <w:r>
        <w:rPr>
          <w:rFonts w:hint="default" w:ascii="Nimbus Roman No9 L" w:hAnsi="Nimbus Roman No9 L" w:eastAsia="仿宋_GB2312" w:cs="Nimbus Roman No9 L"/>
          <w:sz w:val="32"/>
          <w:szCs w:val="32"/>
          <w:highlight w:val="none"/>
        </w:rPr>
        <w:t>不予受理：</w:t>
      </w:r>
    </w:p>
    <w:p w14:paraId="05854C3D">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（一）逾期提交投标文件的；</w:t>
      </w:r>
    </w:p>
    <w:p w14:paraId="4640876C">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（二）电子投标文件无法导入电子评标系统或无法解密的；</w:t>
      </w:r>
    </w:p>
    <w:p w14:paraId="18C6C94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（三）被</w:t>
      </w:r>
      <w:r>
        <w:rPr>
          <w:rFonts w:hint="default" w:ascii="Nimbus Roman No9 L" w:hAnsi="Nimbus Roman No9 L" w:eastAsia="仿宋_GB2312" w:cs="Nimbus Roman No9 L"/>
          <w:sz w:val="32"/>
          <w:szCs w:val="32"/>
          <w:highlight w:val="none"/>
          <w:lang w:val="en-US" w:eastAsia="zh-CN"/>
        </w:rPr>
        <w:t>住房城乡建设</w:t>
      </w:r>
      <w:r>
        <w:rPr>
          <w:rFonts w:hint="default" w:ascii="Nimbus Roman No9 L" w:hAnsi="Nimbus Roman No9 L" w:eastAsia="仿宋_GB2312" w:cs="Nimbus Roman No9 L"/>
          <w:sz w:val="32"/>
          <w:szCs w:val="32"/>
          <w:highlight w:val="none"/>
        </w:rPr>
        <w:t>主管部门</w:t>
      </w:r>
      <w:r>
        <w:rPr>
          <w:rFonts w:hint="default" w:ascii="Nimbus Roman No9 L" w:hAnsi="Nimbus Roman No9 L" w:eastAsia="仿宋_GB2312" w:cs="Nimbus Roman No9 L"/>
          <w:sz w:val="32"/>
          <w:szCs w:val="32"/>
          <w:highlight w:val="none"/>
          <w:lang w:val="en-US" w:eastAsia="zh-CN"/>
        </w:rPr>
        <w:t>处罚</w:t>
      </w:r>
      <w:r>
        <w:rPr>
          <w:rFonts w:hint="default" w:ascii="Nimbus Roman No9 L" w:hAnsi="Nimbus Roman No9 L" w:eastAsia="仿宋_GB2312" w:cs="Nimbus Roman No9 L"/>
          <w:sz w:val="32"/>
          <w:szCs w:val="32"/>
          <w:highlight w:val="none"/>
        </w:rPr>
        <w:t>限制投标且在限制投标期内的。</w:t>
      </w:r>
    </w:p>
    <w:p w14:paraId="4B029649">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b/>
          <w:bCs/>
          <w:sz w:val="32"/>
          <w:szCs w:val="32"/>
          <w:highlight w:val="none"/>
        </w:rPr>
        <w:t>第十</w:t>
      </w:r>
      <w:r>
        <w:rPr>
          <w:rFonts w:hint="default" w:ascii="Nimbus Roman No9 L" w:hAnsi="Nimbus Roman No9 L" w:eastAsia="仿宋_GB2312" w:cs="Nimbus Roman No9 L"/>
          <w:b/>
          <w:bCs/>
          <w:sz w:val="32"/>
          <w:szCs w:val="32"/>
          <w:highlight w:val="none"/>
          <w:lang w:val="en-US" w:eastAsia="zh-CN"/>
        </w:rPr>
        <w:t>七</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评标包括初步评审和详细评审。初步评审包括形式、资格、重大偏差评审。详细评审包括技术标</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经济标</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商务</w:t>
      </w:r>
      <w:r>
        <w:rPr>
          <w:rFonts w:hint="default" w:ascii="Nimbus Roman No9 L" w:hAnsi="Nimbus Roman No9 L" w:eastAsia="仿宋_GB2312" w:cs="Nimbus Roman No9 L"/>
          <w:sz w:val="32"/>
          <w:szCs w:val="32"/>
          <w:highlight w:val="none"/>
          <w:lang w:val="en-US" w:eastAsia="zh-CN"/>
        </w:rPr>
        <w:t>和信用评价评审等。</w:t>
      </w:r>
    </w:p>
    <w:p w14:paraId="487D5DDB">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第十</w:t>
      </w:r>
      <w:r>
        <w:rPr>
          <w:rFonts w:hint="default" w:ascii="Nimbus Roman No9 L" w:hAnsi="Nimbus Roman No9 L" w:eastAsia="仿宋_GB2312" w:cs="Nimbus Roman No9 L"/>
          <w:b/>
          <w:bCs/>
          <w:sz w:val="32"/>
          <w:szCs w:val="32"/>
          <w:highlight w:val="none"/>
          <w:lang w:val="en-US" w:eastAsia="zh-CN"/>
        </w:rPr>
        <w:t>八</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形式评审时，有下列情形之一的，应当否决其投标：</w:t>
      </w:r>
    </w:p>
    <w:p w14:paraId="65F772C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（一）未按照招标文件要求提供投标担保，或者所提供的投标担保有瑕疵的；</w:t>
      </w:r>
    </w:p>
    <w:p w14:paraId="3C4499CE">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（二）项目负责人不是投标人注册执业人员的；</w:t>
      </w:r>
    </w:p>
    <w:p w14:paraId="188748CE">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（三）投标文件指定位置</w:t>
      </w:r>
      <w:r>
        <w:rPr>
          <w:rFonts w:hint="default" w:ascii="Nimbus Roman No9 L" w:hAnsi="Nimbus Roman No9 L" w:eastAsia="仿宋_GB2312" w:cs="Nimbus Roman No9 L"/>
          <w:sz w:val="32"/>
          <w:szCs w:val="32"/>
          <w:highlight w:val="none"/>
          <w:lang w:val="en-US" w:eastAsia="zh-CN"/>
        </w:rPr>
        <w:t>没</w:t>
      </w:r>
      <w:r>
        <w:rPr>
          <w:rFonts w:hint="default" w:ascii="Nimbus Roman No9 L" w:hAnsi="Nimbus Roman No9 L" w:eastAsia="仿宋_GB2312" w:cs="Nimbus Roman No9 L"/>
          <w:sz w:val="32"/>
          <w:szCs w:val="32"/>
          <w:highlight w:val="none"/>
        </w:rPr>
        <w:t>有投标单位法定代表人或其授权代表签字（章）和加盖投标单位公章的；</w:t>
      </w:r>
    </w:p>
    <w:p w14:paraId="2AFAA4D4">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（四）组成一个联合体投标，未提交联合体各方签订的共同投标协议的；</w:t>
      </w:r>
    </w:p>
    <w:p w14:paraId="23105730">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（五）投标文件载明的技术规格、技术标准、货物包装方式、检验标准和方法等，不符合招标文件要求的。</w:t>
      </w:r>
    </w:p>
    <w:p w14:paraId="06B94767">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第十</w:t>
      </w:r>
      <w:r>
        <w:rPr>
          <w:rFonts w:hint="default" w:ascii="Nimbus Roman No9 L" w:hAnsi="Nimbus Roman No9 L" w:eastAsia="仿宋_GB2312" w:cs="Nimbus Roman No9 L"/>
          <w:b/>
          <w:bCs/>
          <w:sz w:val="32"/>
          <w:szCs w:val="32"/>
          <w:highlight w:val="none"/>
          <w:lang w:val="en-US" w:eastAsia="zh-CN"/>
        </w:rPr>
        <w:t>九</w:t>
      </w:r>
      <w:r>
        <w:rPr>
          <w:rFonts w:hint="default" w:ascii="Nimbus Roman No9 L" w:hAnsi="Nimbus Roman No9 L" w:eastAsia="仿宋_GB2312" w:cs="Nimbus Roman No9 L"/>
          <w:b/>
          <w:bCs/>
          <w:sz w:val="32"/>
          <w:szCs w:val="32"/>
          <w:highlight w:val="none"/>
        </w:rPr>
        <w:t xml:space="preserve">条  </w:t>
      </w:r>
      <w:r>
        <w:rPr>
          <w:rFonts w:hint="default" w:ascii="Nimbus Roman No9 L" w:hAnsi="Nimbus Roman No9 L" w:eastAsia="仿宋_GB2312" w:cs="Nimbus Roman No9 L"/>
          <w:sz w:val="32"/>
          <w:szCs w:val="32"/>
          <w:highlight w:val="none"/>
        </w:rPr>
        <w:t>资格评审时，有下列情形之一的，应当否决其投标：</w:t>
      </w:r>
    </w:p>
    <w:p w14:paraId="584ACD97">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（一）未提供有效营业执照的；</w:t>
      </w:r>
    </w:p>
    <w:p w14:paraId="65912C43">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（二）</w:t>
      </w:r>
      <w:r>
        <w:rPr>
          <w:rFonts w:hint="default" w:ascii="Nimbus Roman No9 L" w:hAnsi="Nimbus Roman No9 L" w:eastAsia="仿宋_GB2312" w:cs="Nimbus Roman No9 L"/>
          <w:sz w:val="32"/>
          <w:szCs w:val="32"/>
          <w:highlight w:val="none"/>
          <w:lang w:val="en-US" w:eastAsia="zh-CN"/>
        </w:rPr>
        <w:t>不</w:t>
      </w:r>
      <w:r>
        <w:rPr>
          <w:rFonts w:hint="default" w:ascii="Nimbus Roman No9 L" w:hAnsi="Nimbus Roman No9 L" w:eastAsia="仿宋_GB2312" w:cs="Nimbus Roman No9 L"/>
          <w:sz w:val="32"/>
          <w:szCs w:val="32"/>
          <w:highlight w:val="none"/>
        </w:rPr>
        <w:t>满足招标项目需要资质等级的；</w:t>
      </w:r>
    </w:p>
    <w:p w14:paraId="12A51688">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（三）无有效安全生产许可证的；</w:t>
      </w:r>
    </w:p>
    <w:p w14:paraId="4284F76A">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（四）项目负责人条件不满足招标文件要求的；</w:t>
      </w:r>
    </w:p>
    <w:p w14:paraId="44E6168E">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（五）提供近年财务报表不满足招标文件要求的；</w:t>
      </w:r>
    </w:p>
    <w:p w14:paraId="659767D3">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（六）</w:t>
      </w:r>
      <w:r>
        <w:rPr>
          <w:rFonts w:hint="eastAsia" w:ascii="Nimbus Roman No9 L" w:hAnsi="Nimbus Roman No9 L" w:eastAsia="仿宋_GB2312" w:cs="Nimbus Roman No9 L"/>
          <w:sz w:val="32"/>
          <w:szCs w:val="32"/>
          <w:highlight w:val="none"/>
          <w:lang w:val="en-US" w:eastAsia="zh-CN"/>
        </w:rPr>
        <w:t>在“信用中国”“国家企业信用信息公示系统”和“全国建筑市场监管公共服务平台”被列入严重失信企业、失信被执行人或联合惩戒名单，被限制市场准入、招标投标活动，</w:t>
      </w:r>
      <w:r>
        <w:rPr>
          <w:rFonts w:hint="default" w:ascii="Nimbus Roman No9 L" w:hAnsi="Nimbus Roman No9 L" w:eastAsia="仿宋_GB2312" w:cs="Nimbus Roman No9 L"/>
          <w:sz w:val="32"/>
          <w:szCs w:val="32"/>
          <w:highlight w:val="none"/>
          <w:lang w:val="en-US" w:eastAsia="zh-CN"/>
        </w:rPr>
        <w:t>企业信誉不满足招标文件要求的；</w:t>
      </w:r>
    </w:p>
    <w:p w14:paraId="307DFEDF">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（七）类似项目业绩不满足招标文件要求的（若有）。</w:t>
      </w:r>
    </w:p>
    <w:p w14:paraId="3F6BC656">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二十</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重大偏差评审时，有下列情形之一的，应当否决其投标：</w:t>
      </w:r>
    </w:p>
    <w:p w14:paraId="1B0490C5">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（一）投标报价高于招标控制价的；</w:t>
      </w:r>
    </w:p>
    <w:p w14:paraId="02B21334">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（二）投标文件承诺的工期超过招标文件中工期要求的；</w:t>
      </w:r>
    </w:p>
    <w:p w14:paraId="57792D68">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rPr>
        <w:t>（三）</w:t>
      </w:r>
      <w:r>
        <w:rPr>
          <w:rFonts w:hint="default" w:ascii="Nimbus Roman No9 L" w:hAnsi="Nimbus Roman No9 L" w:eastAsia="仿宋_GB2312" w:cs="Nimbus Roman No9 L"/>
          <w:sz w:val="32"/>
          <w:szCs w:val="32"/>
          <w:highlight w:val="none"/>
          <w:lang w:val="en-US" w:eastAsia="zh-CN"/>
        </w:rPr>
        <w:t>联合体各方在同一招标项目中以自己名义单独投标</w:t>
      </w:r>
    </w:p>
    <w:p w14:paraId="6B90C857">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或者参加其他联合体投标的</w:t>
      </w:r>
      <w:r>
        <w:rPr>
          <w:rFonts w:hint="eastAsia" w:ascii="Nimbus Roman No9 L" w:hAnsi="Nimbus Roman No9 L" w:eastAsia="仿宋_GB2312" w:cs="Nimbus Roman No9 L"/>
          <w:sz w:val="32"/>
          <w:szCs w:val="32"/>
          <w:highlight w:val="none"/>
          <w:lang w:val="en-US" w:eastAsia="zh-CN"/>
        </w:rPr>
        <w:t>，通过资格预审后</w:t>
      </w:r>
      <w:r>
        <w:rPr>
          <w:rFonts w:hint="default" w:ascii="Nimbus Roman No9 L" w:hAnsi="Nimbus Roman No9 L" w:eastAsia="仿宋_GB2312" w:cs="Nimbus Roman No9 L"/>
          <w:sz w:val="32"/>
          <w:szCs w:val="32"/>
          <w:highlight w:val="none"/>
          <w:lang w:val="en-US" w:eastAsia="zh-CN"/>
        </w:rPr>
        <w:t>增减、更换成员的</w:t>
      </w:r>
      <w:r>
        <w:rPr>
          <w:rFonts w:hint="default" w:ascii="Nimbus Roman No9 L" w:hAnsi="Nimbus Roman No9 L" w:eastAsia="仿宋_GB2312" w:cs="Nimbus Roman No9 L"/>
          <w:sz w:val="32"/>
          <w:szCs w:val="32"/>
          <w:highlight w:val="none"/>
        </w:rPr>
        <w:t>；</w:t>
      </w:r>
    </w:p>
    <w:p w14:paraId="0A651CE9">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（四）同一项目投标人之间有控股</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管理</w:t>
      </w:r>
      <w:r>
        <w:rPr>
          <w:rFonts w:hint="default" w:ascii="Nimbus Roman No9 L" w:hAnsi="Nimbus Roman No9 L" w:eastAsia="仿宋_GB2312" w:cs="Nimbus Roman No9 L"/>
          <w:sz w:val="32"/>
          <w:szCs w:val="32"/>
          <w:highlight w:val="none"/>
        </w:rPr>
        <w:t>关系或法定代表人</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单位负责人</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为同一人的；</w:t>
      </w:r>
    </w:p>
    <w:p w14:paraId="47C932EC">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（五）单位工程、单项工程的名称或结构与招标文件不一致的；</w:t>
      </w:r>
    </w:p>
    <w:p w14:paraId="40D3F92B">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（六）改变招标文件提供工程量清单中的项目编码、项目名称、项目特征、计量单位和工程量的；</w:t>
      </w:r>
    </w:p>
    <w:p w14:paraId="552DC124">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rPr>
        <w:t>（七）改动增值税、安全文明施工费中“安全生产措施费</w:t>
      </w:r>
      <w:r>
        <w:rPr>
          <w:rFonts w:hint="eastAsia"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智慧工地基础配置费用”等费用的计费基础和费率的；</w:t>
      </w:r>
    </w:p>
    <w:p w14:paraId="1AA3D9D8">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（八）改动暂列金、专业工程暂估价、施工技术专项措施项目暂估价的；</w:t>
      </w:r>
    </w:p>
    <w:p w14:paraId="2E2397B6">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（九）改动材料暂估单价的；</w:t>
      </w:r>
    </w:p>
    <w:p w14:paraId="3C2AF665">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（十）投标人名称、组织机构与获取招标文件时或资格预审时不符，涉嫌以他人名义投标的；</w:t>
      </w:r>
    </w:p>
    <w:p w14:paraId="43156751">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（十一）投标人之间或者投标人与招标人之间</w:t>
      </w:r>
      <w:r>
        <w:rPr>
          <w:rFonts w:hint="default" w:ascii="Nimbus Roman No9 L" w:hAnsi="Nimbus Roman No9 L" w:eastAsia="仿宋_GB2312" w:cs="Nimbus Roman No9 L"/>
          <w:sz w:val="32"/>
          <w:szCs w:val="32"/>
          <w:highlight w:val="none"/>
          <w:lang w:val="en-US" w:eastAsia="zh-CN"/>
        </w:rPr>
        <w:t>涉嫌</w:t>
      </w:r>
      <w:r>
        <w:rPr>
          <w:rFonts w:hint="default" w:ascii="Nimbus Roman No9 L" w:hAnsi="Nimbus Roman No9 L" w:eastAsia="仿宋_GB2312" w:cs="Nimbus Roman No9 L"/>
          <w:sz w:val="32"/>
          <w:szCs w:val="32"/>
          <w:highlight w:val="none"/>
        </w:rPr>
        <w:t>串通投标的；</w:t>
      </w:r>
    </w:p>
    <w:p w14:paraId="2F3E76D2">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（十二）不满足招标文件实质性要求的其他情形。</w:t>
      </w:r>
    </w:p>
    <w:p w14:paraId="1975CD6D">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lang w:val="en-US" w:eastAsia="zh-CN"/>
        </w:rPr>
        <w:t>第二十一条</w:t>
      </w:r>
      <w:r>
        <w:rPr>
          <w:rFonts w:hint="default" w:ascii="Nimbus Roman No9 L" w:hAnsi="Nimbus Roman No9 L" w:eastAsia="仿宋_GB2312" w:cs="Nimbus Roman No9 L"/>
          <w:sz w:val="32"/>
          <w:szCs w:val="32"/>
          <w:highlight w:val="none"/>
          <w:lang w:val="en-US" w:eastAsia="zh-CN"/>
        </w:rPr>
        <w:t xml:space="preserve">  技术标评审分为合格制和计分制。技术标评审包括工程特点、施工准备计划、施</w:t>
      </w:r>
      <w:r>
        <w:rPr>
          <w:rFonts w:hint="default" w:ascii="Nimbus Roman No9 L" w:hAnsi="Nimbus Roman No9 L" w:eastAsia="仿宋_GB2312" w:cs="Nimbus Roman No9 L"/>
          <w:sz w:val="32"/>
          <w:szCs w:val="32"/>
          <w:highlight w:val="none"/>
        </w:rPr>
        <w:t>工方案</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施工平面布置、</w:t>
      </w:r>
      <w:r>
        <w:rPr>
          <w:rFonts w:hint="default" w:ascii="Nimbus Roman No9 L" w:hAnsi="Nimbus Roman No9 L" w:eastAsia="仿宋_GB2312" w:cs="Nimbus Roman No9 L"/>
          <w:sz w:val="32"/>
          <w:szCs w:val="32"/>
          <w:highlight w:val="none"/>
        </w:rPr>
        <w:t>工程进度计划措施、</w:t>
      </w:r>
      <w:r>
        <w:rPr>
          <w:rFonts w:hint="default" w:ascii="Nimbus Roman No9 L" w:hAnsi="Nimbus Roman No9 L" w:eastAsia="仿宋_GB2312" w:cs="Nimbus Roman No9 L"/>
          <w:sz w:val="32"/>
          <w:szCs w:val="32"/>
          <w:highlight w:val="none"/>
          <w:lang w:val="en-US" w:eastAsia="zh-CN"/>
        </w:rPr>
        <w:t>劳动力、材料和机械设备需用量计划、</w:t>
      </w:r>
      <w:r>
        <w:rPr>
          <w:rFonts w:hint="default" w:ascii="Nimbus Roman No9 L" w:hAnsi="Nimbus Roman No9 L" w:eastAsia="仿宋_GB2312" w:cs="Nimbus Roman No9 L"/>
          <w:sz w:val="32"/>
          <w:szCs w:val="32"/>
          <w:highlight w:val="none"/>
        </w:rPr>
        <w:t>安全</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质量</w:t>
      </w:r>
      <w:r>
        <w:rPr>
          <w:rFonts w:hint="default" w:ascii="Nimbus Roman No9 L" w:hAnsi="Nimbus Roman No9 L" w:eastAsia="仿宋_GB2312" w:cs="Nimbus Roman No9 L"/>
          <w:sz w:val="32"/>
          <w:szCs w:val="32"/>
          <w:highlight w:val="none"/>
          <w:lang w:val="en-US" w:eastAsia="zh-CN"/>
        </w:rPr>
        <w:t>和工期保证措施及</w:t>
      </w:r>
      <w:r>
        <w:rPr>
          <w:rFonts w:hint="default" w:ascii="Nimbus Roman No9 L" w:hAnsi="Nimbus Roman No9 L" w:eastAsia="仿宋_GB2312" w:cs="Nimbus Roman No9 L"/>
          <w:sz w:val="32"/>
          <w:szCs w:val="32"/>
          <w:highlight w:val="none"/>
        </w:rPr>
        <w:t>体系、</w:t>
      </w:r>
      <w:r>
        <w:rPr>
          <w:rFonts w:hint="default" w:ascii="Nimbus Roman No9 L" w:hAnsi="Nimbus Roman No9 L" w:eastAsia="仿宋_GB2312" w:cs="Nimbus Roman No9 L"/>
          <w:sz w:val="32"/>
          <w:szCs w:val="32"/>
          <w:highlight w:val="none"/>
          <w:lang w:val="en-US" w:eastAsia="zh-CN"/>
        </w:rPr>
        <w:t>文明施工措施、智慧工地</w:t>
      </w:r>
      <w:r>
        <w:rPr>
          <w:rFonts w:hint="default" w:ascii="Nimbus Roman No9 L" w:hAnsi="Nimbus Roman No9 L" w:eastAsia="仿宋_GB2312" w:cs="Nimbus Roman No9 L"/>
          <w:sz w:val="32"/>
          <w:szCs w:val="32"/>
          <w:highlight w:val="none"/>
        </w:rPr>
        <w:t>等。</w:t>
      </w:r>
    </w:p>
    <w:p w14:paraId="01099F2F">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招标人要求采用建筑信息模型技术的，</w:t>
      </w:r>
      <w:r>
        <w:rPr>
          <w:rFonts w:hint="default" w:ascii="Nimbus Roman No9 L" w:hAnsi="Nimbus Roman No9 L" w:eastAsia="仿宋_GB2312" w:cs="Nimbus Roman No9 L"/>
          <w:sz w:val="32"/>
          <w:szCs w:val="32"/>
          <w:highlight w:val="none"/>
          <w:lang w:val="en-US" w:eastAsia="zh-CN"/>
        </w:rPr>
        <w:t>应当</w:t>
      </w:r>
      <w:r>
        <w:rPr>
          <w:rFonts w:hint="default" w:ascii="Nimbus Roman No9 L" w:hAnsi="Nimbus Roman No9 L" w:eastAsia="仿宋_GB2312" w:cs="Nimbus Roman No9 L"/>
          <w:sz w:val="32"/>
          <w:szCs w:val="32"/>
          <w:highlight w:val="none"/>
        </w:rPr>
        <w:t>将建筑信息模型技术管理体系与措施纳入评审。</w:t>
      </w:r>
    </w:p>
    <w:p w14:paraId="384B2F3C">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b/>
          <w:bCs/>
          <w:sz w:val="32"/>
          <w:szCs w:val="32"/>
          <w:highlight w:val="none"/>
          <w:lang w:val="en-US" w:eastAsia="zh-CN"/>
        </w:rPr>
        <w:t>第二十二条</w:t>
      </w:r>
      <w:r>
        <w:rPr>
          <w:rFonts w:hint="default" w:ascii="Nimbus Roman No9 L" w:hAnsi="Nimbus Roman No9 L" w:eastAsia="仿宋_GB2312" w:cs="Nimbus Roman No9 L"/>
          <w:sz w:val="32"/>
          <w:szCs w:val="32"/>
          <w:highlight w:val="none"/>
          <w:lang w:val="en-US" w:eastAsia="zh-CN"/>
        </w:rPr>
        <w:t xml:space="preserve">  商务评审为计分制，商务评审包括类似工程业绩（若有）、项目管理机构、财务情况、智慧工地等。 </w:t>
      </w:r>
    </w:p>
    <w:p w14:paraId="52DE30C4">
      <w:pPr>
        <w:keepNext w:val="0"/>
        <w:keepLines w:val="0"/>
        <w:pageBreakBefore w:val="0"/>
        <w:widowControl/>
        <w:suppressLineNumbers w:val="0"/>
        <w:shd w:val="clear" w:color="auto" w:fill="FFFFFF"/>
        <w:kinsoku/>
        <w:wordWrap/>
        <w:overflowPunct/>
        <w:topLinePunct w:val="0"/>
        <w:autoSpaceDE/>
        <w:autoSpaceDN/>
        <w:bidi w:val="0"/>
        <w:adjustRightInd/>
        <w:snapToGrid/>
        <w:spacing w:afterAutospacing="0" w:line="560" w:lineRule="exact"/>
        <w:ind w:firstLine="643" w:firstLineChars="200"/>
        <w:jc w:val="left"/>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二十</w:t>
      </w:r>
      <w:r>
        <w:rPr>
          <w:rFonts w:hint="eastAsia" w:ascii="Nimbus Roman No9 L" w:hAnsi="Nimbus Roman No9 L" w:eastAsia="仿宋_GB2312" w:cs="Nimbus Roman No9 L"/>
          <w:b/>
          <w:bCs/>
          <w:sz w:val="32"/>
          <w:szCs w:val="32"/>
          <w:highlight w:val="none"/>
          <w:lang w:val="en-US" w:eastAsia="zh-CN"/>
        </w:rPr>
        <w:t>三</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除技术复杂的建筑工程外，鼓励招标人对简单、通用的建筑工程项目不设置业绩指标。新设立企业参与</w:t>
      </w:r>
      <w:r>
        <w:rPr>
          <w:rFonts w:hint="default" w:ascii="Nimbus Roman No9 L" w:hAnsi="Nimbus Roman No9 L" w:eastAsia="仿宋_GB2312" w:cs="Nimbus Roman No9 L"/>
          <w:sz w:val="32"/>
          <w:szCs w:val="32"/>
          <w:highlight w:val="none"/>
          <w:lang w:val="en-US" w:eastAsia="zh-CN"/>
        </w:rPr>
        <w:t>建筑工程施工</w:t>
      </w:r>
      <w:r>
        <w:rPr>
          <w:rFonts w:hint="default" w:ascii="Nimbus Roman No9 L" w:hAnsi="Nimbus Roman No9 L" w:eastAsia="仿宋_GB2312" w:cs="Nimbus Roman No9 L"/>
          <w:sz w:val="32"/>
          <w:szCs w:val="32"/>
          <w:highlight w:val="none"/>
        </w:rPr>
        <w:t>招投标时不评价企业业绩，只对</w:t>
      </w:r>
      <w:r>
        <w:rPr>
          <w:rFonts w:hint="eastAsia" w:ascii="Nimbus Roman No9 L" w:hAnsi="Nimbus Roman No9 L" w:eastAsia="仿宋_GB2312" w:cs="Nimbus Roman No9 L"/>
          <w:sz w:val="32"/>
          <w:szCs w:val="32"/>
          <w:highlight w:val="none"/>
          <w:lang w:val="en-US" w:eastAsia="zh-CN"/>
        </w:rPr>
        <w:t>项目负责人</w:t>
      </w:r>
      <w:r>
        <w:rPr>
          <w:rFonts w:hint="default" w:ascii="Nimbus Roman No9 L" w:hAnsi="Nimbus Roman No9 L" w:eastAsia="仿宋_GB2312" w:cs="Nimbus Roman No9 L"/>
          <w:sz w:val="32"/>
          <w:szCs w:val="32"/>
          <w:highlight w:val="none"/>
        </w:rPr>
        <w:t>业绩作出要求。需要提供类似工程业绩的，应当符合以下要求：</w:t>
      </w:r>
    </w:p>
    <w:p w14:paraId="54FD28F7">
      <w:pPr>
        <w:keepNext w:val="0"/>
        <w:keepLines w:val="0"/>
        <w:pageBreakBefore w:val="0"/>
        <w:widowControl/>
        <w:suppressLineNumbers w:val="0"/>
        <w:shd w:val="clear" w:color="auto" w:fill="FFFFFF"/>
        <w:kinsoku/>
        <w:wordWrap/>
        <w:overflowPunct/>
        <w:topLinePunct w:val="0"/>
        <w:autoSpaceDE/>
        <w:autoSpaceDN/>
        <w:bidi w:val="0"/>
        <w:adjustRightInd/>
        <w:snapToGrid/>
        <w:spacing w:afterAutospacing="0" w:line="560" w:lineRule="exact"/>
        <w:ind w:firstLine="640" w:firstLineChars="200"/>
        <w:jc w:val="both"/>
        <w:textAlignment w:val="auto"/>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（一）用于资格评审的类似工程业绩原则上不超过招标项目相关指标的50%（四舍五入取整数，下同）；用于评审加分的类似工程业绩原则上不超过招标项目相关指标的70%。</w:t>
      </w:r>
    </w:p>
    <w:p w14:paraId="4587BE00">
      <w:pPr>
        <w:keepNext w:val="0"/>
        <w:keepLines w:val="0"/>
        <w:pageBreakBefore w:val="0"/>
        <w:widowControl/>
        <w:suppressLineNumbers w:val="0"/>
        <w:shd w:val="clear" w:color="auto" w:fill="FFFFFF"/>
        <w:kinsoku/>
        <w:wordWrap/>
        <w:overflowPunct/>
        <w:topLinePunct w:val="0"/>
        <w:autoSpaceDE/>
        <w:autoSpaceDN/>
        <w:bidi w:val="0"/>
        <w:adjustRightInd/>
        <w:snapToGrid/>
        <w:spacing w:afterAutospacing="0" w:line="560" w:lineRule="exact"/>
        <w:ind w:firstLine="640" w:firstLineChars="200"/>
        <w:jc w:val="left"/>
        <w:textAlignment w:val="auto"/>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（二）采用经评审的最低投标价法的项目，不得将类似工程业绩作为资格评审条件。</w:t>
      </w:r>
    </w:p>
    <w:p w14:paraId="41F476B9">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第二十</w:t>
      </w:r>
      <w:r>
        <w:rPr>
          <w:rFonts w:hint="eastAsia" w:ascii="Nimbus Roman No9 L" w:hAnsi="Nimbus Roman No9 L" w:eastAsia="仿宋_GB2312" w:cs="Nimbus Roman No9 L"/>
          <w:b/>
          <w:bCs/>
          <w:sz w:val="32"/>
          <w:szCs w:val="32"/>
          <w:highlight w:val="none"/>
          <w:lang w:val="en-US" w:eastAsia="zh-CN"/>
        </w:rPr>
        <w:t>四</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招标项目类似业绩相关指标，应当按照以下要求设定：</w:t>
      </w:r>
    </w:p>
    <w:p w14:paraId="7F53E1F8">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（一）房屋建筑工程招标项目采用层数、高度、建筑面积、结构、跨度、单项合同额等指标中的</w:t>
      </w:r>
      <w:r>
        <w:rPr>
          <w:rFonts w:hint="default" w:ascii="Nimbus Roman No9 L" w:hAnsi="Nimbus Roman No9 L" w:eastAsia="仿宋_GB2312" w:cs="Nimbus Roman No9 L"/>
          <w:kern w:val="2"/>
          <w:sz w:val="32"/>
          <w:szCs w:val="32"/>
          <w:highlight w:val="none"/>
          <w:lang w:val="en-US" w:eastAsia="zh-CN" w:bidi="ar-SA"/>
        </w:rPr>
        <w:t>1-2</w:t>
      </w:r>
      <w:r>
        <w:rPr>
          <w:rFonts w:hint="default" w:ascii="Nimbus Roman No9 L" w:hAnsi="Nimbus Roman No9 L" w:eastAsia="仿宋_GB2312" w:cs="Nimbus Roman No9 L"/>
          <w:sz w:val="32"/>
          <w:szCs w:val="32"/>
          <w:highlight w:val="none"/>
        </w:rPr>
        <w:t>项；</w:t>
      </w:r>
    </w:p>
    <w:p w14:paraId="6F7D2B59">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二）市政基础设施工程招标项目采用道路长度或者面积、桥梁长度或者面积或者跨度或者结构、管道直径或者压力、隧道和地下交通工程断面面积、供水能力、供气能力、供热能力、污水处理能力、垃圾处理能力、园林绿化规模以及单项合同额等指标中的</w:t>
      </w:r>
      <w:r>
        <w:rPr>
          <w:rFonts w:hint="default" w:ascii="Nimbus Roman No9 L" w:hAnsi="Nimbus Roman No9 L" w:eastAsia="仿宋_GB2312" w:cs="Nimbus Roman No9 L"/>
          <w:kern w:val="2"/>
          <w:sz w:val="32"/>
          <w:szCs w:val="32"/>
          <w:highlight w:val="none"/>
          <w:lang w:val="en-US" w:eastAsia="zh-CN" w:bidi="ar-SA"/>
        </w:rPr>
        <w:t>1-2</w:t>
      </w:r>
      <w:r>
        <w:rPr>
          <w:rFonts w:hint="default" w:ascii="Nimbus Roman No9 L" w:hAnsi="Nimbus Roman No9 L" w:eastAsia="仿宋_GB2312" w:cs="Nimbus Roman No9 L"/>
          <w:sz w:val="32"/>
          <w:szCs w:val="32"/>
          <w:highlight w:val="none"/>
        </w:rPr>
        <w:t>项。</w:t>
      </w:r>
    </w:p>
    <w:p w14:paraId="3282A7CA">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第二十</w:t>
      </w:r>
      <w:r>
        <w:rPr>
          <w:rFonts w:hint="eastAsia" w:ascii="Nimbus Roman No9 L" w:hAnsi="Nimbus Roman No9 L" w:eastAsia="仿宋_GB2312" w:cs="Nimbus Roman No9 L"/>
          <w:b/>
          <w:bCs/>
          <w:sz w:val="32"/>
          <w:szCs w:val="32"/>
          <w:highlight w:val="none"/>
          <w:lang w:val="en-US" w:eastAsia="zh-CN"/>
        </w:rPr>
        <w:t>五</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w:t>
      </w:r>
      <w:r>
        <w:rPr>
          <w:rFonts w:hint="default" w:ascii="Nimbus Roman No9 L" w:hAnsi="Nimbus Roman No9 L" w:eastAsia="仿宋_GB2312" w:cs="Nimbus Roman No9 L"/>
          <w:sz w:val="32"/>
          <w:szCs w:val="32"/>
          <w:highlight w:val="none"/>
          <w:lang w:val="en-US" w:eastAsia="zh-CN"/>
        </w:rPr>
        <w:t>经济标</w:t>
      </w:r>
      <w:r>
        <w:rPr>
          <w:rFonts w:hint="default" w:ascii="Nimbus Roman No9 L" w:hAnsi="Nimbus Roman No9 L" w:eastAsia="仿宋_GB2312" w:cs="Nimbus Roman No9 L"/>
          <w:sz w:val="32"/>
          <w:szCs w:val="32"/>
          <w:highlight w:val="none"/>
        </w:rPr>
        <w:t>评审由评标委员会经济类专家主导组织实施</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评标委员会应将认定情况作出详细说明记录在案。评标委员会成员无法形成一致意见时，应当按照少数服从多数原则进行表决</w:t>
      </w:r>
      <w:r>
        <w:rPr>
          <w:rFonts w:hint="eastAsia"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并</w:t>
      </w:r>
      <w:r>
        <w:rPr>
          <w:rFonts w:hint="eastAsia" w:ascii="Nimbus Roman No9 L" w:hAnsi="Nimbus Roman No9 L" w:eastAsia="仿宋_GB2312" w:cs="Nimbus Roman No9 L"/>
          <w:sz w:val="32"/>
          <w:szCs w:val="32"/>
          <w:highlight w:val="none"/>
          <w:lang w:eastAsia="zh-CN"/>
        </w:rPr>
        <w:t>由评标委员会成员签字确认后予以</w:t>
      </w:r>
      <w:r>
        <w:rPr>
          <w:rFonts w:hint="default" w:ascii="Nimbus Roman No9 L" w:hAnsi="Nimbus Roman No9 L" w:eastAsia="仿宋_GB2312" w:cs="Nimbus Roman No9 L"/>
          <w:sz w:val="32"/>
          <w:szCs w:val="32"/>
          <w:highlight w:val="none"/>
        </w:rPr>
        <w:t>记录。</w:t>
      </w:r>
    </w:p>
    <w:p w14:paraId="6BE6D480">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第二十</w:t>
      </w:r>
      <w:r>
        <w:rPr>
          <w:rFonts w:hint="eastAsia" w:ascii="Nimbus Roman No9 L" w:hAnsi="Nimbus Roman No9 L" w:eastAsia="仿宋_GB2312" w:cs="Nimbus Roman No9 L"/>
          <w:b/>
          <w:bCs/>
          <w:sz w:val="32"/>
          <w:szCs w:val="32"/>
          <w:highlight w:val="none"/>
          <w:lang w:val="en-US" w:eastAsia="zh-CN"/>
        </w:rPr>
        <w:t>六</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评标委员会可以</w:t>
      </w:r>
      <w:r>
        <w:rPr>
          <w:rFonts w:hint="eastAsia" w:ascii="Nimbus Roman No9 L" w:hAnsi="Nimbus Roman No9 L" w:eastAsia="仿宋_GB2312" w:cs="Nimbus Roman No9 L"/>
          <w:sz w:val="32"/>
          <w:szCs w:val="32"/>
          <w:highlight w:val="none"/>
          <w:lang w:eastAsia="zh-CN"/>
        </w:rPr>
        <w:t>通过电子或</w:t>
      </w:r>
      <w:r>
        <w:rPr>
          <w:rFonts w:hint="default" w:ascii="Nimbus Roman No9 L" w:hAnsi="Nimbus Roman No9 L" w:eastAsia="仿宋_GB2312" w:cs="Nimbus Roman No9 L"/>
          <w:sz w:val="32"/>
          <w:szCs w:val="32"/>
          <w:highlight w:val="none"/>
        </w:rPr>
        <w:t>书面方式要求投标人对投标文件中含义不明确、对同类问题表述不一致或者有明显文字和计算错误的内容</w:t>
      </w:r>
      <w:r>
        <w:rPr>
          <w:rFonts w:hint="eastAsia" w:ascii="Nimbus Roman No9 L" w:hAnsi="Nimbus Roman No9 L" w:eastAsia="仿宋_GB2312" w:cs="Nimbus Roman No9 L"/>
          <w:sz w:val="32"/>
          <w:szCs w:val="32"/>
          <w:highlight w:val="none"/>
          <w:lang w:eastAsia="zh-CN"/>
        </w:rPr>
        <w:t>做必要</w:t>
      </w:r>
      <w:r>
        <w:rPr>
          <w:rFonts w:hint="default" w:ascii="Nimbus Roman No9 L" w:hAnsi="Nimbus Roman No9 L" w:eastAsia="仿宋_GB2312" w:cs="Nimbus Roman No9 L"/>
          <w:sz w:val="32"/>
          <w:szCs w:val="32"/>
          <w:highlight w:val="none"/>
        </w:rPr>
        <w:t>的澄清、说明或者补正。澄清、说明或者补正</w:t>
      </w:r>
      <w:r>
        <w:rPr>
          <w:rFonts w:hint="default" w:ascii="Nimbus Roman No9 L" w:hAnsi="Nimbus Roman No9 L" w:eastAsia="仿宋_GB2312" w:cs="Nimbus Roman No9 L"/>
          <w:sz w:val="32"/>
          <w:szCs w:val="32"/>
          <w:highlight w:val="none"/>
          <w:lang w:val="en-US" w:eastAsia="zh-CN"/>
        </w:rPr>
        <w:t>应当采用</w:t>
      </w:r>
      <w:r>
        <w:rPr>
          <w:rFonts w:hint="eastAsia" w:ascii="Nimbus Roman No9 L" w:hAnsi="Nimbus Roman No9 L" w:eastAsia="仿宋_GB2312" w:cs="Nimbus Roman No9 L"/>
          <w:sz w:val="32"/>
          <w:szCs w:val="32"/>
          <w:highlight w:val="none"/>
          <w:lang w:eastAsia="zh-CN"/>
        </w:rPr>
        <w:t>电子或</w:t>
      </w:r>
      <w:r>
        <w:rPr>
          <w:rFonts w:hint="default" w:ascii="Nimbus Roman No9 L" w:hAnsi="Nimbus Roman No9 L" w:eastAsia="仿宋_GB2312" w:cs="Nimbus Roman No9 L"/>
          <w:sz w:val="32"/>
          <w:szCs w:val="32"/>
          <w:highlight w:val="none"/>
        </w:rPr>
        <w:t>书面方式进行并不得超出投标文件的范围或者改变投标文件的实质性内容。</w:t>
      </w:r>
    </w:p>
    <w:p w14:paraId="2C1F3BFC">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评标委员会不得接受投标人主动提出的澄清、说明或补正。</w:t>
      </w:r>
    </w:p>
    <w:p w14:paraId="25FAED3D">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第二十</w:t>
      </w:r>
      <w:r>
        <w:rPr>
          <w:rFonts w:hint="eastAsia" w:ascii="Nimbus Roman No9 L" w:hAnsi="Nimbus Roman No9 L" w:eastAsia="仿宋_GB2312" w:cs="Nimbus Roman No9 L"/>
          <w:b/>
          <w:bCs/>
          <w:sz w:val="32"/>
          <w:szCs w:val="32"/>
          <w:highlight w:val="none"/>
          <w:lang w:val="en-US" w:eastAsia="zh-CN"/>
        </w:rPr>
        <w:t>七</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评标委员会应当向招标人提交书面评标报告，并推荐不超过</w:t>
      </w:r>
      <w:r>
        <w:rPr>
          <w:rFonts w:hint="default" w:ascii="Nimbus Roman No9 L" w:hAnsi="Nimbus Roman No9 L" w:eastAsia="仿宋_GB2312" w:cs="Nimbus Roman No9 L"/>
          <w:kern w:val="2"/>
          <w:sz w:val="32"/>
          <w:szCs w:val="32"/>
          <w:highlight w:val="none"/>
          <w:lang w:val="en-US" w:eastAsia="zh-CN" w:bidi="ar-SA"/>
        </w:rPr>
        <w:t>3</w:t>
      </w:r>
      <w:r>
        <w:rPr>
          <w:rFonts w:hint="default" w:ascii="Nimbus Roman No9 L" w:hAnsi="Nimbus Roman No9 L" w:eastAsia="仿宋_GB2312" w:cs="Nimbus Roman No9 L"/>
          <w:sz w:val="32"/>
          <w:szCs w:val="32"/>
          <w:highlight w:val="none"/>
        </w:rPr>
        <w:t>个有排序的中标候选人；</w:t>
      </w:r>
      <w:r>
        <w:rPr>
          <w:rFonts w:hint="eastAsia" w:ascii="Nimbus Roman No9 L" w:hAnsi="Nimbus Roman No9 L" w:eastAsia="仿宋_GB2312" w:cs="Nimbus Roman No9 L"/>
          <w:sz w:val="32"/>
          <w:szCs w:val="32"/>
          <w:highlight w:val="none"/>
          <w:lang w:val="en-US" w:eastAsia="zh-CN"/>
        </w:rPr>
        <w:t>采用招标“</w:t>
      </w:r>
      <w:r>
        <w:rPr>
          <w:rFonts w:hint="default" w:ascii="Nimbus Roman No9 L" w:hAnsi="Nimbus Roman No9 L" w:eastAsia="仿宋_GB2312" w:cs="Nimbus Roman No9 L"/>
          <w:sz w:val="32"/>
          <w:szCs w:val="32"/>
          <w:highlight w:val="none"/>
        </w:rPr>
        <w:t>评定分离</w:t>
      </w:r>
      <w:r>
        <w:rPr>
          <w:rFonts w:hint="eastAsia" w:ascii="Nimbus Roman No9 L" w:hAnsi="Nimbus Roman No9 L" w:eastAsia="仿宋_GB2312" w:cs="Nimbus Roman No9 L"/>
          <w:sz w:val="32"/>
          <w:szCs w:val="32"/>
          <w:highlight w:val="none"/>
          <w:lang w:eastAsia="zh-CN"/>
        </w:rPr>
        <w:t>”</w:t>
      </w:r>
      <w:r>
        <w:rPr>
          <w:rFonts w:hint="eastAsia" w:ascii="Nimbus Roman No9 L" w:hAnsi="Nimbus Roman No9 L" w:eastAsia="仿宋_GB2312" w:cs="Nimbus Roman No9 L"/>
          <w:sz w:val="32"/>
          <w:szCs w:val="32"/>
          <w:highlight w:val="none"/>
          <w:lang w:val="en-US" w:eastAsia="zh-CN"/>
        </w:rPr>
        <w:t>方式</w:t>
      </w:r>
      <w:r>
        <w:rPr>
          <w:rFonts w:hint="default" w:ascii="Nimbus Roman No9 L" w:hAnsi="Nimbus Roman No9 L" w:eastAsia="仿宋_GB2312" w:cs="Nimbus Roman No9 L"/>
          <w:sz w:val="32"/>
          <w:szCs w:val="32"/>
          <w:highlight w:val="none"/>
        </w:rPr>
        <w:t>的项目推荐</w:t>
      </w:r>
      <w:r>
        <w:rPr>
          <w:rFonts w:hint="default" w:ascii="Nimbus Roman No9 L" w:hAnsi="Nimbus Roman No9 L" w:eastAsia="仿宋_GB2312" w:cs="Nimbus Roman No9 L"/>
          <w:kern w:val="2"/>
          <w:sz w:val="32"/>
          <w:szCs w:val="32"/>
          <w:highlight w:val="none"/>
          <w:lang w:val="en-US" w:eastAsia="zh-CN" w:bidi="ar-SA"/>
        </w:rPr>
        <w:t>3</w:t>
      </w:r>
      <w:r>
        <w:rPr>
          <w:rFonts w:hint="eastAsia" w:ascii="Nimbus Roman No9 L" w:hAnsi="Nimbus Roman No9 L" w:eastAsia="仿宋_GB2312" w:cs="Nimbus Roman No9 L"/>
          <w:kern w:val="2"/>
          <w:sz w:val="32"/>
          <w:szCs w:val="32"/>
          <w:highlight w:val="none"/>
          <w:lang w:val="en-US" w:eastAsia="zh-CN" w:bidi="ar-SA"/>
        </w:rPr>
        <w:t>—</w:t>
      </w:r>
      <w:r>
        <w:rPr>
          <w:rFonts w:hint="default" w:ascii="Nimbus Roman No9 L" w:hAnsi="Nimbus Roman No9 L" w:eastAsia="仿宋_GB2312" w:cs="Nimbus Roman No9 L"/>
          <w:kern w:val="2"/>
          <w:sz w:val="32"/>
          <w:szCs w:val="32"/>
          <w:highlight w:val="none"/>
          <w:lang w:val="en-US" w:eastAsia="zh-CN" w:bidi="ar-SA"/>
        </w:rPr>
        <w:t>5</w:t>
      </w:r>
      <w:r>
        <w:rPr>
          <w:rFonts w:hint="default" w:ascii="Nimbus Roman No9 L" w:hAnsi="Nimbus Roman No9 L" w:eastAsia="仿宋_GB2312" w:cs="Nimbus Roman No9 L"/>
          <w:sz w:val="32"/>
          <w:szCs w:val="32"/>
          <w:highlight w:val="none"/>
        </w:rPr>
        <w:t>个不排序的定标候选人，由招标人</w:t>
      </w:r>
      <w:r>
        <w:rPr>
          <w:rFonts w:hint="default" w:ascii="Nimbus Roman No9 L" w:hAnsi="Nimbus Roman No9 L" w:eastAsia="仿宋_GB2312" w:cs="Nimbus Roman No9 L"/>
          <w:sz w:val="32"/>
          <w:szCs w:val="32"/>
          <w:highlight w:val="none"/>
          <w:lang w:val="en-US" w:eastAsia="zh-CN"/>
        </w:rPr>
        <w:t>按照招标文件公布的定标方法</w:t>
      </w:r>
      <w:r>
        <w:rPr>
          <w:rFonts w:hint="default" w:ascii="Nimbus Roman No9 L" w:hAnsi="Nimbus Roman No9 L" w:eastAsia="仿宋_GB2312" w:cs="Nimbus Roman No9 L"/>
          <w:sz w:val="32"/>
          <w:szCs w:val="32"/>
          <w:highlight w:val="none"/>
        </w:rPr>
        <w:t>确定中标人。</w:t>
      </w:r>
    </w:p>
    <w:p w14:paraId="3581BE65">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投标人评标总得分相同时，按照其投标报价由低至高排序。</w:t>
      </w:r>
    </w:p>
    <w:p w14:paraId="1AB9E43A">
      <w:pPr>
        <w:pStyle w:val="8"/>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招标人应当在中标候选人公示前认真审查评标委员会提交的书面评标报告，发现异常情形的，依照法定程序进行复核，确认存在问题的，依照法定程序予以纠正。</w:t>
      </w:r>
    </w:p>
    <w:p w14:paraId="38BA05E2">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eastAsia" w:ascii="Nimbus Roman No9 L" w:hAnsi="Nimbus Roman No9 L" w:eastAsia="仿宋_GB2312" w:cs="Nimbus Roman No9 L"/>
          <w:b/>
          <w:bCs/>
          <w:sz w:val="32"/>
          <w:szCs w:val="32"/>
          <w:highlight w:val="none"/>
          <w:lang w:val="en-US" w:eastAsia="zh-CN"/>
        </w:rPr>
        <w:t xml:space="preserve">第二十八条 </w:t>
      </w:r>
      <w:r>
        <w:rPr>
          <w:rFonts w:hint="eastAsia" w:ascii="Nimbus Roman No9 L" w:hAnsi="Nimbus Roman No9 L" w:eastAsia="仿宋_GB2312" w:cs="Nimbus Roman No9 L"/>
          <w:b w:val="0"/>
          <w:bCs w:val="0"/>
          <w:sz w:val="32"/>
          <w:szCs w:val="32"/>
          <w:highlight w:val="none"/>
          <w:lang w:val="en-US" w:eastAsia="zh-CN"/>
        </w:rPr>
        <w:t xml:space="preserve"> </w:t>
      </w:r>
      <w:r>
        <w:rPr>
          <w:rFonts w:hint="default" w:ascii="Nimbus Roman No9 L" w:hAnsi="Nimbus Roman No9 L" w:eastAsia="仿宋_GB2312" w:cs="Nimbus Roman No9 L"/>
          <w:sz w:val="32"/>
          <w:szCs w:val="32"/>
          <w:highlight w:val="none"/>
        </w:rPr>
        <w:t xml:space="preserve">  依法可以不进行招标的建筑工程招标评标活动，可参照本办法执行。</w:t>
      </w:r>
    </w:p>
    <w:p w14:paraId="3901D3D2">
      <w:pPr>
        <w:pStyle w:val="8"/>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b/>
          <w:bCs/>
          <w:sz w:val="32"/>
          <w:szCs w:val="32"/>
          <w:highlight w:val="none"/>
        </w:rPr>
        <w:t>第</w:t>
      </w:r>
      <w:r>
        <w:rPr>
          <w:rFonts w:hint="eastAsia" w:ascii="Nimbus Roman No9 L" w:hAnsi="Nimbus Roman No9 L" w:eastAsia="仿宋_GB2312" w:cs="Nimbus Roman No9 L"/>
          <w:b/>
          <w:bCs/>
          <w:sz w:val="32"/>
          <w:szCs w:val="32"/>
          <w:highlight w:val="none"/>
          <w:lang w:val="en-US" w:eastAsia="zh-CN"/>
        </w:rPr>
        <w:t>二十九</w:t>
      </w:r>
      <w:r>
        <w:rPr>
          <w:rFonts w:hint="default" w:ascii="Nimbus Roman No9 L" w:hAnsi="Nimbus Roman No9 L" w:eastAsia="仿宋_GB2312" w:cs="Nimbus Roman No9 L"/>
          <w:b/>
          <w:bCs/>
          <w:sz w:val="32"/>
          <w:szCs w:val="32"/>
          <w:highlight w:val="none"/>
        </w:rPr>
        <w:t>条</w:t>
      </w:r>
      <w:r>
        <w:rPr>
          <w:rFonts w:hint="default" w:ascii="Nimbus Roman No9 L" w:hAnsi="Nimbus Roman No9 L" w:eastAsia="仿宋_GB2312" w:cs="Nimbus Roman No9 L"/>
          <w:sz w:val="32"/>
          <w:szCs w:val="32"/>
          <w:highlight w:val="none"/>
        </w:rPr>
        <w:t xml:space="preserve">  本办法由自治区住房城乡建设厅</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兵团住房城乡建设局</w:t>
      </w:r>
      <w:r>
        <w:rPr>
          <w:rFonts w:hint="default" w:ascii="Nimbus Roman No9 L" w:hAnsi="Nimbus Roman No9 L" w:eastAsia="仿宋_GB2312" w:cs="Nimbus Roman No9 L"/>
          <w:sz w:val="32"/>
          <w:szCs w:val="32"/>
          <w:highlight w:val="none"/>
        </w:rPr>
        <w:t>负责解释。</w:t>
      </w:r>
    </w:p>
    <w:p w14:paraId="07F40662">
      <w:pPr>
        <w:pStyle w:val="8"/>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b/>
          <w:bCs/>
          <w:sz w:val="32"/>
          <w:szCs w:val="32"/>
          <w:highlight w:val="none"/>
        </w:rPr>
        <w:t>第</w:t>
      </w:r>
      <w:r>
        <w:rPr>
          <w:rFonts w:hint="default" w:ascii="Nimbus Roman No9 L" w:hAnsi="Nimbus Roman No9 L" w:eastAsia="仿宋_GB2312" w:cs="Nimbus Roman No9 L"/>
          <w:b/>
          <w:bCs/>
          <w:sz w:val="32"/>
          <w:szCs w:val="32"/>
          <w:highlight w:val="none"/>
          <w:lang w:val="en-US" w:eastAsia="zh-CN"/>
        </w:rPr>
        <w:t>三</w:t>
      </w:r>
      <w:r>
        <w:rPr>
          <w:rFonts w:hint="default" w:ascii="Nimbus Roman No9 L" w:hAnsi="Nimbus Roman No9 L" w:eastAsia="仿宋_GB2312" w:cs="Nimbus Roman No9 L"/>
          <w:b/>
          <w:bCs/>
          <w:sz w:val="32"/>
          <w:szCs w:val="32"/>
          <w:highlight w:val="none"/>
        </w:rPr>
        <w:t>十条</w:t>
      </w:r>
      <w:r>
        <w:rPr>
          <w:rFonts w:hint="default" w:ascii="Nimbus Roman No9 L" w:hAnsi="Nimbus Roman No9 L" w:eastAsia="仿宋_GB2312" w:cs="Nimbus Roman No9 L"/>
          <w:sz w:val="32"/>
          <w:szCs w:val="32"/>
          <w:highlight w:val="none"/>
        </w:rPr>
        <w:t xml:space="preserve">  本办法</w:t>
      </w:r>
      <w:r>
        <w:rPr>
          <w:rFonts w:hint="default" w:ascii="Nimbus Roman No9 L" w:hAnsi="Nimbus Roman No9 L" w:eastAsia="仿宋_GB2312" w:cs="Nimbus Roman No9 L"/>
          <w:kern w:val="2"/>
          <w:sz w:val="32"/>
          <w:szCs w:val="32"/>
          <w:highlight w:val="none"/>
          <w:lang w:val="en-US" w:eastAsia="zh-CN" w:bidi="ar-SA"/>
        </w:rPr>
        <w:t>自</w:t>
      </w:r>
      <w:r>
        <w:rPr>
          <w:rFonts w:hint="eastAsia" w:ascii="Nimbus Roman No9 L" w:hAnsi="Nimbus Roman No9 L" w:eastAsia="仿宋_GB2312" w:cs="Nimbus Roman No9 L"/>
          <w:color w:val="auto"/>
          <w:kern w:val="2"/>
          <w:sz w:val="32"/>
          <w:szCs w:val="32"/>
          <w:highlight w:val="none"/>
          <w:lang w:val="en-US" w:eastAsia="zh-CN" w:bidi="ar-SA"/>
        </w:rPr>
        <w:t>2026</w:t>
      </w:r>
      <w:r>
        <w:rPr>
          <w:rFonts w:hint="default" w:ascii="Nimbus Roman No9 L" w:hAnsi="Nimbus Roman No9 L" w:eastAsia="仿宋_GB2312" w:cs="Nimbus Roman No9 L"/>
          <w:color w:val="auto"/>
          <w:kern w:val="2"/>
          <w:sz w:val="32"/>
          <w:szCs w:val="32"/>
          <w:highlight w:val="none"/>
          <w:lang w:val="en-US" w:eastAsia="zh-CN" w:bidi="ar-SA"/>
        </w:rPr>
        <w:t>年</w:t>
      </w:r>
      <w:r>
        <w:rPr>
          <w:rFonts w:hint="eastAsia" w:ascii="Nimbus Roman No9 L" w:hAnsi="Nimbus Roman No9 L" w:eastAsia="仿宋_GB2312" w:cs="Nimbus Roman No9 L"/>
          <w:color w:val="auto"/>
          <w:kern w:val="2"/>
          <w:sz w:val="32"/>
          <w:szCs w:val="32"/>
          <w:highlight w:val="none"/>
          <w:lang w:val="en-US" w:eastAsia="zh-CN" w:bidi="ar-SA"/>
        </w:rPr>
        <w:t xml:space="preserve">  </w:t>
      </w:r>
      <w:bookmarkStart w:id="0" w:name="_GoBack"/>
      <w:bookmarkEnd w:id="0"/>
      <w:r>
        <w:rPr>
          <w:rFonts w:hint="default" w:ascii="Nimbus Roman No9 L" w:hAnsi="Nimbus Roman No9 L" w:eastAsia="仿宋_GB2312" w:cs="Nimbus Roman No9 L"/>
          <w:color w:val="auto"/>
          <w:kern w:val="2"/>
          <w:sz w:val="32"/>
          <w:szCs w:val="32"/>
          <w:highlight w:val="none"/>
          <w:lang w:val="en-US" w:eastAsia="zh-CN" w:bidi="ar-SA"/>
        </w:rPr>
        <w:t>月</w:t>
      </w:r>
      <w:r>
        <w:rPr>
          <w:rFonts w:hint="eastAsia" w:ascii="Nimbus Roman No9 L" w:hAnsi="Nimbus Roman No9 L" w:eastAsia="仿宋_GB2312" w:cs="Nimbus Roman No9 L"/>
          <w:color w:val="auto"/>
          <w:kern w:val="2"/>
          <w:sz w:val="32"/>
          <w:szCs w:val="32"/>
          <w:highlight w:val="none"/>
          <w:lang w:val="en-US" w:eastAsia="zh-CN" w:bidi="ar-SA"/>
        </w:rPr>
        <w:t xml:space="preserve">  </w:t>
      </w:r>
      <w:r>
        <w:rPr>
          <w:rFonts w:hint="default" w:ascii="Nimbus Roman No9 L" w:hAnsi="Nimbus Roman No9 L" w:eastAsia="仿宋_GB2312" w:cs="Nimbus Roman No9 L"/>
          <w:color w:val="auto"/>
          <w:kern w:val="2"/>
          <w:sz w:val="32"/>
          <w:szCs w:val="32"/>
          <w:highlight w:val="none"/>
          <w:lang w:val="en-US" w:eastAsia="zh-CN" w:bidi="ar-SA"/>
        </w:rPr>
        <w:t>日</w:t>
      </w:r>
      <w:r>
        <w:rPr>
          <w:rFonts w:hint="default" w:ascii="Nimbus Roman No9 L" w:hAnsi="Nimbus Roman No9 L" w:eastAsia="仿宋_GB2312" w:cs="Nimbus Roman No9 L"/>
          <w:sz w:val="32"/>
          <w:szCs w:val="32"/>
          <w:highlight w:val="none"/>
        </w:rPr>
        <w:t>起施行，有效期</w:t>
      </w:r>
      <w:r>
        <w:rPr>
          <w:rFonts w:hint="default" w:ascii="Nimbus Roman No9 L" w:hAnsi="Nimbus Roman No9 L" w:eastAsia="仿宋_GB2312" w:cs="Nimbus Roman No9 L"/>
          <w:sz w:val="32"/>
          <w:szCs w:val="32"/>
          <w:highlight w:val="none"/>
          <w:lang w:val="en-US" w:eastAsia="zh-CN"/>
        </w:rPr>
        <w:t>为</w:t>
      </w:r>
      <w:r>
        <w:rPr>
          <w:rFonts w:hint="eastAsia" w:ascii="Nimbus Roman No9 L" w:hAnsi="Nimbus Roman No9 L" w:eastAsia="仿宋_GB2312" w:cs="Nimbus Roman No9 L"/>
          <w:kern w:val="2"/>
          <w:sz w:val="32"/>
          <w:szCs w:val="32"/>
          <w:highlight w:val="none"/>
          <w:lang w:val="en-US" w:eastAsia="zh-CN" w:bidi="ar-SA"/>
        </w:rPr>
        <w:t>5</w:t>
      </w:r>
      <w:r>
        <w:rPr>
          <w:rFonts w:hint="default" w:ascii="Nimbus Roman No9 L" w:hAnsi="Nimbus Roman No9 L" w:eastAsia="仿宋_GB2312" w:cs="Nimbus Roman No9 L"/>
          <w:sz w:val="32"/>
          <w:szCs w:val="32"/>
          <w:highlight w:val="none"/>
          <w:lang w:val="en-US" w:eastAsia="zh-CN"/>
        </w:rPr>
        <w:t>年</w:t>
      </w:r>
      <w:r>
        <w:rPr>
          <w:rFonts w:hint="default" w:ascii="Nimbus Roman No9 L" w:hAnsi="Nimbus Roman No9 L" w:eastAsia="仿宋_GB2312" w:cs="Nimbus Roman No9 L"/>
          <w:sz w:val="32"/>
          <w:szCs w:val="32"/>
          <w:highlight w:val="none"/>
        </w:rPr>
        <w:t>。</w:t>
      </w:r>
      <w:r>
        <w:rPr>
          <w:rFonts w:hint="default" w:ascii="Nimbus Roman No9 L" w:hAnsi="Nimbus Roman No9 L" w:eastAsia="仿宋_GB2312" w:cs="Nimbus Roman No9 L"/>
          <w:color w:val="auto"/>
          <w:sz w:val="32"/>
          <w:szCs w:val="32"/>
          <w:highlight w:val="none"/>
        </w:rPr>
        <w:t>《新疆维吾尔自治区房屋建筑和市政基础设施工程施工评标办法》（新建</w:t>
      </w:r>
      <w:r>
        <w:rPr>
          <w:rFonts w:hint="eastAsia" w:ascii="Nimbus Roman No9 L" w:hAnsi="Nimbus Roman No9 L" w:eastAsia="仿宋_GB2312" w:cs="Nimbus Roman No9 L"/>
          <w:color w:val="auto"/>
          <w:sz w:val="32"/>
          <w:szCs w:val="32"/>
          <w:highlight w:val="none"/>
          <w:lang w:val="en-US" w:eastAsia="zh-CN"/>
        </w:rPr>
        <w:t>规</w:t>
      </w:r>
      <w:r>
        <w:rPr>
          <w:rFonts w:hint="default" w:ascii="Nimbus Roman No9 L" w:hAnsi="Nimbus Roman No9 L" w:eastAsia="仿宋_GB2312" w:cs="Nimbus Roman No9 L"/>
          <w:color w:val="auto"/>
          <w:sz w:val="32"/>
          <w:szCs w:val="32"/>
          <w:highlight w:val="none"/>
          <w:lang w:val="en-US" w:eastAsia="zh-CN"/>
        </w:rPr>
        <w:t>〔</w:t>
      </w:r>
      <w:r>
        <w:rPr>
          <w:rFonts w:hint="eastAsia" w:ascii="Nimbus Roman No9 L" w:hAnsi="Nimbus Roman No9 L" w:eastAsia="仿宋_GB2312" w:cs="Nimbus Roman No9 L"/>
          <w:color w:val="auto"/>
          <w:kern w:val="2"/>
          <w:sz w:val="32"/>
          <w:szCs w:val="32"/>
          <w:highlight w:val="none"/>
          <w:lang w:val="en-US" w:eastAsia="zh-CN" w:bidi="ar-SA"/>
        </w:rPr>
        <w:t>2024</w:t>
      </w:r>
      <w:r>
        <w:rPr>
          <w:rFonts w:hint="default" w:ascii="Nimbus Roman No9 L" w:hAnsi="Nimbus Roman No9 L" w:eastAsia="仿宋_GB2312" w:cs="Nimbus Roman No9 L"/>
          <w:color w:val="auto"/>
          <w:sz w:val="32"/>
          <w:szCs w:val="32"/>
          <w:highlight w:val="none"/>
          <w:lang w:val="en-US" w:eastAsia="zh-CN"/>
        </w:rPr>
        <w:t>〕</w:t>
      </w:r>
      <w:r>
        <w:rPr>
          <w:rFonts w:hint="eastAsia" w:ascii="Nimbus Roman No9 L" w:hAnsi="Nimbus Roman No9 L" w:eastAsia="仿宋_GB2312" w:cs="Nimbus Roman No9 L"/>
          <w:color w:val="auto"/>
          <w:kern w:val="2"/>
          <w:sz w:val="32"/>
          <w:szCs w:val="32"/>
          <w:highlight w:val="none"/>
          <w:lang w:val="en-US" w:eastAsia="zh-CN" w:bidi="ar-SA"/>
        </w:rPr>
        <w:t>2</w:t>
      </w:r>
      <w:r>
        <w:rPr>
          <w:rFonts w:hint="default" w:ascii="Nimbus Roman No9 L" w:hAnsi="Nimbus Roman No9 L" w:eastAsia="仿宋_GB2312" w:cs="Nimbus Roman No9 L"/>
          <w:color w:val="auto"/>
          <w:sz w:val="32"/>
          <w:szCs w:val="32"/>
          <w:highlight w:val="none"/>
        </w:rPr>
        <w:t>号）同时废止。</w:t>
      </w:r>
    </w:p>
    <w:p w14:paraId="3645BA70">
      <w:pPr>
        <w:pStyle w:val="8"/>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lang w:val="en-US" w:eastAsia="zh-CN"/>
        </w:rPr>
      </w:pPr>
    </w:p>
    <w:p w14:paraId="242AABB4">
      <w:pPr>
        <w:pStyle w:val="8"/>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Nimbus Roman No9 L" w:hAnsi="Nimbus Roman No9 L" w:eastAsia="仿宋_GB2312" w:cs="Nimbus Roman No9 L"/>
          <w:sz w:val="32"/>
          <w:szCs w:val="32"/>
          <w:highlight w:val="none"/>
        </w:rPr>
      </w:pPr>
      <w:r>
        <w:rPr>
          <w:rFonts w:hint="eastAsia" w:ascii="Nimbus Roman No9 L" w:hAnsi="Nimbus Roman No9 L" w:eastAsia="仿宋_GB2312" w:cs="Nimbus Roman No9 L"/>
          <w:sz w:val="32"/>
          <w:szCs w:val="32"/>
          <w:highlight w:val="none"/>
          <w:lang w:val="en-US" w:eastAsia="zh-CN"/>
        </w:rPr>
        <w:t>附件</w:t>
      </w:r>
      <w:r>
        <w:rPr>
          <w:rFonts w:hint="default" w:ascii="Nimbus Roman No9 L" w:hAnsi="Nimbus Roman No9 L" w:eastAsia="仿宋_GB2312" w:cs="Nimbus Roman No9 L"/>
          <w:sz w:val="32"/>
          <w:szCs w:val="32"/>
          <w:highlight w:val="none"/>
        </w:rPr>
        <w:t>：1</w:t>
      </w:r>
      <w:r>
        <w:rPr>
          <w:rFonts w:hint="default" w:ascii="Nimbus Roman No9 L" w:hAnsi="Nimbus Roman No9 L" w:eastAsia="仿宋_GB2312" w:cs="Nimbus Roman No9 L"/>
          <w:sz w:val="32"/>
          <w:szCs w:val="32"/>
          <w:highlight w:val="none"/>
          <w:lang w:val="en-US" w:eastAsia="zh-CN"/>
        </w:rPr>
        <w:t>.</w:t>
      </w:r>
      <w:r>
        <w:rPr>
          <w:rFonts w:hint="default" w:ascii="Nimbus Roman No9 L" w:hAnsi="Nimbus Roman No9 L" w:eastAsia="仿宋_GB2312" w:cs="Nimbus Roman No9 L"/>
          <w:sz w:val="32"/>
          <w:szCs w:val="32"/>
          <w:highlight w:val="none"/>
        </w:rPr>
        <w:t>建筑工程施工评标标准</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综合评估法</w:t>
      </w:r>
    </w:p>
    <w:p w14:paraId="0AC8B2E9">
      <w:pPr>
        <w:pStyle w:val="8"/>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Nimbus Roman No9 L" w:hAnsi="Nimbus Roman No9 L" w:eastAsia="仿宋_GB2312" w:cs="Nimbus Roman No9 L"/>
          <w:w w:val="90"/>
          <w:sz w:val="32"/>
          <w:szCs w:val="32"/>
          <w:highlight w:val="none"/>
        </w:rPr>
      </w:pPr>
      <w:r>
        <w:rPr>
          <w:rFonts w:hint="default" w:ascii="Nimbus Roman No9 L" w:hAnsi="Nimbus Roman No9 L" w:eastAsia="仿宋_GB2312" w:cs="Nimbus Roman No9 L"/>
          <w:sz w:val="32"/>
          <w:szCs w:val="32"/>
          <w:highlight w:val="none"/>
        </w:rPr>
        <w:t>2</w:t>
      </w:r>
      <w:r>
        <w:rPr>
          <w:rFonts w:hint="default" w:ascii="Nimbus Roman No9 L" w:hAnsi="Nimbus Roman No9 L" w:eastAsia="仿宋_GB2312" w:cs="Nimbus Roman No9 L"/>
          <w:sz w:val="32"/>
          <w:szCs w:val="32"/>
          <w:highlight w:val="none"/>
          <w:lang w:val="en-US" w:eastAsia="zh-CN"/>
        </w:rPr>
        <w:t>.</w:t>
      </w:r>
      <w:r>
        <w:rPr>
          <w:rFonts w:hint="default" w:ascii="Nimbus Roman No9 L" w:hAnsi="Nimbus Roman No9 L" w:eastAsia="仿宋_GB2312" w:cs="Nimbus Roman No9 L"/>
          <w:w w:val="90"/>
          <w:sz w:val="32"/>
          <w:szCs w:val="32"/>
          <w:highlight w:val="none"/>
        </w:rPr>
        <w:t>建筑工程施工评标标准</w:t>
      </w:r>
      <w:r>
        <w:rPr>
          <w:rFonts w:hint="default" w:ascii="Nimbus Roman No9 L" w:hAnsi="Nimbus Roman No9 L" w:eastAsia="仿宋_GB2312" w:cs="Nimbus Roman No9 L"/>
          <w:w w:val="90"/>
          <w:sz w:val="32"/>
          <w:szCs w:val="32"/>
          <w:highlight w:val="none"/>
          <w:lang w:eastAsia="zh-CN"/>
        </w:rPr>
        <w:t>——</w:t>
      </w:r>
      <w:r>
        <w:rPr>
          <w:rFonts w:hint="default" w:ascii="Nimbus Roman No9 L" w:hAnsi="Nimbus Roman No9 L" w:eastAsia="仿宋_GB2312" w:cs="Nimbus Roman No9 L"/>
          <w:w w:val="90"/>
          <w:sz w:val="32"/>
          <w:szCs w:val="32"/>
          <w:highlight w:val="none"/>
        </w:rPr>
        <w:t>经评审的最低投标价法</w:t>
      </w:r>
    </w:p>
    <w:p w14:paraId="3D87A7E3">
      <w:pPr>
        <w:pStyle w:val="8"/>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Nimbus Roman No9 L" w:hAnsi="Nimbus Roman No9 L" w:eastAsia="仿宋_GB2312" w:cs="Nimbus Roman No9 L"/>
          <w:sz w:val="32"/>
          <w:szCs w:val="32"/>
          <w:highlight w:val="none"/>
        </w:rPr>
        <w:sectPr>
          <w:footerReference r:id="rId3" w:type="default"/>
          <w:pgSz w:w="11906" w:h="16838"/>
          <w:pgMar w:top="2098" w:right="1531" w:bottom="1984" w:left="1531"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pPr>
      <w:r>
        <w:rPr>
          <w:rFonts w:hint="default" w:ascii="Nimbus Roman No9 L" w:hAnsi="Nimbus Roman No9 L" w:eastAsia="仿宋_GB2312" w:cs="Nimbus Roman No9 L"/>
          <w:sz w:val="32"/>
          <w:szCs w:val="32"/>
          <w:highlight w:val="none"/>
        </w:rPr>
        <w:t>3</w:t>
      </w:r>
      <w:r>
        <w:rPr>
          <w:rFonts w:hint="default" w:ascii="Nimbus Roman No9 L" w:hAnsi="Nimbus Roman No9 L" w:eastAsia="仿宋_GB2312" w:cs="Nimbus Roman No9 L"/>
          <w:sz w:val="32"/>
          <w:szCs w:val="32"/>
          <w:highlight w:val="none"/>
          <w:lang w:val="en-US" w:eastAsia="zh-CN"/>
        </w:rPr>
        <w:t>.</w:t>
      </w:r>
      <w:r>
        <w:rPr>
          <w:rFonts w:hint="default" w:ascii="Nimbus Roman No9 L" w:hAnsi="Nimbus Roman No9 L" w:eastAsia="仿宋_GB2312" w:cs="Nimbus Roman No9 L"/>
          <w:sz w:val="32"/>
          <w:szCs w:val="32"/>
          <w:highlight w:val="none"/>
        </w:rPr>
        <w:t>建筑工程施工评标标准</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定性评审法</w:t>
      </w:r>
    </w:p>
    <w:p w14:paraId="4CBE7873">
      <w:pPr>
        <w:spacing w:line="440" w:lineRule="exact"/>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附件</w:t>
      </w:r>
      <w:r>
        <w:rPr>
          <w:rFonts w:hint="eastAsia" w:ascii="黑体" w:hAnsi="黑体" w:eastAsia="黑体" w:cs="黑体"/>
          <w:b w:val="0"/>
          <w:bCs w:val="0"/>
          <w:sz w:val="32"/>
          <w:szCs w:val="32"/>
          <w:highlight w:val="none"/>
        </w:rPr>
        <w:t>1</w:t>
      </w:r>
    </w:p>
    <w:p w14:paraId="62280F09">
      <w:pPr>
        <w:pStyle w:val="11"/>
        <w:rPr>
          <w:rFonts w:hint="eastAsia" w:ascii="Calibri" w:hAnsi="Calibri" w:eastAsia="宋体" w:cs="Times New Roman"/>
          <w:b w:val="0"/>
          <w:bCs w:val="0"/>
          <w:sz w:val="21"/>
          <w:szCs w:val="24"/>
          <w:highlight w:val="none"/>
        </w:rPr>
      </w:pPr>
    </w:p>
    <w:p w14:paraId="12E94D02">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default" w:ascii="Nimbus Roman No9 L" w:hAnsi="Nimbus Roman No9 L" w:eastAsia="方正小标宋简体" w:cs="Nimbus Roman No9 L"/>
          <w:kern w:val="0"/>
          <w:sz w:val="44"/>
          <w:szCs w:val="44"/>
          <w:highlight w:val="none"/>
        </w:rPr>
      </w:pPr>
      <w:r>
        <w:rPr>
          <w:rFonts w:hint="default" w:ascii="Nimbus Roman No9 L" w:hAnsi="Nimbus Roman No9 L" w:eastAsia="方正小标宋简体" w:cs="Nimbus Roman No9 L"/>
          <w:kern w:val="0"/>
          <w:sz w:val="44"/>
          <w:szCs w:val="44"/>
          <w:highlight w:val="none"/>
        </w:rPr>
        <w:t>建筑工程施工评标标准</w:t>
      </w:r>
      <w:r>
        <w:rPr>
          <w:rFonts w:hint="eastAsia" w:ascii="Nimbus Roman No9 L" w:hAnsi="Nimbus Roman No9 L" w:eastAsia="方正小标宋简体" w:cs="Nimbus Roman No9 L"/>
          <w:kern w:val="0"/>
          <w:sz w:val="44"/>
          <w:szCs w:val="44"/>
          <w:highlight w:val="none"/>
          <w:lang w:eastAsia="zh-CN"/>
        </w:rPr>
        <w:t>—</w:t>
      </w:r>
      <w:r>
        <w:rPr>
          <w:rFonts w:hint="default" w:ascii="Nimbus Roman No9 L" w:hAnsi="Nimbus Roman No9 L" w:eastAsia="方正小标宋简体" w:cs="Nimbus Roman No9 L"/>
          <w:kern w:val="0"/>
          <w:sz w:val="44"/>
          <w:szCs w:val="44"/>
          <w:highlight w:val="none"/>
        </w:rPr>
        <w:t>综合评估法</w:t>
      </w:r>
    </w:p>
    <w:p w14:paraId="081861A8">
      <w:pPr>
        <w:pStyle w:val="11"/>
        <w:rPr>
          <w:rFonts w:hint="default"/>
          <w:lang w:val="en-US" w:eastAsia="zh-CN"/>
        </w:rPr>
      </w:pPr>
    </w:p>
    <w:p w14:paraId="3666301A">
      <w:pPr>
        <w:numPr>
          <w:ilvl w:val="0"/>
          <w:numId w:val="0"/>
        </w:numPr>
        <w:ind w:firstLine="640" w:firstLineChars="200"/>
        <w:rPr>
          <w:rFonts w:hint="default" w:ascii="Nimbus Roman No9 L" w:hAnsi="Nimbus Roman No9 L" w:eastAsia="黑体" w:cs="Nimbus Roman No9 L"/>
          <w:b w:val="0"/>
          <w:bCs w:val="0"/>
          <w:sz w:val="32"/>
          <w:szCs w:val="32"/>
          <w:highlight w:val="none"/>
        </w:rPr>
      </w:pPr>
      <w:r>
        <w:rPr>
          <w:rFonts w:hint="default" w:ascii="Nimbus Roman No9 L" w:hAnsi="Nimbus Roman No9 L" w:eastAsia="黑体" w:cs="Nimbus Roman No9 L"/>
          <w:b w:val="0"/>
          <w:bCs w:val="0"/>
          <w:sz w:val="32"/>
          <w:szCs w:val="32"/>
          <w:highlight w:val="none"/>
          <w:lang w:val="en-US" w:eastAsia="zh-CN"/>
        </w:rPr>
        <w:t>一、</w:t>
      </w:r>
      <w:r>
        <w:rPr>
          <w:rFonts w:hint="default" w:ascii="Nimbus Roman No9 L" w:hAnsi="Nimbus Roman No9 L" w:eastAsia="黑体" w:cs="Nimbus Roman No9 L"/>
          <w:b w:val="0"/>
          <w:bCs w:val="0"/>
          <w:sz w:val="32"/>
          <w:szCs w:val="32"/>
          <w:highlight w:val="none"/>
        </w:rPr>
        <w:t>适用范围</w:t>
      </w:r>
    </w:p>
    <w:p w14:paraId="64977BA8">
      <w:pPr>
        <w:pStyle w:val="2"/>
        <w:spacing w:line="540" w:lineRule="exact"/>
        <w:ind w:left="0" w:leftChars="0"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技术特别复杂</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具有特殊专业技术要求的建筑工程施工项目。</w:t>
      </w:r>
    </w:p>
    <w:p w14:paraId="2F30B942">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符合下列情形之一的，应当采用综合评估法：</w:t>
      </w:r>
    </w:p>
    <w:p w14:paraId="678E1D46">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1</w:t>
      </w:r>
      <w:r>
        <w:rPr>
          <w:rFonts w:hint="eastAsia" w:ascii="Nimbus Roman No9 L" w:hAnsi="Nimbus Roman No9 L" w:eastAsia="仿宋_GB2312" w:cs="Nimbus Roman No9 L"/>
          <w:sz w:val="32"/>
          <w:szCs w:val="32"/>
          <w:highlight w:val="none"/>
          <w:lang w:val="en-US" w:eastAsia="zh-CN"/>
        </w:rPr>
        <w:t>.</w:t>
      </w:r>
      <w:r>
        <w:rPr>
          <w:rFonts w:hint="default" w:ascii="Nimbus Roman No9 L" w:hAnsi="Nimbus Roman No9 L" w:eastAsia="仿宋_GB2312" w:cs="Nimbus Roman No9 L"/>
          <w:sz w:val="32"/>
          <w:szCs w:val="32"/>
          <w:highlight w:val="none"/>
          <w:lang w:val="en-US" w:eastAsia="zh-CN"/>
        </w:rPr>
        <w:t>施工总承包工程招标控制价超过2000万元（含）的；</w:t>
      </w:r>
    </w:p>
    <w:p w14:paraId="43989D91">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2</w:t>
      </w:r>
      <w:r>
        <w:rPr>
          <w:rFonts w:hint="eastAsia" w:ascii="Nimbus Roman No9 L" w:hAnsi="Nimbus Roman No9 L" w:eastAsia="仿宋_GB2312" w:cs="Nimbus Roman No9 L"/>
          <w:sz w:val="32"/>
          <w:szCs w:val="32"/>
          <w:highlight w:val="none"/>
          <w:lang w:val="en-US" w:eastAsia="zh-CN"/>
        </w:rPr>
        <w:t>.</w:t>
      </w:r>
      <w:r>
        <w:rPr>
          <w:rFonts w:hint="default" w:ascii="Nimbus Roman No9 L" w:hAnsi="Nimbus Roman No9 L" w:eastAsia="仿宋_GB2312" w:cs="Nimbus Roman No9 L"/>
          <w:sz w:val="32"/>
          <w:szCs w:val="32"/>
          <w:highlight w:val="none"/>
          <w:lang w:val="en-US" w:eastAsia="zh-CN"/>
        </w:rPr>
        <w:t>专业承包工程招标控制价超过800万元（含）的。</w:t>
      </w:r>
    </w:p>
    <w:p w14:paraId="4A9A68C5">
      <w:pPr>
        <w:pStyle w:val="2"/>
        <w:spacing w:line="540" w:lineRule="exact"/>
        <w:ind w:firstLine="640" w:firstLineChars="200"/>
        <w:rPr>
          <w:rFonts w:hint="default" w:ascii="Nimbus Roman No9 L" w:hAnsi="Nimbus Roman No9 L" w:eastAsia="黑体" w:cs="Nimbus Roman No9 L"/>
          <w:sz w:val="32"/>
          <w:szCs w:val="32"/>
          <w:highlight w:val="none"/>
          <w:lang w:val="en-US" w:eastAsia="zh-CN"/>
        </w:rPr>
      </w:pPr>
      <w:r>
        <w:rPr>
          <w:rFonts w:hint="default" w:ascii="Nimbus Roman No9 L" w:hAnsi="Nimbus Roman No9 L" w:eastAsia="黑体" w:cs="Nimbus Roman No9 L"/>
          <w:sz w:val="32"/>
          <w:szCs w:val="32"/>
          <w:highlight w:val="none"/>
          <w:lang w:val="en-US" w:eastAsia="zh-CN"/>
        </w:rPr>
        <w:t>二、</w:t>
      </w:r>
      <w:r>
        <w:rPr>
          <w:rFonts w:hint="default" w:ascii="Nimbus Roman No9 L" w:hAnsi="Nimbus Roman No9 L" w:eastAsia="黑体" w:cs="Nimbus Roman No9 L"/>
          <w:sz w:val="32"/>
          <w:szCs w:val="32"/>
          <w:highlight w:val="none"/>
        </w:rPr>
        <w:t>评审程序与方法</w:t>
      </w:r>
    </w:p>
    <w:p w14:paraId="6760A5AD">
      <w:pPr>
        <w:pStyle w:val="2"/>
        <w:spacing w:line="540" w:lineRule="exact"/>
        <w:ind w:firstLine="640" w:firstLineChars="200"/>
        <w:rPr>
          <w:rFonts w:hint="default" w:ascii="Nimbus Roman No9 L" w:hAnsi="Nimbus Roman No9 L" w:eastAsia="楷体" w:cs="Nimbus Roman No9 L"/>
          <w:sz w:val="32"/>
          <w:szCs w:val="32"/>
          <w:highlight w:val="none"/>
        </w:rPr>
      </w:pPr>
      <w:r>
        <w:rPr>
          <w:rFonts w:hint="default" w:ascii="Nimbus Roman No9 L" w:hAnsi="Nimbus Roman No9 L" w:eastAsia="楷体" w:cs="Nimbus Roman No9 L"/>
          <w:sz w:val="32"/>
          <w:szCs w:val="32"/>
          <w:highlight w:val="none"/>
          <w:lang w:eastAsia="zh-CN"/>
        </w:rPr>
        <w:t>（</w:t>
      </w:r>
      <w:r>
        <w:rPr>
          <w:rFonts w:hint="default" w:ascii="Nimbus Roman No9 L" w:hAnsi="Nimbus Roman No9 L" w:eastAsia="楷体" w:cs="Nimbus Roman No9 L"/>
          <w:sz w:val="32"/>
          <w:szCs w:val="32"/>
          <w:highlight w:val="none"/>
        </w:rPr>
        <w:t>一</w:t>
      </w:r>
      <w:r>
        <w:rPr>
          <w:rFonts w:hint="default" w:ascii="Nimbus Roman No9 L" w:hAnsi="Nimbus Roman No9 L" w:eastAsia="楷体" w:cs="Nimbus Roman No9 L"/>
          <w:sz w:val="32"/>
          <w:szCs w:val="32"/>
          <w:highlight w:val="none"/>
          <w:lang w:eastAsia="zh-CN"/>
        </w:rPr>
        <w:t>）</w:t>
      </w:r>
      <w:r>
        <w:rPr>
          <w:rFonts w:hint="default" w:ascii="Nimbus Roman No9 L" w:hAnsi="Nimbus Roman No9 L" w:eastAsia="楷体" w:cs="Nimbus Roman No9 L"/>
          <w:sz w:val="32"/>
          <w:szCs w:val="32"/>
          <w:highlight w:val="none"/>
        </w:rPr>
        <w:t>初步评审</w:t>
      </w:r>
    </w:p>
    <w:p w14:paraId="38A455AC">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按照本办法第十八条至第二十条及形式、资格和重大偏差评审标准（附表1-1、1-2、1-3）规定，对投标文件进行评审，对不符合相关规定和要求的投标文件予以否决。</w:t>
      </w:r>
    </w:p>
    <w:p w14:paraId="5080F333">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采取资格预审的，按照本办法第六条至第七条以及相关评审表格和招标文件的规定进行评审。</w:t>
      </w:r>
    </w:p>
    <w:p w14:paraId="77412100">
      <w:pPr>
        <w:pStyle w:val="2"/>
        <w:spacing w:line="540" w:lineRule="exact"/>
        <w:ind w:firstLine="729" w:firstLineChars="228"/>
        <w:rPr>
          <w:rFonts w:hint="default" w:ascii="Nimbus Roman No9 L" w:hAnsi="Nimbus Roman No9 L" w:eastAsia="楷体" w:cs="Nimbus Roman No9 L"/>
          <w:b w:val="0"/>
          <w:bCs w:val="0"/>
          <w:sz w:val="32"/>
          <w:szCs w:val="32"/>
          <w:highlight w:val="none"/>
        </w:rPr>
      </w:pPr>
      <w:r>
        <w:rPr>
          <w:rFonts w:hint="default" w:ascii="Nimbus Roman No9 L" w:hAnsi="Nimbus Roman No9 L" w:eastAsia="楷体" w:cs="Nimbus Roman No9 L"/>
          <w:b w:val="0"/>
          <w:bCs w:val="0"/>
          <w:sz w:val="32"/>
          <w:szCs w:val="32"/>
          <w:highlight w:val="none"/>
          <w:lang w:eastAsia="zh-CN"/>
        </w:rPr>
        <w:t>（</w:t>
      </w:r>
      <w:r>
        <w:rPr>
          <w:rFonts w:hint="default" w:ascii="Nimbus Roman No9 L" w:hAnsi="Nimbus Roman No9 L" w:eastAsia="楷体" w:cs="Nimbus Roman No9 L"/>
          <w:b w:val="0"/>
          <w:bCs w:val="0"/>
          <w:sz w:val="32"/>
          <w:szCs w:val="32"/>
          <w:highlight w:val="none"/>
          <w:lang w:val="en-US" w:eastAsia="zh-CN"/>
        </w:rPr>
        <w:t>二</w:t>
      </w:r>
      <w:r>
        <w:rPr>
          <w:rFonts w:hint="default" w:ascii="Nimbus Roman No9 L" w:hAnsi="Nimbus Roman No9 L" w:eastAsia="楷体" w:cs="Nimbus Roman No9 L"/>
          <w:b w:val="0"/>
          <w:bCs w:val="0"/>
          <w:sz w:val="32"/>
          <w:szCs w:val="32"/>
          <w:highlight w:val="none"/>
          <w:lang w:eastAsia="zh-CN"/>
        </w:rPr>
        <w:t>）</w:t>
      </w:r>
      <w:r>
        <w:rPr>
          <w:rFonts w:hint="default" w:ascii="Nimbus Roman No9 L" w:hAnsi="Nimbus Roman No9 L" w:eastAsia="楷体" w:cs="Nimbus Roman No9 L"/>
          <w:b w:val="0"/>
          <w:bCs w:val="0"/>
          <w:sz w:val="32"/>
          <w:szCs w:val="32"/>
          <w:highlight w:val="none"/>
        </w:rPr>
        <w:t>详细评审</w:t>
      </w:r>
    </w:p>
    <w:p w14:paraId="5409D740">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通过初步评审的投标人进入详细评审，评审程序如下：</w:t>
      </w:r>
    </w:p>
    <w:p w14:paraId="0755A073">
      <w:pPr>
        <w:pStyle w:val="2"/>
        <w:numPr>
          <w:ilvl w:val="0"/>
          <w:numId w:val="0"/>
        </w:numPr>
        <w:spacing w:line="540" w:lineRule="exact"/>
        <w:ind w:firstLine="643" w:firstLineChars="200"/>
        <w:rPr>
          <w:rFonts w:hint="default" w:ascii="Nimbus Roman No9 L" w:hAnsi="Nimbus Roman No9 L" w:eastAsia="仿宋_GB2312" w:cs="Nimbus Roman No9 L"/>
          <w:b/>
          <w:bCs/>
          <w:sz w:val="32"/>
          <w:szCs w:val="32"/>
          <w:highlight w:val="none"/>
          <w:lang w:val="en-US" w:eastAsia="zh-CN"/>
        </w:rPr>
      </w:pPr>
      <w:r>
        <w:rPr>
          <w:rFonts w:hint="default" w:ascii="Nimbus Roman No9 L" w:hAnsi="Nimbus Roman No9 L" w:eastAsia="仿宋_GB2312" w:cs="Nimbus Roman No9 L"/>
          <w:b/>
          <w:bCs/>
          <w:sz w:val="32"/>
          <w:szCs w:val="32"/>
          <w:highlight w:val="none"/>
          <w:lang w:val="en-US" w:eastAsia="zh-CN"/>
        </w:rPr>
        <w:t>1</w:t>
      </w:r>
      <w:r>
        <w:rPr>
          <w:rFonts w:hint="eastAsia" w:ascii="Nimbus Roman No9 L" w:hAnsi="Nimbus Roman No9 L" w:eastAsia="仿宋_GB2312" w:cs="Nimbus Roman No9 L"/>
          <w:b/>
          <w:bCs/>
          <w:sz w:val="32"/>
          <w:szCs w:val="32"/>
          <w:highlight w:val="none"/>
          <w:lang w:val="en-US" w:eastAsia="zh-CN"/>
        </w:rPr>
        <w:t>.</w:t>
      </w:r>
      <w:r>
        <w:rPr>
          <w:rFonts w:hint="default" w:ascii="Nimbus Roman No9 L" w:hAnsi="Nimbus Roman No9 L" w:eastAsia="仿宋_GB2312" w:cs="Nimbus Roman No9 L"/>
          <w:b/>
          <w:bCs/>
          <w:sz w:val="32"/>
          <w:szCs w:val="32"/>
          <w:highlight w:val="none"/>
          <w:lang w:val="en-US" w:eastAsia="zh-CN"/>
        </w:rPr>
        <w:t>商务标评审</w:t>
      </w:r>
    </w:p>
    <w:p w14:paraId="7FAD0C3C">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按照本办法商务标评审标准（附表1-4）的规定进行评审。</w:t>
      </w:r>
    </w:p>
    <w:p w14:paraId="23524B6E">
      <w:pPr>
        <w:pStyle w:val="2"/>
        <w:numPr>
          <w:ilvl w:val="0"/>
          <w:numId w:val="0"/>
        </w:numPr>
        <w:spacing w:line="540" w:lineRule="exact"/>
        <w:ind w:firstLine="643" w:firstLineChars="200"/>
        <w:rPr>
          <w:rFonts w:hint="default" w:ascii="Nimbus Roman No9 L" w:hAnsi="Nimbus Roman No9 L" w:eastAsia="仿宋_GB2312" w:cs="Nimbus Roman No9 L"/>
          <w:b/>
          <w:bCs/>
          <w:sz w:val="32"/>
          <w:szCs w:val="32"/>
          <w:highlight w:val="none"/>
          <w:lang w:val="en-US" w:eastAsia="zh-CN"/>
        </w:rPr>
      </w:pPr>
      <w:r>
        <w:rPr>
          <w:rFonts w:hint="default" w:ascii="Nimbus Roman No9 L" w:hAnsi="Nimbus Roman No9 L" w:eastAsia="仿宋_GB2312" w:cs="Nimbus Roman No9 L"/>
          <w:b/>
          <w:bCs/>
          <w:sz w:val="32"/>
          <w:szCs w:val="32"/>
          <w:highlight w:val="none"/>
          <w:lang w:val="en-US" w:eastAsia="zh-CN"/>
        </w:rPr>
        <w:t>2</w:t>
      </w:r>
      <w:r>
        <w:rPr>
          <w:rFonts w:hint="eastAsia" w:ascii="Nimbus Roman No9 L" w:hAnsi="Nimbus Roman No9 L" w:eastAsia="仿宋_GB2312" w:cs="Nimbus Roman No9 L"/>
          <w:b/>
          <w:bCs/>
          <w:sz w:val="32"/>
          <w:szCs w:val="32"/>
          <w:highlight w:val="none"/>
          <w:lang w:val="en-US" w:eastAsia="zh-CN"/>
        </w:rPr>
        <w:t>.</w:t>
      </w:r>
      <w:r>
        <w:rPr>
          <w:rFonts w:hint="default" w:ascii="Nimbus Roman No9 L" w:hAnsi="Nimbus Roman No9 L" w:eastAsia="仿宋_GB2312" w:cs="Nimbus Roman No9 L"/>
          <w:b/>
          <w:bCs/>
          <w:sz w:val="32"/>
          <w:szCs w:val="32"/>
          <w:highlight w:val="none"/>
          <w:lang w:val="en-US" w:eastAsia="zh-CN"/>
        </w:rPr>
        <w:t>技术标评审</w:t>
      </w:r>
    </w:p>
    <w:p w14:paraId="28A99FA6">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2.1 技术标评审由评标委员会按照本办法第二十一条及技术标评审标准（附表1-5、1-6）的规定进行评审。</w:t>
      </w:r>
    </w:p>
    <w:p w14:paraId="135DE320">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2.2 施工总承包招标控制价超过5000万元（含）以上、专业承包招标控制价超过1500万元（含）以上的项目，技术标可以采用合格制评审，也可以采用计分制评审的方式。</w:t>
      </w:r>
    </w:p>
    <w:p w14:paraId="271C347D">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2.3 施工总承包招标控制价在5000万元以下的、专业承包招标控制价在1500万元以下的项目，技术标原则上采用合格制评审。</w:t>
      </w:r>
    </w:p>
    <w:p w14:paraId="51EA32B6">
      <w:pPr>
        <w:pStyle w:val="2"/>
        <w:spacing w:line="540" w:lineRule="exact"/>
        <w:ind w:left="0" w:leftChars="0"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lang w:val="en-US" w:eastAsia="zh-CN"/>
        </w:rPr>
        <w:t>2.4 技术标计分制评审采取暗评方式，合格制评审采取明评方式。</w:t>
      </w:r>
    </w:p>
    <w:p w14:paraId="3A30483F">
      <w:pPr>
        <w:pStyle w:val="11"/>
        <w:keepNext w:val="0"/>
        <w:keepLines w:val="0"/>
        <w:pageBreakBefore w:val="0"/>
        <w:kinsoku/>
        <w:wordWrap/>
        <w:overflowPunct/>
        <w:topLinePunct w:val="0"/>
        <w:autoSpaceDE/>
        <w:autoSpaceDN/>
        <w:bidi w:val="0"/>
        <w:adjustRightInd/>
        <w:snapToGrid/>
        <w:spacing w:after="0" w:line="540" w:lineRule="exact"/>
        <w:ind w:left="0" w:leftChars="0" w:firstLine="643" w:firstLineChars="200"/>
        <w:textAlignment w:val="auto"/>
        <w:rPr>
          <w:rFonts w:hint="default" w:ascii="Nimbus Roman No9 L" w:hAnsi="Nimbus Roman No9 L" w:eastAsia="仿宋_GB2312" w:cs="Nimbus Roman No9 L"/>
          <w:b/>
          <w:bCs/>
          <w:sz w:val="32"/>
          <w:szCs w:val="32"/>
          <w:highlight w:val="none"/>
          <w:lang w:val="en-US" w:eastAsia="zh-CN"/>
        </w:rPr>
      </w:pPr>
      <w:r>
        <w:rPr>
          <w:rFonts w:hint="eastAsia" w:ascii="Nimbus Roman No9 L" w:hAnsi="Nimbus Roman No9 L" w:eastAsia="仿宋_GB2312" w:cs="Nimbus Roman No9 L"/>
          <w:b/>
          <w:bCs/>
          <w:sz w:val="32"/>
          <w:szCs w:val="32"/>
          <w:highlight w:val="none"/>
          <w:lang w:val="en-US" w:eastAsia="zh-CN"/>
        </w:rPr>
        <w:t>3.</w:t>
      </w:r>
      <w:r>
        <w:rPr>
          <w:rFonts w:hint="default" w:ascii="Nimbus Roman No9 L" w:hAnsi="Nimbus Roman No9 L" w:eastAsia="仿宋_GB2312" w:cs="Nimbus Roman No9 L"/>
          <w:b/>
          <w:bCs/>
          <w:sz w:val="32"/>
          <w:szCs w:val="32"/>
          <w:highlight w:val="none"/>
          <w:lang w:val="en-US" w:eastAsia="zh-CN"/>
        </w:rPr>
        <w:t>经济标评审</w:t>
      </w:r>
    </w:p>
    <w:p w14:paraId="5B66730B">
      <w:pPr>
        <w:pStyle w:val="11"/>
        <w:keepNext w:val="0"/>
        <w:keepLines w:val="0"/>
        <w:pageBreakBefore w:val="0"/>
        <w:kinsoku/>
        <w:wordWrap/>
        <w:overflowPunct/>
        <w:topLinePunct w:val="0"/>
        <w:autoSpaceDE/>
        <w:autoSpaceDN/>
        <w:bidi w:val="0"/>
        <w:adjustRightInd/>
        <w:snapToGrid/>
        <w:spacing w:after="0" w:line="540" w:lineRule="exact"/>
        <w:ind w:left="0" w:leftChars="0" w:firstLine="640" w:firstLineChars="200"/>
        <w:textAlignment w:val="auto"/>
        <w:rPr>
          <w:rFonts w:hint="default" w:ascii="Nimbus Roman No9 L" w:hAnsi="Nimbus Roman No9 L" w:eastAsia="仿宋_GB2312" w:cs="Nimbus Roman No9 L"/>
          <w:sz w:val="32"/>
          <w:szCs w:val="32"/>
          <w:highlight w:val="yellow"/>
        </w:rPr>
      </w:pPr>
      <w:r>
        <w:rPr>
          <w:rFonts w:hint="eastAsia" w:ascii="Nimbus Roman No9 L" w:hAnsi="Nimbus Roman No9 L" w:eastAsia="仿宋_GB2312" w:cs="Nimbus Roman No9 L"/>
          <w:sz w:val="32"/>
          <w:szCs w:val="32"/>
          <w:highlight w:val="none"/>
          <w:lang w:val="en-US" w:eastAsia="zh-CN"/>
        </w:rPr>
        <w:t>3</w:t>
      </w:r>
      <w:r>
        <w:rPr>
          <w:rFonts w:hint="default" w:ascii="Nimbus Roman No9 L" w:hAnsi="Nimbus Roman No9 L" w:eastAsia="仿宋_GB2312" w:cs="Nimbus Roman No9 L"/>
          <w:sz w:val="32"/>
          <w:szCs w:val="32"/>
          <w:highlight w:val="none"/>
          <w:lang w:val="en-US" w:eastAsia="zh-CN"/>
        </w:rPr>
        <w:t xml:space="preserve">.1 </w:t>
      </w:r>
      <w:r>
        <w:rPr>
          <w:rFonts w:hint="default" w:ascii="Nimbus Roman No9 L" w:hAnsi="Nimbus Roman No9 L" w:eastAsia="仿宋_GB2312" w:cs="Nimbus Roman No9 L"/>
          <w:sz w:val="32"/>
          <w:szCs w:val="32"/>
          <w:highlight w:val="none"/>
        </w:rPr>
        <w:t>报价修正</w:t>
      </w:r>
    </w:p>
    <w:p w14:paraId="6B3AD0E3">
      <w:pPr>
        <w:pStyle w:val="15"/>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评标委员会对清标中发现投标报价存在算术性错误的，应按以下原则对投标报价进行修正：</w:t>
      </w:r>
    </w:p>
    <w:p w14:paraId="382F1E6D">
      <w:pPr>
        <w:pStyle w:val="15"/>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一是</w:t>
      </w:r>
      <w:r>
        <w:rPr>
          <w:rFonts w:hint="default" w:ascii="Nimbus Roman No9 L" w:hAnsi="Nimbus Roman No9 L" w:eastAsia="仿宋_GB2312" w:cs="Nimbus Roman No9 L"/>
          <w:sz w:val="32"/>
          <w:szCs w:val="32"/>
          <w:highlight w:val="none"/>
        </w:rPr>
        <w:t>当综合单价与工程量（或计算基础金额与费率）的乘积与合价不一致时，以综合单价（或费率）为准修正合价及总价；</w:t>
      </w:r>
    </w:p>
    <w:p w14:paraId="79E15DFF">
      <w:pPr>
        <w:pStyle w:val="15"/>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二是</w:t>
      </w:r>
      <w:r>
        <w:rPr>
          <w:rFonts w:hint="default" w:ascii="Nimbus Roman No9 L" w:hAnsi="Nimbus Roman No9 L" w:eastAsia="仿宋_GB2312" w:cs="Nimbus Roman No9 L"/>
          <w:sz w:val="32"/>
          <w:szCs w:val="32"/>
          <w:highlight w:val="none"/>
        </w:rPr>
        <w:t>当各单项金额相加与其合计金额不一致时，以各单项金额为准修正相应合计金额及总价。</w:t>
      </w:r>
    </w:p>
    <w:p w14:paraId="26741A34">
      <w:pPr>
        <w:pStyle w:val="2"/>
        <w:keepNext w:val="0"/>
        <w:keepLines w:val="0"/>
        <w:pageBreakBefore w:val="0"/>
        <w:kinsoku/>
        <w:wordWrap/>
        <w:overflowPunct/>
        <w:topLinePunct w:val="0"/>
        <w:autoSpaceDE/>
        <w:autoSpaceDN/>
        <w:bidi w:val="0"/>
        <w:snapToGrid/>
        <w:spacing w:line="540" w:lineRule="exact"/>
        <w:ind w:firstLine="729" w:firstLineChars="228"/>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评标委员会修正后的价格经投标人书面确认后具有约束力</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投标报价得分计算以修正后的报价为准（以后所称投标报价均为修正后的报价）</w:t>
      </w:r>
      <w:r>
        <w:rPr>
          <w:rFonts w:hint="default" w:ascii="Nimbus Roman No9 L" w:hAnsi="Nimbus Roman No9 L" w:eastAsia="仿宋_GB2312" w:cs="Nimbus Roman No9 L"/>
          <w:sz w:val="32"/>
          <w:szCs w:val="32"/>
          <w:highlight w:val="none"/>
        </w:rPr>
        <w:t>。投标人不接受修正价格或修正后价格高于招标控制价的，评标委员会应否决其投标。</w:t>
      </w:r>
    </w:p>
    <w:p w14:paraId="13C45C3D">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kern w:val="2"/>
          <w:sz w:val="32"/>
          <w:szCs w:val="32"/>
          <w:highlight w:val="none"/>
          <w:lang w:val="en-US" w:eastAsia="zh-CN" w:bidi="ar-SA"/>
        </w:rPr>
        <w:t>3</w:t>
      </w:r>
      <w:r>
        <w:rPr>
          <w:rFonts w:hint="default" w:ascii="Nimbus Roman No9 L" w:hAnsi="Nimbus Roman No9 L" w:eastAsia="仿宋_GB2312" w:cs="Nimbus Roman No9 L"/>
          <w:kern w:val="2"/>
          <w:sz w:val="32"/>
          <w:szCs w:val="32"/>
          <w:highlight w:val="none"/>
          <w:lang w:val="en-US" w:eastAsia="zh-CN" w:bidi="ar-SA"/>
        </w:rPr>
        <w:t xml:space="preserve">.2. </w:t>
      </w:r>
      <w:r>
        <w:rPr>
          <w:rFonts w:hint="default" w:ascii="Nimbus Roman No9 L" w:hAnsi="Nimbus Roman No9 L" w:eastAsia="仿宋_GB2312" w:cs="Nimbus Roman No9 L"/>
          <w:b w:val="0"/>
          <w:bCs w:val="0"/>
          <w:color w:val="auto"/>
          <w:sz w:val="32"/>
          <w:szCs w:val="32"/>
          <w:highlight w:val="none"/>
          <w:lang w:val="en-US" w:eastAsia="zh-CN"/>
        </w:rPr>
        <w:t>报价合理性评审</w:t>
      </w:r>
    </w:p>
    <w:p w14:paraId="412ABD92">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合理基准价是对可能低于成本或者影响履约的异常低价投标的判断依据。投标人报价低于合理基准价的，其投标报价不参与评标基准价计算。</w:t>
      </w:r>
    </w:p>
    <w:p w14:paraId="4D31E6D6">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kern w:val="2"/>
          <w:sz w:val="32"/>
          <w:szCs w:val="32"/>
          <w:highlight w:val="none"/>
          <w:lang w:val="en-US" w:eastAsia="zh-CN" w:bidi="ar-SA"/>
        </w:rPr>
        <w:t>3</w:t>
      </w:r>
      <w:r>
        <w:rPr>
          <w:rFonts w:hint="default" w:ascii="Nimbus Roman No9 L" w:hAnsi="Nimbus Roman No9 L" w:eastAsia="仿宋_GB2312" w:cs="Nimbus Roman No9 L"/>
          <w:kern w:val="2"/>
          <w:sz w:val="32"/>
          <w:szCs w:val="32"/>
          <w:highlight w:val="none"/>
          <w:lang w:val="en-US" w:eastAsia="zh-CN" w:bidi="ar-SA"/>
        </w:rPr>
        <w:t xml:space="preserve">.2.1 </w:t>
      </w:r>
      <w:r>
        <w:rPr>
          <w:rFonts w:hint="default" w:ascii="Nimbus Roman No9 L" w:hAnsi="Nimbus Roman No9 L" w:eastAsia="仿宋_GB2312" w:cs="Nimbus Roman No9 L"/>
          <w:b w:val="0"/>
          <w:bCs w:val="0"/>
          <w:color w:val="auto"/>
          <w:sz w:val="32"/>
          <w:szCs w:val="32"/>
          <w:highlight w:val="none"/>
          <w:lang w:val="en-US" w:eastAsia="zh-CN"/>
        </w:rPr>
        <w:t>计算合理基准价（附表</w:t>
      </w:r>
      <w:r>
        <w:rPr>
          <w:rFonts w:hint="default" w:ascii="Nimbus Roman No9 L" w:hAnsi="Nimbus Roman No9 L" w:eastAsia="仿宋_GB2312" w:cs="Nimbus Roman No9 L"/>
          <w:kern w:val="2"/>
          <w:sz w:val="32"/>
          <w:szCs w:val="32"/>
          <w:highlight w:val="none"/>
          <w:lang w:val="en-US" w:eastAsia="zh-CN" w:bidi="ar-SA"/>
        </w:rPr>
        <w:t>1-7</w:t>
      </w:r>
      <w:r>
        <w:rPr>
          <w:rFonts w:hint="default" w:ascii="Nimbus Roman No9 L" w:hAnsi="Nimbus Roman No9 L" w:eastAsia="仿宋_GB2312" w:cs="Nimbus Roman No9 L"/>
          <w:b w:val="0"/>
          <w:bCs w:val="0"/>
          <w:color w:val="auto"/>
          <w:sz w:val="32"/>
          <w:szCs w:val="32"/>
          <w:highlight w:val="none"/>
          <w:lang w:val="en-US" w:eastAsia="zh-CN"/>
        </w:rPr>
        <w:t>）</w:t>
      </w:r>
    </w:p>
    <w:p w14:paraId="44B4A622">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合理基准价={招标控制价部分×</w:t>
      </w:r>
      <w:r>
        <w:rPr>
          <w:rFonts w:hint="default" w:ascii="Nimbus Roman No9 L" w:hAnsi="Nimbus Roman No9 L" w:eastAsia="仿宋_GB2312" w:cs="Nimbus Roman No9 L"/>
          <w:kern w:val="2"/>
          <w:sz w:val="32"/>
          <w:szCs w:val="32"/>
          <w:highlight w:val="none"/>
          <w:lang w:val="en-US" w:eastAsia="zh-CN" w:bidi="ar-SA"/>
        </w:rPr>
        <w:t>K1</w:t>
      </w:r>
      <w:r>
        <w:rPr>
          <w:rFonts w:hint="default" w:ascii="Nimbus Roman No9 L" w:hAnsi="Nimbus Roman No9 L" w:eastAsia="仿宋_GB2312" w:cs="Nimbus Roman No9 L"/>
          <w:b w:val="0"/>
          <w:bCs w:val="0"/>
          <w:color w:val="auto"/>
          <w:sz w:val="32"/>
          <w:szCs w:val="32"/>
          <w:highlight w:val="none"/>
          <w:lang w:val="en-US" w:eastAsia="zh-CN"/>
        </w:rPr>
        <w:t>+投标报价部分×（</w:t>
      </w:r>
      <w:r>
        <w:rPr>
          <w:rFonts w:hint="default" w:ascii="Nimbus Roman No9 L" w:hAnsi="Nimbus Roman No9 L" w:eastAsia="仿宋_GB2312" w:cs="Nimbus Roman No9 L"/>
          <w:kern w:val="2"/>
          <w:sz w:val="32"/>
          <w:szCs w:val="32"/>
          <w:highlight w:val="none"/>
          <w:lang w:val="en-US" w:eastAsia="zh-CN" w:bidi="ar-SA"/>
        </w:rPr>
        <w:t>1</w:t>
      </w:r>
      <w:r>
        <w:rPr>
          <w:rFonts w:hint="default" w:ascii="Nimbus Roman No9 L" w:hAnsi="Nimbus Roman No9 L" w:eastAsia="仿宋_GB2312" w:cs="Nimbus Roman No9 L"/>
          <w:b w:val="0"/>
          <w:bCs w:val="0"/>
          <w:color w:val="auto"/>
          <w:sz w:val="32"/>
          <w:szCs w:val="32"/>
          <w:highlight w:val="none"/>
          <w:lang w:val="en-US" w:eastAsia="zh-CN"/>
        </w:rPr>
        <w:t>-</w:t>
      </w:r>
      <w:r>
        <w:rPr>
          <w:rFonts w:hint="default" w:ascii="Nimbus Roman No9 L" w:hAnsi="Nimbus Roman No9 L" w:eastAsia="仿宋_GB2312" w:cs="Nimbus Roman No9 L"/>
          <w:kern w:val="2"/>
          <w:sz w:val="32"/>
          <w:szCs w:val="32"/>
          <w:highlight w:val="none"/>
          <w:lang w:val="en-US" w:eastAsia="zh-CN" w:bidi="ar-SA"/>
        </w:rPr>
        <w:t>K1</w:t>
      </w:r>
      <w:r>
        <w:rPr>
          <w:rFonts w:hint="default" w:ascii="Nimbus Roman No9 L" w:hAnsi="Nimbus Roman No9 L" w:eastAsia="仿宋_GB2312" w:cs="Nimbus Roman No9 L"/>
          <w:b w:val="0"/>
          <w:bCs w:val="0"/>
          <w:color w:val="auto"/>
          <w:sz w:val="32"/>
          <w:szCs w:val="32"/>
          <w:highlight w:val="none"/>
          <w:lang w:val="en-US" w:eastAsia="zh-CN"/>
        </w:rPr>
        <w:t>）}×</w:t>
      </w:r>
      <w:r>
        <w:rPr>
          <w:rFonts w:hint="default" w:ascii="Nimbus Roman No9 L" w:hAnsi="Nimbus Roman No9 L" w:eastAsia="仿宋_GB2312" w:cs="Nimbus Roman No9 L"/>
          <w:kern w:val="2"/>
          <w:sz w:val="32"/>
          <w:szCs w:val="32"/>
          <w:highlight w:val="none"/>
          <w:lang w:val="en-US" w:eastAsia="zh-CN" w:bidi="ar-SA"/>
        </w:rPr>
        <w:t>K2</w:t>
      </w:r>
    </w:p>
    <w:p w14:paraId="510277B2">
      <w:pPr>
        <w:pStyle w:val="2"/>
        <w:spacing w:line="540" w:lineRule="exact"/>
        <w:ind w:firstLine="729" w:firstLineChars="228"/>
        <w:rPr>
          <w:rFonts w:hint="default" w:ascii="Nimbus Roman No9 L" w:hAnsi="Nimbus Roman No9 L" w:eastAsia="仿宋_GB2312" w:cs="Nimbus Roman No9 L"/>
          <w:color w:val="auto"/>
          <w:highlight w:val="none"/>
          <w:lang w:val="en-US" w:eastAsia="zh-CN"/>
        </w:rPr>
      </w:pPr>
      <w:r>
        <w:rPr>
          <w:rFonts w:hint="default" w:ascii="Nimbus Roman No9 L" w:hAnsi="Nimbus Roman No9 L" w:eastAsia="仿宋_GB2312" w:cs="Nimbus Roman No9 L"/>
          <w:kern w:val="2"/>
          <w:sz w:val="32"/>
          <w:szCs w:val="32"/>
          <w:highlight w:val="none"/>
          <w:lang w:val="en-US" w:eastAsia="zh-CN" w:bidi="ar-SA"/>
        </w:rPr>
        <w:t>K1</w:t>
      </w:r>
      <w:r>
        <w:rPr>
          <w:rFonts w:hint="default" w:ascii="Nimbus Roman No9 L" w:hAnsi="Nimbus Roman No9 L" w:eastAsia="仿宋_GB2312" w:cs="Nimbus Roman No9 L"/>
          <w:b w:val="0"/>
          <w:bCs w:val="0"/>
          <w:color w:val="auto"/>
          <w:sz w:val="32"/>
          <w:szCs w:val="32"/>
          <w:highlight w:val="none"/>
          <w:lang w:val="en-US" w:eastAsia="zh-CN"/>
        </w:rPr>
        <w:t>为合理基准价中招标控制价权重，由招标人在经济标计分评审前，随机抽取确定。</w:t>
      </w:r>
      <w:r>
        <w:rPr>
          <w:rFonts w:hint="default" w:ascii="Nimbus Roman No9 L" w:hAnsi="Nimbus Roman No9 L" w:eastAsia="仿宋_GB2312" w:cs="Nimbus Roman No9 L"/>
          <w:kern w:val="2"/>
          <w:sz w:val="32"/>
          <w:szCs w:val="32"/>
          <w:highlight w:val="none"/>
          <w:lang w:val="en-US" w:eastAsia="zh-CN" w:bidi="ar-SA"/>
        </w:rPr>
        <w:t>K1</w:t>
      </w:r>
      <w:r>
        <w:rPr>
          <w:rFonts w:hint="default" w:ascii="Nimbus Roman No9 L" w:hAnsi="Nimbus Roman No9 L" w:eastAsia="仿宋_GB2312" w:cs="Nimbus Roman No9 L"/>
          <w:b w:val="0"/>
          <w:bCs w:val="0"/>
          <w:color w:val="auto"/>
          <w:sz w:val="32"/>
          <w:szCs w:val="32"/>
          <w:highlight w:val="none"/>
          <w:lang w:val="en-US" w:eastAsia="zh-CN"/>
        </w:rPr>
        <w:t>取值范围</w:t>
      </w:r>
      <w:r>
        <w:rPr>
          <w:rFonts w:hint="default" w:ascii="Nimbus Roman No9 L" w:hAnsi="Nimbus Roman No9 L" w:eastAsia="仿宋_GB2312" w:cs="Nimbus Roman No9 L"/>
          <w:kern w:val="2"/>
          <w:sz w:val="32"/>
          <w:szCs w:val="32"/>
          <w:highlight w:val="none"/>
          <w:lang w:val="en-US" w:eastAsia="zh-CN" w:bidi="ar-SA"/>
        </w:rPr>
        <w:t>0</w:t>
      </w:r>
      <w:r>
        <w:rPr>
          <w:rFonts w:hint="default" w:ascii="Nimbus Roman No9 L" w:hAnsi="Nimbus Roman No9 L" w:eastAsia="仿宋_GB2312" w:cs="Nimbus Roman No9 L"/>
          <w:b w:val="0"/>
          <w:bCs w:val="0"/>
          <w:color w:val="auto"/>
          <w:sz w:val="32"/>
          <w:szCs w:val="32"/>
          <w:highlight w:val="none"/>
          <w:lang w:val="en-US" w:eastAsia="zh-CN"/>
        </w:rPr>
        <w:t>%～</w:t>
      </w:r>
      <w:r>
        <w:rPr>
          <w:rFonts w:hint="default" w:ascii="Nimbus Roman No9 L" w:hAnsi="Nimbus Roman No9 L" w:eastAsia="仿宋_GB2312" w:cs="Nimbus Roman No9 L"/>
          <w:kern w:val="2"/>
          <w:sz w:val="32"/>
          <w:szCs w:val="32"/>
          <w:highlight w:val="none"/>
          <w:lang w:val="en-US" w:eastAsia="zh-CN" w:bidi="ar-SA"/>
        </w:rPr>
        <w:t>50</w:t>
      </w:r>
      <w:r>
        <w:rPr>
          <w:rFonts w:hint="default" w:ascii="Nimbus Roman No9 L" w:hAnsi="Nimbus Roman No9 L" w:eastAsia="仿宋_GB2312" w:cs="Nimbus Roman No9 L"/>
          <w:b w:val="0"/>
          <w:bCs w:val="0"/>
          <w:color w:val="auto"/>
          <w:sz w:val="32"/>
          <w:szCs w:val="32"/>
          <w:highlight w:val="none"/>
          <w:lang w:val="en-US" w:eastAsia="zh-CN"/>
        </w:rPr>
        <w:t>%，以</w:t>
      </w:r>
      <w:r>
        <w:rPr>
          <w:rFonts w:hint="default" w:ascii="Nimbus Roman No9 L" w:hAnsi="Nimbus Roman No9 L" w:eastAsia="仿宋_GB2312" w:cs="Nimbus Roman No9 L"/>
          <w:kern w:val="2"/>
          <w:sz w:val="32"/>
          <w:szCs w:val="32"/>
          <w:highlight w:val="none"/>
          <w:lang w:val="en-US" w:eastAsia="zh-CN" w:bidi="ar-SA"/>
        </w:rPr>
        <w:t>10</w:t>
      </w:r>
      <w:r>
        <w:rPr>
          <w:rFonts w:hint="default" w:ascii="Nimbus Roman No9 L" w:hAnsi="Nimbus Roman No9 L" w:eastAsia="仿宋_GB2312" w:cs="Nimbus Roman No9 L"/>
          <w:b w:val="0"/>
          <w:bCs w:val="0"/>
          <w:color w:val="auto"/>
          <w:sz w:val="32"/>
          <w:szCs w:val="32"/>
          <w:highlight w:val="none"/>
          <w:lang w:val="en-US" w:eastAsia="zh-CN"/>
        </w:rPr>
        <w:t>%为间隔。</w:t>
      </w:r>
    </w:p>
    <w:p w14:paraId="206EDC7E">
      <w:pPr>
        <w:pStyle w:val="2"/>
        <w:spacing w:line="540" w:lineRule="exact"/>
        <w:ind w:firstLine="729" w:firstLineChars="228"/>
        <w:rPr>
          <w:rFonts w:hint="eastAsia"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3.2.1.1 招标控制价部分=（招标控制价-招标控制价中的P值）×（1-K）+招标控制价中的P值</w:t>
      </w:r>
    </w:p>
    <w:p w14:paraId="673C5B65">
      <w:pPr>
        <w:pStyle w:val="2"/>
        <w:spacing w:line="540" w:lineRule="exact"/>
        <w:ind w:firstLine="729" w:firstLineChars="228"/>
        <w:rPr>
          <w:rFonts w:hint="eastAsia"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招标控制价中的P值=暂列金+专业工程暂估价+施工技术专项措施项目暂估价+安全生产措施费+智慧工地基础配置费用。</w:t>
      </w:r>
    </w:p>
    <w:p w14:paraId="02676BE3">
      <w:pPr>
        <w:pStyle w:val="2"/>
        <w:spacing w:line="540" w:lineRule="exact"/>
        <w:ind w:firstLine="729" w:firstLineChars="228"/>
        <w:rPr>
          <w:rFonts w:hint="eastAsia"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K为合理基准价中招标控制价（不含P值）的下浮率，由招标人在经济标计分评审前，随机抽取确定。</w:t>
      </w:r>
    </w:p>
    <w:p w14:paraId="730C06F8">
      <w:pPr>
        <w:pStyle w:val="2"/>
        <w:spacing w:line="540" w:lineRule="exact"/>
        <w:ind w:firstLine="729" w:firstLineChars="228"/>
        <w:rPr>
          <w:rFonts w:hint="default" w:ascii="Nimbus Roman No9 L" w:hAnsi="Nimbus Roman No9 L" w:eastAsia="仿宋_GB2312" w:cs="Nimbus Roman No9 L"/>
          <w:color w:val="auto"/>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K值取值建议：房屋建筑工程0%～5%</w:t>
      </w:r>
      <w:r>
        <w:rPr>
          <w:rFonts w:hint="eastAsia" w:ascii="Nimbus Roman No9 L" w:hAnsi="Nimbus Roman No9 L" w:eastAsia="仿宋_GB2312" w:cs="Nimbus Roman No9 L"/>
          <w:b w:val="0"/>
          <w:bCs w:val="0"/>
          <w:color w:val="auto"/>
          <w:sz w:val="32"/>
          <w:szCs w:val="32"/>
          <w:highlight w:val="none"/>
          <w:lang w:val="en-US" w:eastAsia="zh-CN"/>
        </w:rPr>
        <w:t>；</w:t>
      </w:r>
      <w:r>
        <w:rPr>
          <w:rFonts w:hint="default" w:ascii="Nimbus Roman No9 L" w:hAnsi="Nimbus Roman No9 L" w:eastAsia="仿宋_GB2312" w:cs="Nimbus Roman No9 L"/>
          <w:b w:val="0"/>
          <w:bCs w:val="0"/>
          <w:color w:val="auto"/>
          <w:sz w:val="32"/>
          <w:szCs w:val="32"/>
          <w:highlight w:val="none"/>
          <w:lang w:val="en-US" w:eastAsia="zh-CN"/>
        </w:rPr>
        <w:t>单独招标的安装工程和装饰装修工程</w:t>
      </w:r>
      <w:r>
        <w:rPr>
          <w:rFonts w:hint="default" w:ascii="Nimbus Roman No9 L" w:hAnsi="Nimbus Roman No9 L" w:eastAsia="仿宋_GB2312" w:cs="Nimbus Roman No9 L"/>
          <w:kern w:val="2"/>
          <w:sz w:val="32"/>
          <w:szCs w:val="32"/>
          <w:highlight w:val="none"/>
          <w:lang w:val="en-US" w:eastAsia="zh-CN" w:bidi="ar-SA"/>
        </w:rPr>
        <w:t>0%～8%</w:t>
      </w:r>
      <w:r>
        <w:rPr>
          <w:rFonts w:hint="eastAsia" w:ascii="Nimbus Roman No9 L" w:hAnsi="Nimbus Roman No9 L" w:eastAsia="仿宋_GB2312" w:cs="Nimbus Roman No9 L"/>
          <w:kern w:val="2"/>
          <w:sz w:val="32"/>
          <w:szCs w:val="32"/>
          <w:highlight w:val="none"/>
          <w:lang w:val="en-US" w:eastAsia="zh-CN" w:bidi="ar-SA"/>
        </w:rPr>
        <w:t>；</w:t>
      </w:r>
      <w:r>
        <w:rPr>
          <w:rFonts w:hint="default" w:ascii="Nimbus Roman No9 L" w:hAnsi="Nimbus Roman No9 L" w:eastAsia="仿宋_GB2312" w:cs="Nimbus Roman No9 L"/>
          <w:kern w:val="2"/>
          <w:sz w:val="32"/>
          <w:szCs w:val="32"/>
          <w:highlight w:val="none"/>
          <w:lang w:val="en-US" w:eastAsia="zh-CN" w:bidi="ar-SA"/>
        </w:rPr>
        <w:t>市政和园林绿化工程0%～10%。</w:t>
      </w:r>
      <w:r>
        <w:rPr>
          <w:rFonts w:hint="default" w:ascii="Nimbus Roman No9 L" w:hAnsi="Nimbus Roman No9 L" w:eastAsia="仿宋_GB2312" w:cs="Nimbus Roman No9 L"/>
          <w:b w:val="0"/>
          <w:bCs w:val="0"/>
          <w:color w:val="auto"/>
          <w:sz w:val="32"/>
          <w:szCs w:val="32"/>
          <w:highlight w:val="none"/>
          <w:lang w:val="en-US" w:eastAsia="zh-CN"/>
        </w:rPr>
        <w:t>以上均以1%为间隔。</w:t>
      </w:r>
    </w:p>
    <w:p w14:paraId="677662B8">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.2.1.2 投标报价部分=有效投标人少于5家（不含）直接取算术平均值；大于5家（含）时去掉总家数20%高价（四舍五入取整）和总家数20%低价（四舍五入取整）后的取算术平均值。</w:t>
      </w:r>
    </w:p>
    <w:p w14:paraId="35D8C7BE">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.2.1.3  K2的取值</w:t>
      </w:r>
    </w:p>
    <w:p w14:paraId="5005CB8E">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.2.1.3.1 建筑工程K2为0.9；</w:t>
      </w:r>
    </w:p>
    <w:p w14:paraId="7B4E27B4">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.2.1.3.2 市政公用工程（轨道交通工程除外）K2为0.85；</w:t>
      </w:r>
    </w:p>
    <w:p w14:paraId="69A5C952">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.2.1.3.3 轨道交通工程K2为0.88；</w:t>
      </w:r>
    </w:p>
    <w:p w14:paraId="23CE05A0">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.2.1.3.4 单独招标的装饰装修工程K2为0.92；</w:t>
      </w:r>
    </w:p>
    <w:p w14:paraId="1EDCAD0E">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.2.1.3.5</w:t>
      </w:r>
      <w:r>
        <w:rPr>
          <w:rFonts w:hint="eastAsia" w:ascii="Nimbus Roman No9 L" w:hAnsi="Nimbus Roman No9 L" w:eastAsia="仿宋_GB2312" w:cs="Nimbus Roman No9 L"/>
          <w:b w:val="0"/>
          <w:bCs w:val="0"/>
          <w:color w:val="auto"/>
          <w:sz w:val="32"/>
          <w:szCs w:val="32"/>
          <w:highlight w:val="none"/>
          <w:lang w:val="en-US" w:eastAsia="zh-CN"/>
        </w:rPr>
        <w:t xml:space="preserve"> </w:t>
      </w:r>
      <w:r>
        <w:rPr>
          <w:rFonts w:hint="default" w:ascii="Nimbus Roman No9 L" w:hAnsi="Nimbus Roman No9 L" w:eastAsia="仿宋_GB2312" w:cs="Nimbus Roman No9 L"/>
          <w:b w:val="0"/>
          <w:bCs w:val="0"/>
          <w:color w:val="auto"/>
          <w:sz w:val="32"/>
          <w:szCs w:val="32"/>
          <w:highlight w:val="none"/>
          <w:lang w:val="en-US" w:eastAsia="zh-CN"/>
        </w:rPr>
        <w:t>单独招标的园林景观绿化工程、仿古建筑工程K2为0.88；</w:t>
      </w:r>
    </w:p>
    <w:p w14:paraId="2A427BB3">
      <w:pPr>
        <w:pStyle w:val="2"/>
        <w:spacing w:line="540" w:lineRule="exact"/>
        <w:ind w:firstLine="729" w:firstLineChars="228"/>
        <w:rPr>
          <w:rFonts w:hint="default" w:ascii="Nimbus Roman No9 L" w:hAnsi="Nimbus Roman No9 L" w:eastAsia="仿宋_GB2312" w:cs="Nimbus Roman No9 L"/>
          <w:color w:val="auto"/>
          <w:highlight w:val="none"/>
        </w:rPr>
      </w:pPr>
      <w:r>
        <w:rPr>
          <w:rFonts w:hint="eastAsia" w:ascii="Nimbus Roman No9 L" w:hAnsi="Nimbus Roman No9 L" w:eastAsia="仿宋_GB2312" w:cs="Nimbus Roman No9 L"/>
          <w:b w:val="0"/>
          <w:bCs w:val="0"/>
          <w:color w:val="auto"/>
          <w:sz w:val="32"/>
          <w:szCs w:val="32"/>
          <w:highlight w:val="none"/>
          <w:lang w:val="en-US" w:eastAsia="zh-CN"/>
        </w:rPr>
        <w:t>3</w:t>
      </w:r>
      <w:r>
        <w:rPr>
          <w:rFonts w:hint="default" w:ascii="Nimbus Roman No9 L" w:hAnsi="Nimbus Roman No9 L" w:eastAsia="仿宋_GB2312" w:cs="Nimbus Roman No9 L"/>
          <w:b w:val="0"/>
          <w:bCs w:val="0"/>
          <w:color w:val="auto"/>
          <w:sz w:val="32"/>
          <w:szCs w:val="32"/>
          <w:highlight w:val="none"/>
          <w:lang w:val="en-US" w:eastAsia="zh-CN"/>
        </w:rPr>
        <w:t>.2.1.3.6 单独招标的安装工程K2为0.9。</w:t>
      </w:r>
    </w:p>
    <w:p w14:paraId="055FB930">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eastAsia" w:ascii="Nimbus Roman No9 L" w:hAnsi="Nimbus Roman No9 L" w:eastAsia="仿宋_GB2312" w:cs="Nimbus Roman No9 L"/>
          <w:b w:val="0"/>
          <w:bCs w:val="0"/>
          <w:sz w:val="32"/>
          <w:szCs w:val="32"/>
          <w:highlight w:val="none"/>
          <w:lang w:val="en-US" w:eastAsia="zh-CN"/>
        </w:rPr>
        <w:t>3</w:t>
      </w:r>
      <w:r>
        <w:rPr>
          <w:rFonts w:hint="default" w:ascii="Nimbus Roman No9 L" w:hAnsi="Nimbus Roman No9 L" w:eastAsia="仿宋_GB2312" w:cs="Nimbus Roman No9 L"/>
          <w:b w:val="0"/>
          <w:bCs w:val="0"/>
          <w:sz w:val="32"/>
          <w:szCs w:val="32"/>
          <w:highlight w:val="none"/>
          <w:lang w:val="en-US" w:eastAsia="zh-CN"/>
        </w:rPr>
        <w:t>.3 计算评标基准价（附表1-8）</w:t>
      </w:r>
    </w:p>
    <w:p w14:paraId="1E473F39">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eastAsia" w:ascii="Nimbus Roman No9 L" w:hAnsi="Nimbus Roman No9 L" w:eastAsia="仿宋_GB2312" w:cs="Nimbus Roman No9 L"/>
          <w:b w:val="0"/>
          <w:bCs w:val="0"/>
          <w:sz w:val="32"/>
          <w:szCs w:val="32"/>
          <w:highlight w:val="none"/>
          <w:lang w:val="en-US" w:eastAsia="zh-CN"/>
        </w:rPr>
        <w:t>3</w:t>
      </w:r>
      <w:r>
        <w:rPr>
          <w:rFonts w:hint="default" w:ascii="Nimbus Roman No9 L" w:hAnsi="Nimbus Roman No9 L" w:eastAsia="仿宋_GB2312" w:cs="Nimbus Roman No9 L"/>
          <w:b w:val="0"/>
          <w:bCs w:val="0"/>
          <w:sz w:val="32"/>
          <w:szCs w:val="32"/>
          <w:highlight w:val="none"/>
          <w:lang w:val="en-US" w:eastAsia="zh-CN"/>
        </w:rPr>
        <w:t>.3.1 评标基准价=招标控制价部分×K1+投标报价部分×（1-K1）</w:t>
      </w:r>
    </w:p>
    <w:p w14:paraId="68AD31B7">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default" w:ascii="Nimbus Roman No9 L" w:hAnsi="Nimbus Roman No9 L" w:eastAsia="仿宋_GB2312" w:cs="Nimbus Roman No9 L"/>
          <w:b w:val="0"/>
          <w:bCs w:val="0"/>
          <w:sz w:val="32"/>
          <w:szCs w:val="32"/>
          <w:highlight w:val="none"/>
          <w:lang w:val="en-US" w:eastAsia="zh-CN"/>
        </w:rPr>
        <w:t>K1为评标基准价中招标控制价权重，由招标人在经济标计分评审前，随机抽取确定。K1取值范围0%～50%，以10%为间隔。</w:t>
      </w:r>
    </w:p>
    <w:p w14:paraId="4806E6D3">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eastAsia" w:ascii="Nimbus Roman No9 L" w:hAnsi="Nimbus Roman No9 L" w:eastAsia="仿宋_GB2312" w:cs="Nimbus Roman No9 L"/>
          <w:b w:val="0"/>
          <w:bCs w:val="0"/>
          <w:sz w:val="32"/>
          <w:szCs w:val="32"/>
          <w:highlight w:val="none"/>
          <w:lang w:val="en-US" w:eastAsia="zh-CN"/>
        </w:rPr>
        <w:t>3</w:t>
      </w:r>
      <w:r>
        <w:rPr>
          <w:rFonts w:hint="default" w:ascii="Nimbus Roman No9 L" w:hAnsi="Nimbus Roman No9 L" w:eastAsia="仿宋_GB2312" w:cs="Nimbus Roman No9 L"/>
          <w:b w:val="0"/>
          <w:bCs w:val="0"/>
          <w:sz w:val="32"/>
          <w:szCs w:val="32"/>
          <w:highlight w:val="none"/>
          <w:lang w:val="en-US" w:eastAsia="zh-CN"/>
        </w:rPr>
        <w:t>.3.1.1  招标控制价部分=（招标控制价-招标控制价中的P值）×（1-K）+招标控制价中的P值</w:t>
      </w:r>
    </w:p>
    <w:p w14:paraId="25B9C975">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default" w:ascii="Nimbus Roman No9 L" w:hAnsi="Nimbus Roman No9 L" w:eastAsia="仿宋_GB2312" w:cs="Nimbus Roman No9 L"/>
          <w:b w:val="0"/>
          <w:bCs w:val="0"/>
          <w:sz w:val="32"/>
          <w:szCs w:val="32"/>
          <w:highlight w:val="none"/>
          <w:lang w:val="en-US" w:eastAsia="zh-CN"/>
        </w:rPr>
        <w:t>招标控制价中的P值=暂列金+专业工程暂估价+ 施工技术专项措施项目暂估价+安全生产措施费+智慧工地基础配置费用。</w:t>
      </w:r>
    </w:p>
    <w:p w14:paraId="68B7D9F5">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default" w:ascii="Nimbus Roman No9 L" w:hAnsi="Nimbus Roman No9 L" w:eastAsia="仿宋_GB2312" w:cs="Nimbus Roman No9 L"/>
          <w:b w:val="0"/>
          <w:bCs w:val="0"/>
          <w:sz w:val="32"/>
          <w:szCs w:val="32"/>
          <w:highlight w:val="none"/>
          <w:lang w:val="en-US" w:eastAsia="zh-CN"/>
        </w:rPr>
        <w:t>K为评标基准价中招标控制价（不含P值）的下浮率，由招标人在经济标计分评审前，随机抽取确定。</w:t>
      </w:r>
    </w:p>
    <w:p w14:paraId="19B66B73">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default" w:ascii="Nimbus Roman No9 L" w:hAnsi="Nimbus Roman No9 L" w:eastAsia="仿宋_GB2312" w:cs="Nimbus Roman No9 L"/>
          <w:b w:val="0"/>
          <w:bCs w:val="0"/>
          <w:sz w:val="32"/>
          <w:szCs w:val="32"/>
          <w:highlight w:val="none"/>
          <w:lang w:val="en-US" w:eastAsia="zh-CN"/>
        </w:rPr>
        <w:t>K值取值建议：房屋建筑工程0%～5%</w:t>
      </w:r>
      <w:r>
        <w:rPr>
          <w:rFonts w:hint="eastAsia" w:ascii="Nimbus Roman No9 L" w:hAnsi="Nimbus Roman No9 L" w:eastAsia="仿宋_GB2312" w:cs="Nimbus Roman No9 L"/>
          <w:b w:val="0"/>
          <w:bCs w:val="0"/>
          <w:sz w:val="32"/>
          <w:szCs w:val="32"/>
          <w:highlight w:val="none"/>
          <w:lang w:val="en-US" w:eastAsia="zh-CN"/>
        </w:rPr>
        <w:t>；</w:t>
      </w:r>
      <w:r>
        <w:rPr>
          <w:rFonts w:hint="default" w:ascii="Nimbus Roman No9 L" w:hAnsi="Nimbus Roman No9 L" w:eastAsia="仿宋_GB2312" w:cs="Nimbus Roman No9 L"/>
          <w:b w:val="0"/>
          <w:bCs w:val="0"/>
          <w:sz w:val="32"/>
          <w:szCs w:val="32"/>
          <w:highlight w:val="none"/>
          <w:lang w:val="en-US" w:eastAsia="zh-CN"/>
        </w:rPr>
        <w:t>单独招标的安装工程和装饰装修工程0%～8%</w:t>
      </w:r>
      <w:r>
        <w:rPr>
          <w:rFonts w:hint="eastAsia" w:ascii="Nimbus Roman No9 L" w:hAnsi="Nimbus Roman No9 L" w:eastAsia="仿宋_GB2312" w:cs="Nimbus Roman No9 L"/>
          <w:b w:val="0"/>
          <w:bCs w:val="0"/>
          <w:sz w:val="32"/>
          <w:szCs w:val="32"/>
          <w:highlight w:val="none"/>
          <w:lang w:val="en-US" w:eastAsia="zh-CN"/>
        </w:rPr>
        <w:t>；</w:t>
      </w:r>
      <w:r>
        <w:rPr>
          <w:rFonts w:hint="default" w:ascii="Nimbus Roman No9 L" w:hAnsi="Nimbus Roman No9 L" w:eastAsia="仿宋_GB2312" w:cs="Nimbus Roman No9 L"/>
          <w:b w:val="0"/>
          <w:bCs w:val="0"/>
          <w:sz w:val="32"/>
          <w:szCs w:val="32"/>
          <w:highlight w:val="none"/>
          <w:lang w:val="en-US" w:eastAsia="zh-CN"/>
        </w:rPr>
        <w:t>市政和园林绿化工程0%～10%。以上均以1%为间隔。</w:t>
      </w:r>
    </w:p>
    <w:p w14:paraId="642556DD">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eastAsia" w:ascii="Nimbus Roman No9 L" w:hAnsi="Nimbus Roman No9 L" w:eastAsia="仿宋_GB2312" w:cs="Nimbus Roman No9 L"/>
          <w:b w:val="0"/>
          <w:bCs w:val="0"/>
          <w:sz w:val="32"/>
          <w:szCs w:val="32"/>
          <w:highlight w:val="none"/>
          <w:lang w:val="en-US" w:eastAsia="zh-CN"/>
        </w:rPr>
        <w:t>3</w:t>
      </w:r>
      <w:r>
        <w:rPr>
          <w:rFonts w:hint="default" w:ascii="Nimbus Roman No9 L" w:hAnsi="Nimbus Roman No9 L" w:eastAsia="仿宋_GB2312" w:cs="Nimbus Roman No9 L"/>
          <w:b w:val="0"/>
          <w:bCs w:val="0"/>
          <w:sz w:val="32"/>
          <w:szCs w:val="32"/>
          <w:highlight w:val="none"/>
          <w:lang w:val="en-US" w:eastAsia="zh-CN"/>
        </w:rPr>
        <w:t>.3.1.2 投标报价部分=经</w:t>
      </w:r>
      <w:r>
        <w:rPr>
          <w:rFonts w:hint="default" w:ascii="Nimbus Roman No9 L" w:hAnsi="Nimbus Roman No9 L" w:eastAsia="仿宋_GB2312" w:cs="Nimbus Roman No9 L"/>
          <w:b w:val="0"/>
          <w:bCs w:val="0"/>
          <w:color w:val="auto"/>
          <w:sz w:val="32"/>
          <w:szCs w:val="32"/>
          <w:highlight w:val="none"/>
          <w:lang w:val="en-US" w:eastAsia="zh-CN"/>
        </w:rPr>
        <w:t>报价合理性评审</w:t>
      </w:r>
      <w:r>
        <w:rPr>
          <w:rFonts w:hint="default" w:ascii="Nimbus Roman No9 L" w:hAnsi="Nimbus Roman No9 L" w:eastAsia="仿宋_GB2312" w:cs="Nimbus Roman No9 L"/>
          <w:b w:val="0"/>
          <w:bCs w:val="0"/>
          <w:sz w:val="32"/>
          <w:szCs w:val="32"/>
          <w:highlight w:val="none"/>
          <w:lang w:val="en-US" w:eastAsia="zh-CN"/>
        </w:rPr>
        <w:t>，高于合理基准价相应标准剩余的有效投标人少于5家（不含）直接取算术平均值；大于5家（含）时去掉总家数20%高价（四舍五入取整）和总家数20%低价（四舍五入取整）后的取算术平均值。</w:t>
      </w:r>
    </w:p>
    <w:p w14:paraId="268C4CEA">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eastAsia" w:ascii="Nimbus Roman No9 L" w:hAnsi="Nimbus Roman No9 L" w:eastAsia="仿宋_GB2312" w:cs="Nimbus Roman No9 L"/>
          <w:b w:val="0"/>
          <w:bCs w:val="0"/>
          <w:sz w:val="32"/>
          <w:szCs w:val="32"/>
          <w:highlight w:val="none"/>
          <w:lang w:val="en-US" w:eastAsia="zh-CN"/>
        </w:rPr>
        <w:t>3</w:t>
      </w:r>
      <w:r>
        <w:rPr>
          <w:rFonts w:hint="default" w:ascii="Nimbus Roman No9 L" w:hAnsi="Nimbus Roman No9 L" w:eastAsia="仿宋_GB2312" w:cs="Nimbus Roman No9 L"/>
          <w:b w:val="0"/>
          <w:bCs w:val="0"/>
          <w:sz w:val="32"/>
          <w:szCs w:val="32"/>
          <w:highlight w:val="none"/>
          <w:lang w:val="en-US" w:eastAsia="zh-CN"/>
        </w:rPr>
        <w:t>.4 计算投标报价得分（附表1-9）</w:t>
      </w:r>
    </w:p>
    <w:p w14:paraId="3855F6E2">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default" w:ascii="Nimbus Roman No9 L" w:hAnsi="Nimbus Roman No9 L" w:eastAsia="仿宋_GB2312" w:cs="Nimbus Roman No9 L"/>
          <w:b w:val="0"/>
          <w:bCs w:val="0"/>
          <w:sz w:val="32"/>
          <w:szCs w:val="32"/>
          <w:highlight w:val="none"/>
          <w:lang w:val="en-US" w:eastAsia="zh-CN"/>
        </w:rPr>
        <w:t>投标报价小于基准价时：投标报价得分=100-（评标基准价-投标报价）÷评标基准价×100×Q</w:t>
      </w:r>
    </w:p>
    <w:p w14:paraId="763ED5E1">
      <w:pPr>
        <w:pStyle w:val="2"/>
        <w:spacing w:line="540" w:lineRule="exact"/>
        <w:ind w:firstLine="729" w:firstLineChars="228"/>
        <w:rPr>
          <w:rFonts w:hint="default" w:ascii="Nimbus Roman No9 L" w:hAnsi="Nimbus Roman No9 L" w:eastAsia="仿宋_GB2312" w:cs="Nimbus Roman No9 L"/>
          <w:b w:val="0"/>
          <w:bCs w:val="0"/>
          <w:sz w:val="32"/>
          <w:szCs w:val="32"/>
          <w:highlight w:val="none"/>
          <w:lang w:val="en-US" w:eastAsia="zh-CN"/>
        </w:rPr>
      </w:pPr>
      <w:r>
        <w:rPr>
          <w:rFonts w:hint="default" w:ascii="Nimbus Roman No9 L" w:hAnsi="Nimbus Roman No9 L" w:eastAsia="仿宋_GB2312" w:cs="Nimbus Roman No9 L"/>
          <w:b w:val="0"/>
          <w:bCs w:val="0"/>
          <w:sz w:val="32"/>
          <w:szCs w:val="32"/>
          <w:highlight w:val="none"/>
          <w:lang w:val="en-US" w:eastAsia="zh-CN"/>
        </w:rPr>
        <w:t>投标报价大于基准价时：投标报价得分=100-（投标报价-评标基准价）÷评标基准价×100×Q×2</w:t>
      </w:r>
    </w:p>
    <w:p w14:paraId="653F4E6F">
      <w:pPr>
        <w:pStyle w:val="2"/>
        <w:spacing w:line="540" w:lineRule="exact"/>
        <w:ind w:firstLine="729" w:firstLineChars="228"/>
        <w:rPr>
          <w:rFonts w:hint="default" w:ascii="Nimbus Roman No9 L" w:hAnsi="Nimbus Roman No9 L" w:eastAsia="仿宋_GB2312" w:cs="Nimbus Roman No9 L"/>
          <w:highlight w:val="none"/>
          <w:lang w:val="en-US" w:eastAsia="zh-CN"/>
        </w:rPr>
      </w:pPr>
      <w:r>
        <w:rPr>
          <w:rFonts w:hint="default" w:ascii="Nimbus Roman No9 L" w:hAnsi="Nimbus Roman No9 L" w:eastAsia="仿宋_GB2312" w:cs="Nimbus Roman No9 L"/>
          <w:b w:val="0"/>
          <w:bCs w:val="0"/>
          <w:sz w:val="32"/>
          <w:szCs w:val="32"/>
          <w:highlight w:val="none"/>
          <w:lang w:val="en-US" w:eastAsia="zh-CN"/>
        </w:rPr>
        <w:t>其中：Q值为投标报价每偏离评标基准价下浮1%的扣分值，由招标人在经济标计分评审前，随机抽取确定，Q取值范围0.5～2，以0.5为间隔。</w:t>
      </w:r>
    </w:p>
    <w:p w14:paraId="0648AC97">
      <w:pPr>
        <w:widowControl/>
        <w:shd w:val="clear" w:color="auto" w:fill="FFFFFF"/>
        <w:ind w:firstLine="640" w:firstLineChars="200"/>
        <w:rPr>
          <w:rFonts w:hint="default" w:ascii="Nimbus Roman No9 L" w:hAnsi="Nimbus Roman No9 L" w:eastAsia="楷体" w:cs="Nimbus Roman No9 L"/>
          <w:b w:val="0"/>
          <w:bCs w:val="0"/>
          <w:kern w:val="0"/>
          <w:sz w:val="32"/>
          <w:szCs w:val="32"/>
          <w:highlight w:val="none"/>
          <w:lang w:val="en-US" w:eastAsia="zh-CN" w:bidi="ar-SA"/>
        </w:rPr>
      </w:pPr>
      <w:r>
        <w:rPr>
          <w:rFonts w:hint="default" w:ascii="Nimbus Roman No9 L" w:hAnsi="Nimbus Roman No9 L" w:eastAsia="楷体" w:cs="Nimbus Roman No9 L"/>
          <w:b w:val="0"/>
          <w:bCs w:val="0"/>
          <w:kern w:val="0"/>
          <w:sz w:val="32"/>
          <w:szCs w:val="32"/>
          <w:highlight w:val="none"/>
          <w:lang w:val="en-US" w:eastAsia="zh-CN" w:bidi="ar-SA"/>
        </w:rPr>
        <w:t>（三）汇总评分结果</w:t>
      </w:r>
    </w:p>
    <w:p w14:paraId="778CC41F">
      <w:pPr>
        <w:ind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C=[</w:t>
      </w:r>
      <w:r>
        <w:rPr>
          <w:rFonts w:hint="eastAsia" w:ascii="Nimbus Roman No9 L" w:hAnsi="Nimbus Roman No9 L" w:eastAsia="仿宋_GB2312" w:cs="Nimbus Roman No9 L"/>
          <w:color w:val="auto"/>
          <w:kern w:val="2"/>
          <w:sz w:val="32"/>
          <w:szCs w:val="32"/>
          <w:highlight w:val="none"/>
          <w:lang w:val="en-US"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J</w:t>
      </w:r>
      <w:r>
        <w:rPr>
          <w:rFonts w:hint="default" w:ascii="Nimbus Roman No9 L" w:hAnsi="Nimbus Roman No9 L" w:eastAsia="仿宋_GB2312" w:cs="Nimbus Roman No9 L"/>
          <w:color w:val="auto"/>
          <w:kern w:val="2"/>
          <w:sz w:val="32"/>
          <w:szCs w:val="32"/>
          <w:highlight w:val="none"/>
          <w:vertAlign w:val="subscript"/>
          <w:lang w:val="en-US" w:eastAsia="zh-CN" w:bidi="ar-SA"/>
        </w:rPr>
        <w:t>1</w:t>
      </w:r>
      <w:r>
        <w:rPr>
          <w:rFonts w:hint="default" w:ascii="Nimbus Roman No9 L" w:hAnsi="Nimbus Roman No9 L" w:eastAsia="仿宋_GB2312" w:cs="Nimbus Roman No9 L"/>
          <w:color w:val="auto"/>
          <w:kern w:val="2"/>
          <w:sz w:val="32"/>
          <w:szCs w:val="32"/>
          <w:highlight w:val="none"/>
          <w:lang w:val="en-US" w:eastAsia="zh-CN" w:bidi="ar-SA"/>
        </w:rPr>
        <w:t>×E</w:t>
      </w:r>
      <w:r>
        <w:rPr>
          <w:rFonts w:hint="eastAsia" w:ascii="Nimbus Roman No9 L" w:hAnsi="Nimbus Roman No9 L" w:eastAsia="仿宋_GB2312" w:cs="Nimbus Roman No9 L"/>
          <w:color w:val="auto"/>
          <w:kern w:val="2"/>
          <w:sz w:val="32"/>
          <w:szCs w:val="32"/>
          <w:highlight w:val="none"/>
          <w:lang w:val="en-US"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H</w:t>
      </w:r>
      <w:r>
        <w:rPr>
          <w:rFonts w:hint="eastAsia" w:ascii="Nimbus Roman No9 L" w:hAnsi="Nimbus Roman No9 L" w:eastAsia="仿宋_GB2312" w:cs="Nimbus Roman No9 L"/>
          <w:color w:val="auto"/>
          <w:kern w:val="2"/>
          <w:sz w:val="32"/>
          <w:szCs w:val="32"/>
          <w:highlight w:val="none"/>
          <w:lang w:val="en-US"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J</w:t>
      </w:r>
      <w:r>
        <w:rPr>
          <w:rFonts w:hint="default" w:ascii="Nimbus Roman No9 L" w:hAnsi="Nimbus Roman No9 L" w:eastAsia="仿宋_GB2312" w:cs="Nimbus Roman No9 L"/>
          <w:color w:val="auto"/>
          <w:kern w:val="2"/>
          <w:sz w:val="32"/>
          <w:szCs w:val="32"/>
          <w:highlight w:val="none"/>
          <w:vertAlign w:val="subscript"/>
          <w:lang w:val="en-US" w:eastAsia="zh-CN" w:bidi="ar-SA"/>
        </w:rPr>
        <w:t>2</w:t>
      </w:r>
      <w:r>
        <w:rPr>
          <w:rFonts w:hint="default" w:ascii="Nimbus Roman No9 L" w:hAnsi="Nimbus Roman No9 L" w:eastAsia="仿宋_GB2312" w:cs="Nimbus Roman No9 L"/>
          <w:color w:val="auto"/>
          <w:kern w:val="2"/>
          <w:sz w:val="32"/>
          <w:szCs w:val="32"/>
          <w:highlight w:val="none"/>
          <w:lang w:val="en-US" w:eastAsia="zh-CN" w:bidi="ar-SA"/>
        </w:rPr>
        <w:t>×G]×</w:t>
      </w:r>
      <w:r>
        <w:rPr>
          <w:rFonts w:hint="eastAsia" w:ascii="Nimbus Roman No9 L" w:hAnsi="Nimbus Roman No9 L" w:eastAsia="仿宋_GB2312" w:cs="Nimbus Roman No9 L"/>
          <w:color w:val="auto"/>
          <w:kern w:val="2"/>
          <w:sz w:val="32"/>
          <w:szCs w:val="32"/>
          <w:highlight w:val="none"/>
          <w:lang w:val="en-US" w:eastAsia="zh-CN" w:bidi="ar-SA"/>
        </w:rPr>
        <w:t>9</w:t>
      </w:r>
      <w:r>
        <w:rPr>
          <w:rFonts w:hint="default" w:ascii="Nimbus Roman No9 L" w:hAnsi="Nimbus Roman No9 L" w:eastAsia="仿宋_GB2312" w:cs="Nimbus Roman No9 L"/>
          <w:color w:val="auto"/>
          <w:kern w:val="2"/>
          <w:sz w:val="32"/>
          <w:szCs w:val="32"/>
          <w:highlight w:val="none"/>
          <w:lang w:val="en-US" w:eastAsia="zh-CN" w:bidi="ar-SA"/>
        </w:rPr>
        <w:t>0%</w:t>
      </w:r>
      <w:r>
        <w:rPr>
          <w:rFonts w:hint="eastAsia" w:ascii="Nimbus Roman No9 L" w:hAnsi="Nimbus Roman No9 L" w:eastAsia="仿宋_GB2312" w:cs="Nimbus Roman No9 L"/>
          <w:color w:val="auto"/>
          <w:kern w:val="2"/>
          <w:sz w:val="32"/>
          <w:szCs w:val="32"/>
          <w:highlight w:val="none"/>
          <w:lang w:val="en-US" w:eastAsia="zh-CN" w:bidi="ar-SA"/>
        </w:rPr>
        <w:t>+</w:t>
      </w:r>
      <w:r>
        <w:rPr>
          <w:rFonts w:hint="default" w:ascii="Nimbus Roman No9 L" w:hAnsi="Nimbus Roman No9 L" w:eastAsia="仿宋_GB2312" w:cs="Nimbus Roman No9 L"/>
          <w:color w:val="auto"/>
          <w:kern w:val="2"/>
          <w:sz w:val="32"/>
          <w:szCs w:val="32"/>
          <w:highlight w:val="none"/>
          <w:lang w:val="en-US" w:eastAsia="zh-CN" w:bidi="ar-SA"/>
        </w:rPr>
        <w:t>D</w:t>
      </w:r>
    </w:p>
    <w:p w14:paraId="0F3CB7E9">
      <w:pPr>
        <w:ind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其中：C——评标总得分</w:t>
      </w:r>
    </w:p>
    <w:p w14:paraId="2F7F9357">
      <w:pPr>
        <w:ind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D——商务标评审得分</w:t>
      </w:r>
    </w:p>
    <w:p w14:paraId="226186D1">
      <w:pPr>
        <w:ind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E——技术标评审得分</w:t>
      </w:r>
    </w:p>
    <w:p w14:paraId="22D9FA79">
      <w:pPr>
        <w:ind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G——经济标计分评审得分</w:t>
      </w:r>
    </w:p>
    <w:p w14:paraId="2480C4B4">
      <w:pPr>
        <w:pStyle w:val="11"/>
        <w:ind w:left="0" w:leftChars="0"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H——技术标明、暗示扣分</w:t>
      </w:r>
    </w:p>
    <w:p w14:paraId="1A367E0E">
      <w:pPr>
        <w:pStyle w:val="11"/>
        <w:ind w:left="0" w:leftChars="0" w:firstLine="640" w:firstLineChars="200"/>
        <w:rPr>
          <w:rFonts w:hint="default" w:ascii="Nimbus Roman No9 L" w:hAnsi="Nimbus Roman No9 L" w:eastAsia="仿宋"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J</w:t>
      </w:r>
      <w:r>
        <w:rPr>
          <w:rFonts w:hint="default" w:ascii="Nimbus Roman No9 L" w:hAnsi="Nimbus Roman No9 L" w:eastAsia="仿宋_GB2312" w:cs="Nimbus Roman No9 L"/>
          <w:color w:val="auto"/>
          <w:kern w:val="2"/>
          <w:sz w:val="32"/>
          <w:szCs w:val="32"/>
          <w:highlight w:val="none"/>
          <w:vertAlign w:val="subscript"/>
          <w:lang w:val="en-US" w:eastAsia="zh-CN" w:bidi="ar-SA"/>
        </w:rPr>
        <w:t>1</w:t>
      </w:r>
      <w:r>
        <w:rPr>
          <w:rFonts w:hint="default" w:ascii="Nimbus Roman No9 L" w:hAnsi="Nimbus Roman No9 L" w:eastAsia="仿宋_GB2312" w:cs="Nimbus Roman No9 L"/>
          <w:color w:val="auto"/>
          <w:kern w:val="2"/>
          <w:sz w:val="32"/>
          <w:szCs w:val="32"/>
          <w:highlight w:val="none"/>
          <w:lang w:val="en-US" w:eastAsia="zh-CN" w:bidi="ar-SA"/>
        </w:rPr>
        <w:t>、J</w:t>
      </w:r>
      <w:r>
        <w:rPr>
          <w:rFonts w:hint="default" w:ascii="Nimbus Roman No9 L" w:hAnsi="Nimbus Roman No9 L" w:eastAsia="仿宋_GB2312" w:cs="Nimbus Roman No9 L"/>
          <w:color w:val="auto"/>
          <w:kern w:val="2"/>
          <w:sz w:val="32"/>
          <w:szCs w:val="32"/>
          <w:highlight w:val="none"/>
          <w:vertAlign w:val="subscript"/>
          <w:lang w:val="en-US" w:eastAsia="zh-CN" w:bidi="ar-SA"/>
        </w:rPr>
        <w:t>2</w:t>
      </w:r>
      <w:r>
        <w:rPr>
          <w:rFonts w:hint="default" w:ascii="Nimbus Roman No9 L" w:hAnsi="Nimbus Roman No9 L" w:eastAsia="仿宋_GB2312" w:cs="Nimbus Roman No9 L"/>
          <w:color w:val="auto"/>
          <w:kern w:val="2"/>
          <w:sz w:val="32"/>
          <w:szCs w:val="32"/>
          <w:highlight w:val="none"/>
          <w:lang w:val="en-US" w:eastAsia="zh-CN" w:bidi="ar-SA"/>
        </w:rPr>
        <w:t>——详细评审权重</w:t>
      </w:r>
    </w:p>
    <w:p w14:paraId="4D4FB0C8">
      <w:pPr>
        <w:pStyle w:val="11"/>
        <w:ind w:left="0" w:leftChars="0" w:firstLine="640" w:firstLineChars="200"/>
        <w:rPr>
          <w:rFonts w:hint="default" w:ascii="Nimbus Roman No9 L" w:hAnsi="Nimbus Roman No9 L" w:cs="Nimbus Roman No9 L"/>
          <w:highlight w:val="none"/>
        </w:rPr>
      </w:pPr>
      <w:r>
        <w:rPr>
          <w:rFonts w:hint="default" w:ascii="Nimbus Roman No9 L" w:hAnsi="Nimbus Roman No9 L" w:eastAsia="楷体" w:cs="Nimbus Roman No9 L"/>
          <w:b w:val="0"/>
          <w:bCs w:val="0"/>
          <w:color w:val="auto"/>
          <w:kern w:val="0"/>
          <w:sz w:val="32"/>
          <w:szCs w:val="32"/>
          <w:highlight w:val="none"/>
          <w:lang w:val="en-US" w:eastAsia="zh-CN"/>
        </w:rPr>
        <w:t>（四）</w:t>
      </w:r>
      <w:r>
        <w:rPr>
          <w:rFonts w:hint="default" w:ascii="Nimbus Roman No9 L" w:hAnsi="Nimbus Roman No9 L" w:eastAsia="楷体" w:cs="Nimbus Roman No9 L"/>
          <w:b w:val="0"/>
          <w:bCs w:val="0"/>
          <w:kern w:val="0"/>
          <w:sz w:val="32"/>
          <w:szCs w:val="32"/>
          <w:highlight w:val="none"/>
        </w:rPr>
        <w:t>各项评审因素权重</w:t>
      </w:r>
    </w:p>
    <w:tbl>
      <w:tblPr>
        <w:tblStyle w:val="12"/>
        <w:tblW w:w="92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8"/>
        <w:gridCol w:w="1507"/>
        <w:gridCol w:w="2028"/>
        <w:gridCol w:w="2508"/>
        <w:gridCol w:w="2256"/>
      </w:tblGrid>
      <w:tr w14:paraId="693665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18" w:type="dxa"/>
            <w:tcBorders>
              <w:top w:val="single" w:color="auto" w:sz="12" w:space="0"/>
              <w:left w:val="nil"/>
              <w:bottom w:val="single" w:color="auto" w:sz="6" w:space="0"/>
              <w:right w:val="single" w:color="auto" w:sz="6" w:space="0"/>
            </w:tcBorders>
            <w:noWrap w:val="0"/>
            <w:vAlign w:val="center"/>
          </w:tcPr>
          <w:p w14:paraId="702A5AC7">
            <w:pPr>
              <w:widowControl/>
              <w:jc w:val="center"/>
              <w:rPr>
                <w:rFonts w:hint="default" w:ascii="Nimbus Roman No9 L" w:hAnsi="Nimbus Roman No9 L" w:cs="Nimbus Roman No9 L"/>
                <w:b/>
                <w:bCs/>
                <w:kern w:val="0"/>
                <w:sz w:val="24"/>
                <w:szCs w:val="24"/>
                <w:highlight w:val="none"/>
              </w:rPr>
            </w:pPr>
            <w:r>
              <w:rPr>
                <w:rFonts w:hint="default" w:ascii="Nimbus Roman No9 L" w:hAnsi="Nimbus Roman No9 L" w:cs="Nimbus Roman No9 L"/>
                <w:b/>
                <w:bCs/>
                <w:kern w:val="0"/>
                <w:sz w:val="24"/>
                <w:szCs w:val="24"/>
                <w:highlight w:val="none"/>
              </w:rPr>
              <w:t>序号</w:t>
            </w:r>
          </w:p>
        </w:tc>
        <w:tc>
          <w:tcPr>
            <w:tcW w:w="3535" w:type="dxa"/>
            <w:gridSpan w:val="2"/>
            <w:tcBorders>
              <w:top w:val="single" w:color="auto" w:sz="12" w:space="0"/>
              <w:left w:val="single" w:color="auto" w:sz="6" w:space="0"/>
              <w:bottom w:val="single" w:color="auto" w:sz="6" w:space="0"/>
              <w:right w:val="single" w:color="auto" w:sz="6" w:space="0"/>
            </w:tcBorders>
            <w:noWrap w:val="0"/>
            <w:vAlign w:val="center"/>
          </w:tcPr>
          <w:p w14:paraId="633B3780">
            <w:pPr>
              <w:widowControl/>
              <w:jc w:val="center"/>
              <w:rPr>
                <w:rFonts w:hint="default" w:ascii="Nimbus Roman No9 L" w:hAnsi="Nimbus Roman No9 L" w:cs="Nimbus Roman No9 L"/>
                <w:b/>
                <w:bCs/>
                <w:kern w:val="0"/>
                <w:sz w:val="24"/>
                <w:szCs w:val="24"/>
                <w:highlight w:val="none"/>
              </w:rPr>
            </w:pPr>
            <w:r>
              <w:rPr>
                <w:rFonts w:hint="default" w:ascii="Nimbus Roman No9 L" w:hAnsi="Nimbus Roman No9 L" w:cs="Nimbus Roman No9 L"/>
                <w:b/>
                <w:bCs/>
                <w:kern w:val="0"/>
                <w:sz w:val="24"/>
                <w:szCs w:val="24"/>
                <w:highlight w:val="none"/>
              </w:rPr>
              <w:t>评审因素</w:t>
            </w:r>
          </w:p>
        </w:tc>
        <w:tc>
          <w:tcPr>
            <w:tcW w:w="2508" w:type="dxa"/>
            <w:tcBorders>
              <w:top w:val="single" w:color="auto" w:sz="12" w:space="0"/>
              <w:left w:val="single" w:color="auto" w:sz="6" w:space="0"/>
              <w:bottom w:val="single" w:color="auto" w:sz="6" w:space="0"/>
              <w:right w:val="nil"/>
            </w:tcBorders>
            <w:noWrap w:val="0"/>
            <w:vAlign w:val="center"/>
          </w:tcPr>
          <w:p w14:paraId="46AA7BAD">
            <w:pPr>
              <w:widowControl/>
              <w:jc w:val="center"/>
              <w:rPr>
                <w:rFonts w:hint="default" w:ascii="Nimbus Roman No9 L" w:hAnsi="Nimbus Roman No9 L" w:cs="Nimbus Roman No9 L"/>
                <w:b/>
                <w:bCs/>
                <w:kern w:val="0"/>
                <w:sz w:val="24"/>
                <w:szCs w:val="24"/>
                <w:highlight w:val="none"/>
              </w:rPr>
            </w:pPr>
            <w:r>
              <w:rPr>
                <w:rFonts w:hint="default" w:ascii="Nimbus Roman No9 L" w:hAnsi="Nimbus Roman No9 L" w:cs="Nimbus Roman No9 L"/>
                <w:b/>
                <w:bCs/>
                <w:kern w:val="0"/>
                <w:sz w:val="24"/>
                <w:szCs w:val="24"/>
                <w:highlight w:val="none"/>
              </w:rPr>
              <w:t>详细评审权重</w:t>
            </w:r>
          </w:p>
        </w:tc>
        <w:tc>
          <w:tcPr>
            <w:tcW w:w="2256" w:type="dxa"/>
            <w:tcBorders>
              <w:top w:val="single" w:color="auto" w:sz="12" w:space="0"/>
              <w:left w:val="single" w:color="auto" w:sz="6" w:space="0"/>
              <w:bottom w:val="single" w:color="auto" w:sz="6" w:space="0"/>
              <w:right w:val="nil"/>
            </w:tcBorders>
            <w:noWrap w:val="0"/>
            <w:vAlign w:val="center"/>
          </w:tcPr>
          <w:p w14:paraId="2CC9709D">
            <w:pPr>
              <w:widowControl/>
              <w:jc w:val="center"/>
              <w:rPr>
                <w:rFonts w:hint="default" w:ascii="Nimbus Roman No9 L" w:hAnsi="Nimbus Roman No9 L" w:cs="Nimbus Roman No9 L"/>
                <w:b/>
                <w:bCs/>
                <w:kern w:val="0"/>
                <w:sz w:val="24"/>
                <w:szCs w:val="24"/>
                <w:highlight w:val="none"/>
              </w:rPr>
            </w:pPr>
            <w:r>
              <w:rPr>
                <w:rFonts w:hint="default" w:ascii="Nimbus Roman No9 L" w:hAnsi="Nimbus Roman No9 L" w:cs="Nimbus Roman No9 L"/>
                <w:b/>
                <w:bCs/>
                <w:kern w:val="0"/>
                <w:sz w:val="24"/>
                <w:szCs w:val="24"/>
                <w:highlight w:val="none"/>
              </w:rPr>
              <w:t>计分权重</w:t>
            </w:r>
          </w:p>
        </w:tc>
      </w:tr>
      <w:tr w14:paraId="426A9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18" w:type="dxa"/>
            <w:vMerge w:val="restart"/>
            <w:tcBorders>
              <w:top w:val="single" w:color="auto" w:sz="6" w:space="0"/>
              <w:left w:val="nil"/>
              <w:right w:val="single" w:color="auto" w:sz="6" w:space="0"/>
            </w:tcBorders>
            <w:noWrap w:val="0"/>
            <w:vAlign w:val="center"/>
          </w:tcPr>
          <w:p w14:paraId="0B7AD969">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rPr>
              <w:t>1</w:t>
            </w:r>
          </w:p>
        </w:tc>
        <w:tc>
          <w:tcPr>
            <w:tcW w:w="1507" w:type="dxa"/>
            <w:vMerge w:val="restart"/>
            <w:tcBorders>
              <w:top w:val="single" w:color="auto" w:sz="6" w:space="0"/>
              <w:left w:val="single" w:color="auto" w:sz="6" w:space="0"/>
              <w:right w:val="single" w:color="auto" w:sz="6" w:space="0"/>
            </w:tcBorders>
            <w:noWrap w:val="0"/>
            <w:vAlign w:val="center"/>
          </w:tcPr>
          <w:p w14:paraId="4ACDC99A">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rPr>
              <w:t>技术标（</w:t>
            </w:r>
            <w:r>
              <w:rPr>
                <w:rFonts w:hint="default" w:ascii="Nimbus Roman No9 L" w:hAnsi="Nimbus Roman No9 L" w:eastAsia="仿宋" w:cs="Nimbus Roman No9 L"/>
                <w:sz w:val="24"/>
                <w:szCs w:val="24"/>
                <w:highlight w:val="none"/>
                <w:lang w:val="en-US" w:eastAsia="zh-CN"/>
              </w:rPr>
              <w:t>E</w:t>
            </w:r>
            <w:r>
              <w:rPr>
                <w:rFonts w:hint="default" w:ascii="Nimbus Roman No9 L" w:hAnsi="Nimbus Roman No9 L" w:eastAsia="仿宋" w:cs="Nimbus Roman No9 L"/>
                <w:sz w:val="24"/>
                <w:szCs w:val="24"/>
                <w:highlight w:val="none"/>
              </w:rPr>
              <w:t>）</w:t>
            </w:r>
          </w:p>
        </w:tc>
        <w:tc>
          <w:tcPr>
            <w:tcW w:w="2028" w:type="dxa"/>
            <w:tcBorders>
              <w:top w:val="single" w:color="auto" w:sz="6" w:space="0"/>
              <w:left w:val="single" w:color="auto" w:sz="6" w:space="0"/>
              <w:bottom w:val="single" w:color="auto" w:sz="6" w:space="0"/>
              <w:right w:val="single" w:color="auto" w:sz="6" w:space="0"/>
            </w:tcBorders>
            <w:noWrap w:val="0"/>
            <w:vAlign w:val="center"/>
          </w:tcPr>
          <w:p w14:paraId="50D24509">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rPr>
              <w:t>计分制</w:t>
            </w:r>
          </w:p>
        </w:tc>
        <w:tc>
          <w:tcPr>
            <w:tcW w:w="2508" w:type="dxa"/>
            <w:tcBorders>
              <w:top w:val="single" w:color="auto" w:sz="6" w:space="0"/>
              <w:left w:val="single" w:color="auto" w:sz="6" w:space="0"/>
              <w:bottom w:val="single" w:color="auto" w:sz="6" w:space="0"/>
              <w:right w:val="nil"/>
            </w:tcBorders>
            <w:noWrap w:val="0"/>
            <w:vAlign w:val="center"/>
          </w:tcPr>
          <w:p w14:paraId="7FFD5E94">
            <w:pPr>
              <w:jc w:val="center"/>
              <w:rPr>
                <w:rFonts w:hint="default" w:ascii="Nimbus Roman No9 L" w:hAnsi="Nimbus Roman No9 L" w:eastAsia="仿宋" w:cs="Nimbus Roman No9 L"/>
                <w:color w:val="auto"/>
                <w:sz w:val="24"/>
                <w:szCs w:val="24"/>
                <w:highlight w:val="none"/>
              </w:rPr>
            </w:pPr>
            <w:r>
              <w:rPr>
                <w:rFonts w:hint="default" w:ascii="Nimbus Roman No9 L" w:hAnsi="Nimbus Roman No9 L" w:eastAsia="仿宋" w:cs="Nimbus Roman No9 L"/>
                <w:color w:val="auto"/>
                <w:kern w:val="2"/>
                <w:sz w:val="24"/>
                <w:szCs w:val="24"/>
                <w:highlight w:val="none"/>
                <w:lang w:val="en-US" w:eastAsia="zh-CN" w:bidi="ar-SA"/>
              </w:rPr>
              <w:t>J</w:t>
            </w:r>
            <w:r>
              <w:rPr>
                <w:rFonts w:hint="default" w:ascii="Nimbus Roman No9 L" w:hAnsi="Nimbus Roman No9 L" w:eastAsia="仿宋" w:cs="Nimbus Roman No9 L"/>
                <w:color w:val="auto"/>
                <w:kern w:val="2"/>
                <w:sz w:val="24"/>
                <w:szCs w:val="24"/>
                <w:highlight w:val="none"/>
                <w:vertAlign w:val="subscript"/>
                <w:lang w:val="en-US" w:eastAsia="zh-CN" w:bidi="ar-SA"/>
              </w:rPr>
              <w:t>1</w:t>
            </w:r>
            <w:r>
              <w:rPr>
                <w:rFonts w:hint="default" w:ascii="Nimbus Roman No9 L" w:hAnsi="Nimbus Roman No9 L" w:eastAsia="仿宋" w:cs="Nimbus Roman No9 L"/>
                <w:color w:val="auto"/>
                <w:sz w:val="24"/>
                <w:szCs w:val="24"/>
                <w:highlight w:val="none"/>
              </w:rPr>
              <w:t>≤30%</w:t>
            </w:r>
          </w:p>
        </w:tc>
        <w:tc>
          <w:tcPr>
            <w:tcW w:w="2256" w:type="dxa"/>
            <w:vMerge w:val="restart"/>
            <w:tcBorders>
              <w:top w:val="single" w:color="auto" w:sz="6" w:space="0"/>
              <w:left w:val="single" w:color="auto" w:sz="6" w:space="0"/>
              <w:right w:val="nil"/>
            </w:tcBorders>
            <w:noWrap w:val="0"/>
            <w:vAlign w:val="center"/>
          </w:tcPr>
          <w:p w14:paraId="467FC0A5">
            <w:pPr>
              <w:jc w:val="center"/>
              <w:rPr>
                <w:rFonts w:hint="default" w:ascii="Nimbus Roman No9 L" w:hAnsi="Nimbus Roman No9 L" w:eastAsia="仿宋" w:cs="Nimbus Roman No9 L"/>
                <w:sz w:val="24"/>
                <w:szCs w:val="24"/>
                <w:highlight w:val="none"/>
              </w:rPr>
            </w:pPr>
            <w:r>
              <w:rPr>
                <w:rFonts w:hint="eastAsia" w:ascii="Nimbus Roman No9 L" w:hAnsi="Nimbus Roman No9 L" w:eastAsia="仿宋" w:cs="Nimbus Roman No9 L"/>
                <w:sz w:val="24"/>
                <w:szCs w:val="24"/>
                <w:highlight w:val="none"/>
                <w:lang w:val="en-US" w:eastAsia="zh-CN"/>
              </w:rPr>
              <w:t>9</w:t>
            </w:r>
            <w:r>
              <w:rPr>
                <w:rFonts w:hint="default" w:ascii="Nimbus Roman No9 L" w:hAnsi="Nimbus Roman No9 L" w:eastAsia="仿宋" w:cs="Nimbus Roman No9 L"/>
                <w:sz w:val="24"/>
                <w:szCs w:val="24"/>
                <w:highlight w:val="none"/>
                <w:lang w:val="en-US" w:eastAsia="zh-CN"/>
              </w:rPr>
              <w:t>0</w:t>
            </w:r>
            <w:r>
              <w:rPr>
                <w:rFonts w:hint="default" w:ascii="Nimbus Roman No9 L" w:hAnsi="Nimbus Roman No9 L" w:eastAsia="仿宋" w:cs="Nimbus Roman No9 L"/>
                <w:sz w:val="24"/>
                <w:szCs w:val="24"/>
                <w:highlight w:val="none"/>
              </w:rPr>
              <w:t>%</w:t>
            </w:r>
          </w:p>
        </w:tc>
      </w:tr>
      <w:tr w14:paraId="480747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18" w:type="dxa"/>
            <w:vMerge w:val="continue"/>
            <w:tcBorders>
              <w:left w:val="nil"/>
              <w:bottom w:val="single" w:color="auto" w:sz="6" w:space="0"/>
              <w:right w:val="single" w:color="auto" w:sz="6" w:space="0"/>
            </w:tcBorders>
            <w:noWrap w:val="0"/>
            <w:vAlign w:val="center"/>
          </w:tcPr>
          <w:p w14:paraId="19B14EDD">
            <w:pPr>
              <w:jc w:val="center"/>
              <w:rPr>
                <w:rFonts w:hint="default" w:ascii="Nimbus Roman No9 L" w:hAnsi="Nimbus Roman No9 L" w:eastAsia="仿宋" w:cs="Nimbus Roman No9 L"/>
                <w:sz w:val="24"/>
                <w:szCs w:val="24"/>
                <w:highlight w:val="none"/>
              </w:rPr>
            </w:pPr>
          </w:p>
        </w:tc>
        <w:tc>
          <w:tcPr>
            <w:tcW w:w="1507" w:type="dxa"/>
            <w:vMerge w:val="continue"/>
            <w:tcBorders>
              <w:left w:val="single" w:color="auto" w:sz="6" w:space="0"/>
              <w:bottom w:val="single" w:color="auto" w:sz="6" w:space="0"/>
              <w:right w:val="single" w:color="auto" w:sz="6" w:space="0"/>
            </w:tcBorders>
            <w:noWrap w:val="0"/>
            <w:vAlign w:val="center"/>
          </w:tcPr>
          <w:p w14:paraId="0FEF8457">
            <w:pPr>
              <w:jc w:val="center"/>
              <w:rPr>
                <w:rFonts w:hint="default" w:ascii="Nimbus Roman No9 L" w:hAnsi="Nimbus Roman No9 L" w:eastAsia="仿宋" w:cs="Nimbus Roman No9 L"/>
                <w:sz w:val="24"/>
                <w:szCs w:val="24"/>
                <w:highlight w:val="none"/>
              </w:rPr>
            </w:pPr>
          </w:p>
        </w:tc>
        <w:tc>
          <w:tcPr>
            <w:tcW w:w="2028" w:type="dxa"/>
            <w:tcBorders>
              <w:top w:val="single" w:color="auto" w:sz="6" w:space="0"/>
              <w:left w:val="single" w:color="auto" w:sz="6" w:space="0"/>
              <w:bottom w:val="single" w:color="auto" w:sz="6" w:space="0"/>
              <w:right w:val="single" w:color="auto" w:sz="6" w:space="0"/>
            </w:tcBorders>
            <w:noWrap w:val="0"/>
            <w:vAlign w:val="center"/>
          </w:tcPr>
          <w:p w14:paraId="309540D5">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rPr>
              <w:t>合格制</w:t>
            </w:r>
          </w:p>
        </w:tc>
        <w:tc>
          <w:tcPr>
            <w:tcW w:w="2508" w:type="dxa"/>
            <w:tcBorders>
              <w:top w:val="single" w:color="auto" w:sz="6" w:space="0"/>
              <w:left w:val="single" w:color="auto" w:sz="6" w:space="0"/>
              <w:bottom w:val="single" w:color="auto" w:sz="6" w:space="0"/>
              <w:right w:val="nil"/>
            </w:tcBorders>
            <w:noWrap w:val="0"/>
            <w:vAlign w:val="center"/>
          </w:tcPr>
          <w:p w14:paraId="0E4AE93D">
            <w:pPr>
              <w:jc w:val="center"/>
              <w:rPr>
                <w:rFonts w:hint="default" w:ascii="Nimbus Roman No9 L" w:hAnsi="Nimbus Roman No9 L" w:eastAsia="仿宋" w:cs="Nimbus Roman No9 L"/>
                <w:color w:val="auto"/>
                <w:sz w:val="24"/>
                <w:szCs w:val="24"/>
                <w:highlight w:val="none"/>
              </w:rPr>
            </w:pPr>
            <w:r>
              <w:rPr>
                <w:rFonts w:hint="default" w:ascii="Nimbus Roman No9 L" w:hAnsi="Nimbus Roman No9 L" w:eastAsia="仿宋" w:cs="Nimbus Roman No9 L"/>
                <w:color w:val="auto"/>
                <w:kern w:val="2"/>
                <w:sz w:val="24"/>
                <w:szCs w:val="24"/>
                <w:highlight w:val="none"/>
                <w:lang w:val="en-US" w:eastAsia="zh-CN" w:bidi="ar-SA"/>
              </w:rPr>
              <w:t>J</w:t>
            </w:r>
            <w:r>
              <w:rPr>
                <w:rFonts w:hint="default" w:ascii="Nimbus Roman No9 L" w:hAnsi="Nimbus Roman No9 L" w:eastAsia="仿宋" w:cs="Nimbus Roman No9 L"/>
                <w:color w:val="auto"/>
                <w:kern w:val="2"/>
                <w:sz w:val="24"/>
                <w:szCs w:val="24"/>
                <w:highlight w:val="none"/>
                <w:vertAlign w:val="subscript"/>
                <w:lang w:val="en-US" w:eastAsia="zh-CN" w:bidi="ar-SA"/>
              </w:rPr>
              <w:t>1</w:t>
            </w:r>
            <w:r>
              <w:rPr>
                <w:rFonts w:hint="default" w:ascii="Nimbus Roman No9 L" w:hAnsi="Nimbus Roman No9 L" w:eastAsia="仿宋" w:cs="Nimbus Roman No9 L"/>
                <w:color w:val="auto"/>
                <w:sz w:val="24"/>
                <w:szCs w:val="24"/>
                <w:highlight w:val="none"/>
              </w:rPr>
              <w:t>=0</w:t>
            </w:r>
          </w:p>
        </w:tc>
        <w:tc>
          <w:tcPr>
            <w:tcW w:w="2256" w:type="dxa"/>
            <w:vMerge w:val="continue"/>
            <w:tcBorders>
              <w:left w:val="single" w:color="auto" w:sz="6" w:space="0"/>
              <w:right w:val="nil"/>
            </w:tcBorders>
            <w:noWrap w:val="0"/>
            <w:vAlign w:val="center"/>
          </w:tcPr>
          <w:p w14:paraId="01DF9CD9">
            <w:pPr>
              <w:jc w:val="center"/>
              <w:rPr>
                <w:rFonts w:hint="default" w:ascii="Nimbus Roman No9 L" w:hAnsi="Nimbus Roman No9 L" w:eastAsia="仿宋" w:cs="Nimbus Roman No9 L"/>
                <w:sz w:val="24"/>
                <w:szCs w:val="24"/>
                <w:highlight w:val="none"/>
              </w:rPr>
            </w:pPr>
          </w:p>
        </w:tc>
      </w:tr>
      <w:tr w14:paraId="6B34ED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18" w:type="dxa"/>
            <w:vMerge w:val="restart"/>
            <w:tcBorders>
              <w:top w:val="single" w:color="auto" w:sz="6" w:space="0"/>
              <w:left w:val="nil"/>
              <w:right w:val="single" w:color="auto" w:sz="6" w:space="0"/>
            </w:tcBorders>
            <w:noWrap w:val="0"/>
            <w:vAlign w:val="center"/>
          </w:tcPr>
          <w:p w14:paraId="0209A1B6">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rPr>
              <w:t>2</w:t>
            </w:r>
          </w:p>
        </w:tc>
        <w:tc>
          <w:tcPr>
            <w:tcW w:w="1507" w:type="dxa"/>
            <w:vMerge w:val="restart"/>
            <w:tcBorders>
              <w:top w:val="single" w:color="auto" w:sz="6" w:space="0"/>
              <w:left w:val="single" w:color="auto" w:sz="6" w:space="0"/>
              <w:right w:val="single" w:color="auto" w:sz="6" w:space="0"/>
            </w:tcBorders>
            <w:noWrap w:val="0"/>
            <w:vAlign w:val="center"/>
          </w:tcPr>
          <w:p w14:paraId="1BE119F7">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lang w:val="en-US" w:eastAsia="zh-CN"/>
              </w:rPr>
              <w:t>经济标计分</w:t>
            </w:r>
            <w:r>
              <w:rPr>
                <w:rFonts w:hint="default" w:ascii="Nimbus Roman No9 L" w:hAnsi="Nimbus Roman No9 L" w:eastAsia="仿宋" w:cs="Nimbus Roman No9 L"/>
                <w:sz w:val="24"/>
                <w:szCs w:val="24"/>
                <w:highlight w:val="none"/>
              </w:rPr>
              <w:t>评审</w:t>
            </w:r>
            <w:r>
              <w:rPr>
                <w:rFonts w:hint="eastAsia" w:ascii="Nimbus Roman No9 L" w:hAnsi="Nimbus Roman No9 L" w:eastAsia="仿宋" w:cs="Nimbus Roman No9 L"/>
                <w:sz w:val="24"/>
                <w:szCs w:val="24"/>
                <w:highlight w:val="none"/>
                <w:lang w:eastAsia="zh-CN"/>
              </w:rPr>
              <w:t>（</w:t>
            </w:r>
            <w:r>
              <w:rPr>
                <w:rFonts w:hint="default" w:ascii="Nimbus Roman No9 L" w:hAnsi="Nimbus Roman No9 L" w:eastAsia="仿宋" w:cs="Nimbus Roman No9 L"/>
                <w:sz w:val="24"/>
                <w:szCs w:val="24"/>
                <w:highlight w:val="none"/>
                <w:lang w:val="en-US" w:eastAsia="zh-CN"/>
              </w:rPr>
              <w:t>G</w:t>
            </w:r>
            <w:r>
              <w:rPr>
                <w:rFonts w:hint="eastAsia" w:ascii="Nimbus Roman No9 L" w:hAnsi="Nimbus Roman No9 L" w:eastAsia="仿宋" w:cs="Nimbus Roman No9 L"/>
                <w:sz w:val="24"/>
                <w:szCs w:val="24"/>
                <w:highlight w:val="none"/>
                <w:lang w:val="en-US" w:eastAsia="zh-CN"/>
              </w:rPr>
              <w:t>）</w:t>
            </w:r>
          </w:p>
        </w:tc>
        <w:tc>
          <w:tcPr>
            <w:tcW w:w="2028" w:type="dxa"/>
            <w:tcBorders>
              <w:top w:val="single" w:color="auto" w:sz="6" w:space="0"/>
              <w:left w:val="single" w:color="auto" w:sz="6" w:space="0"/>
              <w:bottom w:val="single" w:color="auto" w:sz="6" w:space="0"/>
              <w:right w:val="single" w:color="auto" w:sz="6" w:space="0"/>
            </w:tcBorders>
            <w:noWrap w:val="0"/>
            <w:vAlign w:val="center"/>
          </w:tcPr>
          <w:p w14:paraId="23A3AD9F">
            <w:pPr>
              <w:jc w:val="center"/>
              <w:rPr>
                <w:rFonts w:hint="default" w:ascii="Nimbus Roman No9 L" w:hAnsi="Nimbus Roman No9 L" w:eastAsia="仿宋" w:cs="Nimbus Roman No9 L"/>
                <w:sz w:val="24"/>
                <w:szCs w:val="24"/>
                <w:highlight w:val="none"/>
                <w:lang w:val="en-US" w:eastAsia="zh-CN"/>
              </w:rPr>
            </w:pPr>
            <w:r>
              <w:rPr>
                <w:rFonts w:hint="default" w:ascii="Nimbus Roman No9 L" w:hAnsi="Nimbus Roman No9 L" w:eastAsia="仿宋" w:cs="Nimbus Roman No9 L"/>
                <w:sz w:val="24"/>
                <w:szCs w:val="24"/>
                <w:highlight w:val="none"/>
              </w:rPr>
              <w:t>技术标</w:t>
            </w:r>
            <w:r>
              <w:rPr>
                <w:rFonts w:hint="default" w:ascii="Nimbus Roman No9 L" w:hAnsi="Nimbus Roman No9 L" w:eastAsia="仿宋" w:cs="Nimbus Roman No9 L"/>
                <w:sz w:val="24"/>
                <w:szCs w:val="24"/>
                <w:highlight w:val="none"/>
                <w:lang w:val="en-US" w:eastAsia="zh-CN"/>
              </w:rPr>
              <w:t>评审</w:t>
            </w:r>
            <w:r>
              <w:rPr>
                <w:rFonts w:hint="default" w:ascii="Nimbus Roman No9 L" w:hAnsi="Nimbus Roman No9 L" w:eastAsia="仿宋" w:cs="Nimbus Roman No9 L"/>
                <w:sz w:val="24"/>
                <w:szCs w:val="24"/>
                <w:highlight w:val="none"/>
              </w:rPr>
              <w:t>采用计分制</w:t>
            </w:r>
            <w:r>
              <w:rPr>
                <w:rFonts w:hint="default" w:ascii="Nimbus Roman No9 L" w:hAnsi="Nimbus Roman No9 L" w:eastAsia="仿宋" w:cs="Nimbus Roman No9 L"/>
                <w:sz w:val="24"/>
                <w:szCs w:val="24"/>
                <w:highlight w:val="none"/>
                <w:lang w:val="en-US" w:eastAsia="zh-CN"/>
              </w:rPr>
              <w:t>的</w:t>
            </w:r>
          </w:p>
        </w:tc>
        <w:tc>
          <w:tcPr>
            <w:tcW w:w="2508" w:type="dxa"/>
            <w:tcBorders>
              <w:top w:val="single" w:color="auto" w:sz="6" w:space="0"/>
              <w:left w:val="single" w:color="auto" w:sz="6" w:space="0"/>
              <w:bottom w:val="single" w:color="auto" w:sz="6" w:space="0"/>
              <w:right w:val="nil"/>
            </w:tcBorders>
            <w:noWrap w:val="0"/>
            <w:vAlign w:val="center"/>
          </w:tcPr>
          <w:p w14:paraId="187E03F4">
            <w:pPr>
              <w:jc w:val="center"/>
              <w:rPr>
                <w:rFonts w:hint="default" w:ascii="Nimbus Roman No9 L" w:hAnsi="Nimbus Roman No9 L" w:eastAsia="仿宋" w:cs="Nimbus Roman No9 L"/>
                <w:color w:val="auto"/>
                <w:sz w:val="24"/>
                <w:szCs w:val="24"/>
                <w:highlight w:val="none"/>
              </w:rPr>
            </w:pPr>
            <w:r>
              <w:rPr>
                <w:rFonts w:hint="default" w:ascii="Nimbus Roman No9 L" w:hAnsi="Nimbus Roman No9 L" w:eastAsia="仿宋" w:cs="Nimbus Roman No9 L"/>
                <w:color w:val="auto"/>
                <w:kern w:val="2"/>
                <w:sz w:val="24"/>
                <w:szCs w:val="24"/>
                <w:highlight w:val="none"/>
                <w:lang w:val="en-US" w:eastAsia="zh-CN" w:bidi="ar-SA"/>
              </w:rPr>
              <w:t>J</w:t>
            </w:r>
            <w:r>
              <w:rPr>
                <w:rFonts w:hint="default" w:ascii="Nimbus Roman No9 L" w:hAnsi="Nimbus Roman No9 L" w:eastAsia="仿宋" w:cs="Nimbus Roman No9 L"/>
                <w:color w:val="auto"/>
                <w:kern w:val="2"/>
                <w:sz w:val="24"/>
                <w:szCs w:val="24"/>
                <w:highlight w:val="none"/>
                <w:vertAlign w:val="subscript"/>
                <w:lang w:val="en-US" w:eastAsia="zh-CN" w:bidi="ar-SA"/>
              </w:rPr>
              <w:t>2</w:t>
            </w:r>
            <w:r>
              <w:rPr>
                <w:rFonts w:hint="default" w:ascii="Nimbus Roman No9 L" w:hAnsi="Nimbus Roman No9 L" w:eastAsia="仿宋" w:cs="Nimbus Roman No9 L"/>
                <w:color w:val="auto"/>
                <w:sz w:val="24"/>
                <w:szCs w:val="24"/>
                <w:highlight w:val="none"/>
              </w:rPr>
              <w:t>≥70%</w:t>
            </w:r>
          </w:p>
        </w:tc>
        <w:tc>
          <w:tcPr>
            <w:tcW w:w="2256" w:type="dxa"/>
            <w:vMerge w:val="continue"/>
            <w:tcBorders>
              <w:left w:val="single" w:color="auto" w:sz="6" w:space="0"/>
              <w:right w:val="nil"/>
            </w:tcBorders>
            <w:noWrap w:val="0"/>
            <w:vAlign w:val="center"/>
          </w:tcPr>
          <w:p w14:paraId="5C58D3B2">
            <w:pPr>
              <w:jc w:val="center"/>
              <w:rPr>
                <w:rFonts w:hint="default" w:ascii="Nimbus Roman No9 L" w:hAnsi="Nimbus Roman No9 L" w:eastAsia="仿宋" w:cs="Nimbus Roman No9 L"/>
                <w:sz w:val="24"/>
                <w:szCs w:val="24"/>
                <w:highlight w:val="none"/>
              </w:rPr>
            </w:pPr>
          </w:p>
        </w:tc>
      </w:tr>
      <w:tr w14:paraId="70FE7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18" w:type="dxa"/>
            <w:vMerge w:val="continue"/>
            <w:tcBorders>
              <w:left w:val="nil"/>
              <w:bottom w:val="single" w:color="auto" w:sz="6" w:space="0"/>
              <w:right w:val="single" w:color="auto" w:sz="6" w:space="0"/>
            </w:tcBorders>
            <w:noWrap w:val="0"/>
            <w:vAlign w:val="center"/>
          </w:tcPr>
          <w:p w14:paraId="2A86D959">
            <w:pPr>
              <w:jc w:val="center"/>
              <w:rPr>
                <w:rFonts w:hint="default" w:ascii="Nimbus Roman No9 L" w:hAnsi="Nimbus Roman No9 L" w:eastAsia="仿宋" w:cs="Nimbus Roman No9 L"/>
                <w:sz w:val="24"/>
                <w:szCs w:val="24"/>
                <w:highlight w:val="none"/>
              </w:rPr>
            </w:pPr>
          </w:p>
        </w:tc>
        <w:tc>
          <w:tcPr>
            <w:tcW w:w="1507" w:type="dxa"/>
            <w:vMerge w:val="continue"/>
            <w:tcBorders>
              <w:left w:val="single" w:color="auto" w:sz="6" w:space="0"/>
              <w:bottom w:val="single" w:color="auto" w:sz="6" w:space="0"/>
              <w:right w:val="single" w:color="auto" w:sz="6" w:space="0"/>
            </w:tcBorders>
            <w:noWrap w:val="0"/>
            <w:vAlign w:val="center"/>
          </w:tcPr>
          <w:p w14:paraId="0D946F0C">
            <w:pPr>
              <w:jc w:val="center"/>
              <w:rPr>
                <w:rFonts w:hint="default" w:ascii="Nimbus Roman No9 L" w:hAnsi="Nimbus Roman No9 L" w:eastAsia="仿宋" w:cs="Nimbus Roman No9 L"/>
                <w:sz w:val="24"/>
                <w:szCs w:val="24"/>
                <w:highlight w:val="none"/>
              </w:rPr>
            </w:pPr>
          </w:p>
        </w:tc>
        <w:tc>
          <w:tcPr>
            <w:tcW w:w="2028" w:type="dxa"/>
            <w:tcBorders>
              <w:top w:val="single" w:color="auto" w:sz="6" w:space="0"/>
              <w:left w:val="single" w:color="auto" w:sz="6" w:space="0"/>
              <w:bottom w:val="single" w:color="auto" w:sz="6" w:space="0"/>
              <w:right w:val="single" w:color="auto" w:sz="6" w:space="0"/>
            </w:tcBorders>
            <w:noWrap w:val="0"/>
            <w:vAlign w:val="center"/>
          </w:tcPr>
          <w:p w14:paraId="5577912C">
            <w:pPr>
              <w:jc w:val="center"/>
              <w:rPr>
                <w:rFonts w:hint="default" w:ascii="Nimbus Roman No9 L" w:hAnsi="Nimbus Roman No9 L" w:eastAsia="仿宋" w:cs="Nimbus Roman No9 L"/>
                <w:sz w:val="24"/>
                <w:szCs w:val="24"/>
                <w:highlight w:val="none"/>
                <w:lang w:val="en-US" w:eastAsia="zh-CN"/>
              </w:rPr>
            </w:pPr>
            <w:r>
              <w:rPr>
                <w:rFonts w:hint="default" w:ascii="Nimbus Roman No9 L" w:hAnsi="Nimbus Roman No9 L" w:eastAsia="仿宋" w:cs="Nimbus Roman No9 L"/>
                <w:sz w:val="24"/>
                <w:szCs w:val="24"/>
                <w:highlight w:val="none"/>
              </w:rPr>
              <w:t>技术标</w:t>
            </w:r>
            <w:r>
              <w:rPr>
                <w:rFonts w:hint="default" w:ascii="Nimbus Roman No9 L" w:hAnsi="Nimbus Roman No9 L" w:eastAsia="仿宋" w:cs="Nimbus Roman No9 L"/>
                <w:sz w:val="24"/>
                <w:szCs w:val="24"/>
                <w:highlight w:val="none"/>
                <w:lang w:val="en-US" w:eastAsia="zh-CN"/>
              </w:rPr>
              <w:t>评审</w:t>
            </w:r>
            <w:r>
              <w:rPr>
                <w:rFonts w:hint="default" w:ascii="Nimbus Roman No9 L" w:hAnsi="Nimbus Roman No9 L" w:eastAsia="仿宋" w:cs="Nimbus Roman No9 L"/>
                <w:sz w:val="24"/>
                <w:szCs w:val="24"/>
                <w:highlight w:val="none"/>
              </w:rPr>
              <w:t>采用合格制</w:t>
            </w:r>
            <w:r>
              <w:rPr>
                <w:rFonts w:hint="default" w:ascii="Nimbus Roman No9 L" w:hAnsi="Nimbus Roman No9 L" w:eastAsia="仿宋" w:cs="Nimbus Roman No9 L"/>
                <w:sz w:val="24"/>
                <w:szCs w:val="24"/>
                <w:highlight w:val="none"/>
                <w:lang w:val="en-US" w:eastAsia="zh-CN"/>
              </w:rPr>
              <w:t>的</w:t>
            </w:r>
          </w:p>
        </w:tc>
        <w:tc>
          <w:tcPr>
            <w:tcW w:w="2508" w:type="dxa"/>
            <w:tcBorders>
              <w:top w:val="single" w:color="auto" w:sz="6" w:space="0"/>
              <w:left w:val="single" w:color="auto" w:sz="6" w:space="0"/>
              <w:bottom w:val="single" w:color="auto" w:sz="6" w:space="0"/>
              <w:right w:val="nil"/>
            </w:tcBorders>
            <w:noWrap w:val="0"/>
            <w:vAlign w:val="center"/>
          </w:tcPr>
          <w:p w14:paraId="5394FC79">
            <w:pPr>
              <w:jc w:val="center"/>
              <w:rPr>
                <w:rFonts w:hint="default" w:ascii="Nimbus Roman No9 L" w:hAnsi="Nimbus Roman No9 L" w:eastAsia="仿宋" w:cs="Nimbus Roman No9 L"/>
                <w:color w:val="auto"/>
                <w:sz w:val="24"/>
                <w:szCs w:val="24"/>
                <w:highlight w:val="none"/>
              </w:rPr>
            </w:pPr>
            <w:r>
              <w:rPr>
                <w:rFonts w:hint="default" w:ascii="Nimbus Roman No9 L" w:hAnsi="Nimbus Roman No9 L" w:eastAsia="仿宋" w:cs="Nimbus Roman No9 L"/>
                <w:color w:val="auto"/>
                <w:kern w:val="2"/>
                <w:sz w:val="24"/>
                <w:szCs w:val="24"/>
                <w:highlight w:val="none"/>
                <w:lang w:val="en-US" w:eastAsia="zh-CN" w:bidi="ar-SA"/>
              </w:rPr>
              <w:t>J</w:t>
            </w:r>
            <w:r>
              <w:rPr>
                <w:rFonts w:hint="default" w:ascii="Nimbus Roman No9 L" w:hAnsi="Nimbus Roman No9 L" w:eastAsia="仿宋" w:cs="Nimbus Roman No9 L"/>
                <w:color w:val="auto"/>
                <w:kern w:val="2"/>
                <w:sz w:val="24"/>
                <w:szCs w:val="24"/>
                <w:highlight w:val="none"/>
                <w:vertAlign w:val="subscript"/>
                <w:lang w:val="en-US" w:eastAsia="zh-CN" w:bidi="ar-SA"/>
              </w:rPr>
              <w:t>2</w:t>
            </w:r>
            <w:r>
              <w:rPr>
                <w:rFonts w:hint="default" w:ascii="Nimbus Roman No9 L" w:hAnsi="Nimbus Roman No9 L" w:eastAsia="仿宋" w:cs="Nimbus Roman No9 L"/>
                <w:color w:val="auto"/>
                <w:sz w:val="24"/>
                <w:szCs w:val="24"/>
                <w:highlight w:val="none"/>
              </w:rPr>
              <w:t>=100%</w:t>
            </w:r>
          </w:p>
        </w:tc>
        <w:tc>
          <w:tcPr>
            <w:tcW w:w="2256" w:type="dxa"/>
            <w:vMerge w:val="continue"/>
            <w:tcBorders>
              <w:left w:val="single" w:color="auto" w:sz="6" w:space="0"/>
              <w:bottom w:val="single" w:color="auto" w:sz="6" w:space="0"/>
              <w:right w:val="nil"/>
            </w:tcBorders>
            <w:noWrap w:val="0"/>
            <w:vAlign w:val="center"/>
          </w:tcPr>
          <w:p w14:paraId="3F7DDA71">
            <w:pPr>
              <w:jc w:val="center"/>
              <w:rPr>
                <w:rFonts w:hint="default" w:ascii="Nimbus Roman No9 L" w:hAnsi="Nimbus Roman No9 L" w:eastAsia="仿宋" w:cs="Nimbus Roman No9 L"/>
                <w:sz w:val="24"/>
                <w:szCs w:val="24"/>
                <w:highlight w:val="none"/>
              </w:rPr>
            </w:pPr>
          </w:p>
        </w:tc>
      </w:tr>
      <w:tr w14:paraId="67FF39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918" w:type="dxa"/>
            <w:tcBorders>
              <w:top w:val="single" w:color="auto" w:sz="6" w:space="0"/>
              <w:left w:val="nil"/>
              <w:right w:val="single" w:color="auto" w:sz="6" w:space="0"/>
            </w:tcBorders>
            <w:noWrap w:val="0"/>
            <w:vAlign w:val="center"/>
          </w:tcPr>
          <w:p w14:paraId="4E380C5E">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rPr>
              <w:t>3</w:t>
            </w:r>
          </w:p>
        </w:tc>
        <w:tc>
          <w:tcPr>
            <w:tcW w:w="3535" w:type="dxa"/>
            <w:gridSpan w:val="2"/>
            <w:tcBorders>
              <w:top w:val="single" w:color="auto" w:sz="6" w:space="0"/>
              <w:left w:val="single" w:color="auto" w:sz="6" w:space="0"/>
              <w:right w:val="single" w:color="auto" w:sz="6" w:space="0"/>
            </w:tcBorders>
            <w:noWrap w:val="0"/>
            <w:vAlign w:val="center"/>
          </w:tcPr>
          <w:p w14:paraId="21B549FA">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rPr>
              <w:t>商务评审</w:t>
            </w:r>
            <w:r>
              <w:rPr>
                <w:rFonts w:hint="eastAsia" w:ascii="Nimbus Roman No9 L" w:hAnsi="Nimbus Roman No9 L" w:eastAsia="仿宋" w:cs="Nimbus Roman No9 L"/>
                <w:sz w:val="24"/>
                <w:szCs w:val="24"/>
                <w:highlight w:val="none"/>
                <w:lang w:eastAsia="zh-CN"/>
              </w:rPr>
              <w:t>（</w:t>
            </w:r>
            <w:r>
              <w:rPr>
                <w:rFonts w:hint="default" w:ascii="Nimbus Roman No9 L" w:hAnsi="Nimbus Roman No9 L" w:eastAsia="仿宋" w:cs="Nimbus Roman No9 L"/>
                <w:sz w:val="24"/>
                <w:szCs w:val="24"/>
                <w:highlight w:val="none"/>
                <w:lang w:val="en-US" w:eastAsia="zh-CN"/>
              </w:rPr>
              <w:t>D</w:t>
            </w:r>
            <w:r>
              <w:rPr>
                <w:rFonts w:hint="eastAsia" w:ascii="Nimbus Roman No9 L" w:hAnsi="Nimbus Roman No9 L" w:eastAsia="仿宋" w:cs="Nimbus Roman No9 L"/>
                <w:sz w:val="24"/>
                <w:szCs w:val="24"/>
                <w:highlight w:val="none"/>
                <w:lang w:val="en-US" w:eastAsia="zh-CN"/>
              </w:rPr>
              <w:t>）</w:t>
            </w:r>
          </w:p>
        </w:tc>
        <w:tc>
          <w:tcPr>
            <w:tcW w:w="2508" w:type="dxa"/>
            <w:tcBorders>
              <w:top w:val="single" w:color="auto" w:sz="6" w:space="0"/>
              <w:left w:val="single" w:color="auto" w:sz="6" w:space="0"/>
              <w:bottom w:val="single" w:color="auto" w:sz="6" w:space="0"/>
              <w:right w:val="nil"/>
            </w:tcBorders>
            <w:noWrap w:val="0"/>
            <w:vAlign w:val="center"/>
          </w:tcPr>
          <w:p w14:paraId="731A9AE9">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lang w:val="en-US" w:eastAsia="zh-CN"/>
              </w:rPr>
              <w:t>10</w:t>
            </w:r>
            <w:r>
              <w:rPr>
                <w:rFonts w:hint="default" w:ascii="Nimbus Roman No9 L" w:hAnsi="Nimbus Roman No9 L" w:eastAsia="仿宋" w:cs="Nimbus Roman No9 L"/>
                <w:sz w:val="24"/>
                <w:szCs w:val="24"/>
                <w:highlight w:val="none"/>
              </w:rPr>
              <w:t>分（固定分值）</w:t>
            </w:r>
          </w:p>
        </w:tc>
        <w:tc>
          <w:tcPr>
            <w:tcW w:w="2256" w:type="dxa"/>
            <w:tcBorders>
              <w:top w:val="single" w:color="auto" w:sz="6" w:space="0"/>
              <w:left w:val="single" w:color="auto" w:sz="6" w:space="0"/>
              <w:bottom w:val="single" w:color="auto" w:sz="6" w:space="0"/>
              <w:right w:val="nil"/>
            </w:tcBorders>
            <w:noWrap w:val="0"/>
            <w:vAlign w:val="center"/>
          </w:tcPr>
          <w:p w14:paraId="5A58CD19">
            <w:pPr>
              <w:jc w:val="center"/>
              <w:rPr>
                <w:rFonts w:hint="default" w:ascii="Nimbus Roman No9 L" w:hAnsi="Nimbus Roman No9 L" w:eastAsia="仿宋" w:cs="Nimbus Roman No9 L"/>
                <w:sz w:val="24"/>
                <w:szCs w:val="24"/>
                <w:highlight w:val="none"/>
              </w:rPr>
            </w:pPr>
            <w:r>
              <w:rPr>
                <w:rFonts w:hint="default" w:ascii="Nimbus Roman No9 L" w:hAnsi="Nimbus Roman No9 L" w:eastAsia="仿宋" w:cs="Nimbus Roman No9 L"/>
                <w:sz w:val="24"/>
                <w:szCs w:val="24"/>
                <w:highlight w:val="none"/>
                <w:lang w:val="en-US" w:eastAsia="zh-CN"/>
              </w:rPr>
              <w:t>10</w:t>
            </w:r>
            <w:r>
              <w:rPr>
                <w:rFonts w:hint="default" w:ascii="Nimbus Roman No9 L" w:hAnsi="Nimbus Roman No9 L" w:eastAsia="仿宋" w:cs="Nimbus Roman No9 L"/>
                <w:sz w:val="24"/>
                <w:szCs w:val="24"/>
                <w:highlight w:val="none"/>
              </w:rPr>
              <w:t>分（固定分值）</w:t>
            </w:r>
          </w:p>
        </w:tc>
      </w:tr>
    </w:tbl>
    <w:p w14:paraId="38CEE0B5">
      <w:pPr>
        <w:pStyle w:val="2"/>
        <w:spacing w:line="540" w:lineRule="exact"/>
        <w:ind w:firstLine="640" w:firstLineChars="200"/>
        <w:rPr>
          <w:rFonts w:hint="default" w:ascii="Nimbus Roman No9 L" w:hAnsi="Nimbus Roman No9 L" w:eastAsia="黑体" w:cs="Nimbus Roman No9 L"/>
          <w:sz w:val="32"/>
          <w:szCs w:val="32"/>
          <w:highlight w:val="none"/>
        </w:rPr>
      </w:pPr>
      <w:r>
        <w:rPr>
          <w:rFonts w:hint="default" w:ascii="Nimbus Roman No9 L" w:hAnsi="Nimbus Roman No9 L" w:eastAsia="黑体" w:cs="Nimbus Roman No9 L"/>
          <w:sz w:val="32"/>
          <w:szCs w:val="32"/>
          <w:highlight w:val="none"/>
          <w:lang w:val="en-US" w:eastAsia="zh-CN"/>
        </w:rPr>
        <w:t>三、推荐中标候选</w:t>
      </w:r>
      <w:r>
        <w:rPr>
          <w:rFonts w:hint="default" w:ascii="Nimbus Roman No9 L" w:hAnsi="Nimbus Roman No9 L" w:eastAsia="黑体" w:cs="Nimbus Roman No9 L"/>
          <w:sz w:val="32"/>
          <w:szCs w:val="32"/>
          <w:highlight w:val="none"/>
        </w:rPr>
        <w:t>人</w:t>
      </w:r>
    </w:p>
    <w:p w14:paraId="1456BEED">
      <w:pPr>
        <w:pStyle w:val="2"/>
        <w:spacing w:line="540" w:lineRule="exact"/>
        <w:ind w:firstLine="640" w:firstLineChars="200"/>
        <w:rPr>
          <w:rFonts w:hint="default" w:ascii="Nimbus Roman No9 L" w:hAnsi="Nimbus Roman No9 L" w:eastAsia="仿宋_GB2312" w:cs="Nimbus Roman No9 L"/>
          <w:b/>
          <w:bCs/>
          <w:sz w:val="32"/>
          <w:szCs w:val="32"/>
          <w:highlight w:val="none"/>
        </w:rPr>
      </w:pPr>
      <w:r>
        <w:rPr>
          <w:rFonts w:hint="default" w:ascii="Nimbus Roman No9 L" w:hAnsi="Nimbus Roman No9 L" w:eastAsia="仿宋_GB2312" w:cs="Nimbus Roman No9 L"/>
          <w:sz w:val="32"/>
          <w:szCs w:val="32"/>
          <w:highlight w:val="none"/>
          <w:lang w:val="en-US" w:eastAsia="zh-CN"/>
        </w:rPr>
        <w:t>按照</w:t>
      </w:r>
      <w:r>
        <w:rPr>
          <w:rFonts w:hint="default" w:ascii="Nimbus Roman No9 L" w:hAnsi="Nimbus Roman No9 L" w:eastAsia="仿宋_GB2312" w:cs="Nimbus Roman No9 L"/>
          <w:sz w:val="32"/>
          <w:szCs w:val="32"/>
          <w:highlight w:val="none"/>
        </w:rPr>
        <w:t>评标总得</w:t>
      </w:r>
      <w:r>
        <w:rPr>
          <w:rFonts w:hint="default" w:ascii="Nimbus Roman No9 L" w:hAnsi="Nimbus Roman No9 L" w:eastAsia="仿宋_GB2312" w:cs="Nimbus Roman No9 L"/>
          <w:sz w:val="32"/>
          <w:szCs w:val="32"/>
          <w:highlight w:val="none"/>
          <w:lang w:val="en-US" w:eastAsia="zh-CN"/>
        </w:rPr>
        <w:t>分从高</w:t>
      </w:r>
      <w:r>
        <w:rPr>
          <w:rFonts w:hint="eastAsia" w:ascii="Nimbus Roman No9 L" w:hAnsi="Nimbus Roman No9 L" w:eastAsia="仿宋_GB2312" w:cs="Nimbus Roman No9 L"/>
          <w:sz w:val="32"/>
          <w:szCs w:val="32"/>
          <w:highlight w:val="none"/>
          <w:lang w:val="en-US" w:eastAsia="zh-CN"/>
        </w:rPr>
        <w:t>到</w:t>
      </w:r>
      <w:r>
        <w:rPr>
          <w:rFonts w:hint="default" w:ascii="Nimbus Roman No9 L" w:hAnsi="Nimbus Roman No9 L" w:eastAsia="仿宋_GB2312" w:cs="Nimbus Roman No9 L"/>
          <w:sz w:val="32"/>
          <w:szCs w:val="32"/>
          <w:highlight w:val="none"/>
          <w:lang w:val="en-US" w:eastAsia="zh-CN"/>
        </w:rPr>
        <w:t>低确定投标人排序。</w:t>
      </w:r>
      <w:r>
        <w:rPr>
          <w:rFonts w:hint="default" w:ascii="Nimbus Roman No9 L" w:hAnsi="Nimbus Roman No9 L" w:eastAsia="仿宋_GB2312" w:cs="Nimbus Roman No9 L"/>
          <w:sz w:val="32"/>
          <w:szCs w:val="32"/>
          <w:highlight w:val="none"/>
        </w:rPr>
        <w:t>当出现</w:t>
      </w:r>
      <w:r>
        <w:rPr>
          <w:rFonts w:hint="eastAsia" w:ascii="Nimbus Roman No9 L" w:hAnsi="Nimbus Roman No9 L" w:eastAsia="仿宋_GB2312" w:cs="Nimbus Roman No9 L"/>
          <w:sz w:val="32"/>
          <w:szCs w:val="32"/>
          <w:highlight w:val="none"/>
          <w:lang w:eastAsia="zh-CN"/>
        </w:rPr>
        <w:t>两个或两个</w:t>
      </w:r>
      <w:r>
        <w:rPr>
          <w:rFonts w:hint="default" w:ascii="Nimbus Roman No9 L" w:hAnsi="Nimbus Roman No9 L" w:eastAsia="仿宋_GB2312" w:cs="Nimbus Roman No9 L"/>
          <w:sz w:val="32"/>
          <w:szCs w:val="32"/>
          <w:highlight w:val="none"/>
        </w:rPr>
        <w:t>以上投标人评标总得分相同时，由评标委员会按照其投标报价由低至高进行排序。</w:t>
      </w:r>
      <w:r>
        <w:rPr>
          <w:rFonts w:hint="default" w:ascii="Nimbus Roman No9 L" w:hAnsi="Nimbus Roman No9 L" w:eastAsia="仿宋_GB2312" w:cs="Nimbus Roman No9 L"/>
          <w:sz w:val="32"/>
          <w:szCs w:val="32"/>
          <w:highlight w:val="none"/>
          <w:lang w:val="en-US" w:eastAsia="zh-CN"/>
        </w:rPr>
        <w:t>根据招标文件的要求，推荐不超过3个有排序的中标候选人，招标人按照中标候选人的排序确定中标人。</w:t>
      </w:r>
    </w:p>
    <w:p w14:paraId="203C3D2F">
      <w:pPr>
        <w:rPr>
          <w:rFonts w:hint="default" w:ascii="Nimbus Roman No9 L" w:hAnsi="Nimbus Roman No9 L" w:eastAsia="仿宋" w:cs="Nimbus Roman No9 L"/>
          <w:b/>
          <w:bCs/>
          <w:sz w:val="32"/>
          <w:szCs w:val="32"/>
          <w:highlight w:val="none"/>
        </w:rPr>
      </w:pPr>
      <w:r>
        <w:rPr>
          <w:rFonts w:hint="default" w:ascii="Nimbus Roman No9 L" w:hAnsi="Nimbus Roman No9 L" w:eastAsia="仿宋" w:cs="Nimbus Roman No9 L"/>
          <w:b/>
          <w:bCs/>
          <w:sz w:val="32"/>
          <w:szCs w:val="32"/>
          <w:highlight w:val="none"/>
        </w:rPr>
        <w:br w:type="page"/>
      </w:r>
    </w:p>
    <w:p w14:paraId="16052157">
      <w:pPr>
        <w:spacing w:line="440" w:lineRule="exact"/>
        <w:jc w:val="left"/>
        <w:rPr>
          <w:rFonts w:hint="default" w:ascii="Nimbus Roman No9 L" w:hAnsi="Nimbus Roman No9 L" w:eastAsia="仿宋" w:cs="Nimbus Roman No9 L"/>
          <w:b/>
          <w:bCs/>
          <w:sz w:val="32"/>
          <w:szCs w:val="32"/>
          <w:highlight w:val="none"/>
        </w:rPr>
      </w:pPr>
      <w:r>
        <w:rPr>
          <w:rFonts w:hint="default" w:ascii="Nimbus Roman No9 L" w:hAnsi="Nimbus Roman No9 L" w:eastAsia="仿宋" w:cs="Nimbus Roman No9 L"/>
          <w:b/>
          <w:bCs/>
          <w:sz w:val="32"/>
          <w:szCs w:val="32"/>
          <w:highlight w:val="none"/>
        </w:rPr>
        <w:t>附表1-1</w:t>
      </w:r>
    </w:p>
    <w:tbl>
      <w:tblPr>
        <w:tblStyle w:val="12"/>
        <w:tblW w:w="0" w:type="auto"/>
        <w:jc w:val="center"/>
        <w:tblLayout w:type="fixed"/>
        <w:tblCellMar>
          <w:top w:w="0" w:type="dxa"/>
          <w:left w:w="0" w:type="dxa"/>
          <w:bottom w:w="0" w:type="dxa"/>
          <w:right w:w="0" w:type="dxa"/>
        </w:tblCellMar>
      </w:tblPr>
      <w:tblGrid>
        <w:gridCol w:w="772"/>
        <w:gridCol w:w="6272"/>
        <w:gridCol w:w="900"/>
        <w:gridCol w:w="912"/>
      </w:tblGrid>
      <w:tr w14:paraId="3648B930">
        <w:tblPrEx>
          <w:tblCellMar>
            <w:top w:w="0" w:type="dxa"/>
            <w:left w:w="0" w:type="dxa"/>
            <w:bottom w:w="0" w:type="dxa"/>
            <w:right w:w="0" w:type="dxa"/>
          </w:tblCellMar>
        </w:tblPrEx>
        <w:trPr>
          <w:trHeight w:val="1044" w:hRule="atLeast"/>
          <w:jc w:val="center"/>
        </w:trPr>
        <w:tc>
          <w:tcPr>
            <w:tcW w:w="8856" w:type="dxa"/>
            <w:gridSpan w:val="4"/>
            <w:tcBorders>
              <w:top w:val="nil"/>
              <w:left w:val="nil"/>
              <w:bottom w:val="nil"/>
              <w:right w:val="nil"/>
            </w:tcBorders>
            <w:noWrap w:val="0"/>
            <w:tcMar>
              <w:top w:w="15" w:type="dxa"/>
              <w:left w:w="15" w:type="dxa"/>
              <w:right w:w="15" w:type="dxa"/>
            </w:tcMar>
            <w:vAlign w:val="center"/>
          </w:tcPr>
          <w:p w14:paraId="4FC50D98">
            <w:pPr>
              <w:widowControl/>
              <w:jc w:val="center"/>
              <w:textAlignment w:val="center"/>
              <w:rPr>
                <w:rFonts w:hint="default" w:ascii="Nimbus Roman No9 L" w:hAnsi="Nimbus Roman No9 L" w:eastAsia="宋体" w:cs="Nimbus Roman No9 L"/>
                <w:b/>
                <w:color w:val="000000"/>
                <w:sz w:val="32"/>
                <w:szCs w:val="32"/>
                <w:highlight w:val="none"/>
                <w:lang w:eastAsia="zh-CN"/>
              </w:rPr>
            </w:pPr>
            <w:r>
              <w:rPr>
                <w:rFonts w:hint="default" w:ascii="Nimbus Roman No9 L" w:hAnsi="Nimbus Roman No9 L" w:eastAsia="宋体" w:cs="Nimbus Roman No9 L"/>
                <w:b/>
                <w:color w:val="000000"/>
                <w:kern w:val="0"/>
                <w:sz w:val="36"/>
                <w:szCs w:val="36"/>
                <w:highlight w:val="none"/>
                <w:lang w:bidi="ar"/>
              </w:rPr>
              <w:t>形式评审</w:t>
            </w:r>
            <w:r>
              <w:rPr>
                <w:rFonts w:hint="default" w:ascii="Nimbus Roman No9 L" w:hAnsi="Nimbus Roman No9 L" w:eastAsia="宋体" w:cs="Nimbus Roman No9 L"/>
                <w:b/>
                <w:color w:val="000000"/>
                <w:kern w:val="0"/>
                <w:sz w:val="36"/>
                <w:szCs w:val="36"/>
                <w:highlight w:val="none"/>
                <w:lang w:val="en-US" w:eastAsia="zh-CN" w:bidi="ar"/>
              </w:rPr>
              <w:t>标准</w:t>
            </w:r>
          </w:p>
        </w:tc>
      </w:tr>
      <w:tr w14:paraId="2C43D113">
        <w:tblPrEx>
          <w:tblCellMar>
            <w:top w:w="0" w:type="dxa"/>
            <w:left w:w="0" w:type="dxa"/>
            <w:bottom w:w="0" w:type="dxa"/>
            <w:right w:w="0" w:type="dxa"/>
          </w:tblCellMar>
        </w:tblPrEx>
        <w:trPr>
          <w:trHeight w:val="489" w:hRule="atLeast"/>
          <w:jc w:val="center"/>
        </w:trPr>
        <w:tc>
          <w:tcPr>
            <w:tcW w:w="7044" w:type="dxa"/>
            <w:gridSpan w:val="2"/>
            <w:tcBorders>
              <w:top w:val="nil"/>
              <w:left w:val="nil"/>
              <w:bottom w:val="nil"/>
              <w:right w:val="nil"/>
            </w:tcBorders>
            <w:noWrap w:val="0"/>
            <w:tcMar>
              <w:top w:w="15" w:type="dxa"/>
              <w:left w:w="15" w:type="dxa"/>
              <w:right w:w="15" w:type="dxa"/>
            </w:tcMar>
            <w:vAlign w:val="center"/>
          </w:tcPr>
          <w:p w14:paraId="7A81161D">
            <w:pPr>
              <w:jc w:val="left"/>
              <w:rPr>
                <w:rFonts w:hint="default" w:ascii="Nimbus Roman No9 L" w:hAnsi="Nimbus Roman No9 L" w:eastAsia="宋体" w:cs="Nimbus Roman No9 L"/>
                <w:b/>
                <w:color w:val="000000"/>
                <w:sz w:val="32"/>
                <w:szCs w:val="32"/>
                <w:highlight w:val="none"/>
              </w:rPr>
            </w:pPr>
            <w:r>
              <w:rPr>
                <w:rFonts w:hint="default" w:ascii="Nimbus Roman No9 L" w:hAnsi="Nimbus Roman No9 L" w:eastAsia="宋体" w:cs="Nimbus Roman No9 L"/>
                <w:b/>
                <w:bCs/>
                <w:color w:val="000000"/>
                <w:kern w:val="0"/>
                <w:sz w:val="24"/>
                <w:szCs w:val="24"/>
                <w:highlight w:val="none"/>
                <w:lang w:bidi="ar"/>
              </w:rPr>
              <w:t>项目名称：</w:t>
            </w:r>
          </w:p>
        </w:tc>
        <w:tc>
          <w:tcPr>
            <w:tcW w:w="900" w:type="dxa"/>
            <w:tcBorders>
              <w:top w:val="nil"/>
              <w:left w:val="nil"/>
              <w:bottom w:val="nil"/>
              <w:right w:val="nil"/>
            </w:tcBorders>
            <w:noWrap w:val="0"/>
            <w:tcMar>
              <w:top w:w="15" w:type="dxa"/>
              <w:left w:w="15" w:type="dxa"/>
              <w:right w:w="15" w:type="dxa"/>
            </w:tcMar>
            <w:vAlign w:val="center"/>
          </w:tcPr>
          <w:p w14:paraId="1E2E21DA">
            <w:pPr>
              <w:jc w:val="center"/>
              <w:rPr>
                <w:rFonts w:hint="default" w:ascii="Nimbus Roman No9 L" w:hAnsi="Nimbus Roman No9 L" w:eastAsia="宋体" w:cs="Nimbus Roman No9 L"/>
                <w:b/>
                <w:color w:val="000000"/>
                <w:sz w:val="32"/>
                <w:szCs w:val="32"/>
                <w:highlight w:val="none"/>
              </w:rPr>
            </w:pPr>
          </w:p>
        </w:tc>
        <w:tc>
          <w:tcPr>
            <w:tcW w:w="912" w:type="dxa"/>
            <w:tcBorders>
              <w:top w:val="nil"/>
              <w:left w:val="nil"/>
              <w:bottom w:val="nil"/>
              <w:right w:val="nil"/>
            </w:tcBorders>
            <w:noWrap w:val="0"/>
            <w:tcMar>
              <w:top w:w="15" w:type="dxa"/>
              <w:left w:w="15" w:type="dxa"/>
              <w:right w:w="15" w:type="dxa"/>
            </w:tcMar>
            <w:vAlign w:val="center"/>
          </w:tcPr>
          <w:p w14:paraId="3F653658">
            <w:pPr>
              <w:jc w:val="center"/>
              <w:rPr>
                <w:rFonts w:hint="default" w:ascii="Nimbus Roman No9 L" w:hAnsi="Nimbus Roman No9 L" w:eastAsia="宋体" w:cs="Nimbus Roman No9 L"/>
                <w:b/>
                <w:color w:val="000000"/>
                <w:sz w:val="32"/>
                <w:szCs w:val="32"/>
                <w:highlight w:val="none"/>
              </w:rPr>
            </w:pPr>
          </w:p>
        </w:tc>
      </w:tr>
      <w:tr w14:paraId="499131A6">
        <w:tblPrEx>
          <w:tblCellMar>
            <w:top w:w="0" w:type="dxa"/>
            <w:left w:w="0" w:type="dxa"/>
            <w:bottom w:w="0" w:type="dxa"/>
            <w:right w:w="0" w:type="dxa"/>
          </w:tblCellMar>
        </w:tblPrEx>
        <w:trPr>
          <w:trHeight w:val="312" w:hRule="atLeast"/>
          <w:jc w:val="center"/>
        </w:trPr>
        <w:tc>
          <w:tcPr>
            <w:tcW w:w="77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6ADD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eastAsia="zh-CN" w:bidi="ar"/>
              </w:rPr>
            </w:pPr>
            <w:r>
              <w:rPr>
                <w:rFonts w:hint="default" w:ascii="Nimbus Roman No9 L" w:hAnsi="Nimbus Roman No9 L" w:eastAsia="宋体" w:cs="Nimbus Roman No9 L"/>
                <w:b/>
                <w:color w:val="000000"/>
                <w:kern w:val="0"/>
                <w:sz w:val="24"/>
                <w:highlight w:val="none"/>
                <w:lang w:val="en-US" w:eastAsia="zh-CN" w:bidi="ar"/>
              </w:rPr>
              <w:t>序号</w:t>
            </w:r>
          </w:p>
        </w:tc>
        <w:tc>
          <w:tcPr>
            <w:tcW w:w="627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A393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评审内容</w:t>
            </w:r>
          </w:p>
        </w:tc>
        <w:tc>
          <w:tcPr>
            <w:tcW w:w="181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B172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评审意见</w:t>
            </w:r>
          </w:p>
          <w:p w14:paraId="5E470F2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（是否通过）</w:t>
            </w:r>
          </w:p>
        </w:tc>
      </w:tr>
      <w:tr w14:paraId="330454FC">
        <w:tblPrEx>
          <w:tblCellMar>
            <w:top w:w="0" w:type="dxa"/>
            <w:left w:w="0" w:type="dxa"/>
            <w:bottom w:w="0" w:type="dxa"/>
            <w:right w:w="0" w:type="dxa"/>
          </w:tblCellMar>
        </w:tblPrEx>
        <w:trPr>
          <w:trHeight w:val="312" w:hRule="atLeast"/>
          <w:jc w:val="center"/>
        </w:trPr>
        <w:tc>
          <w:tcPr>
            <w:tcW w:w="77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AAF7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p>
        </w:tc>
        <w:tc>
          <w:tcPr>
            <w:tcW w:w="627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57B7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p>
        </w:tc>
        <w:tc>
          <w:tcPr>
            <w:tcW w:w="181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25F3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p>
        </w:tc>
      </w:tr>
      <w:tr w14:paraId="4E1F9A47">
        <w:tblPrEx>
          <w:tblCellMar>
            <w:top w:w="0" w:type="dxa"/>
            <w:left w:w="0" w:type="dxa"/>
            <w:bottom w:w="0" w:type="dxa"/>
            <w:right w:w="0" w:type="dxa"/>
          </w:tblCellMar>
        </w:tblPrEx>
        <w:trPr>
          <w:trHeight w:val="270" w:hRule="atLeast"/>
          <w:jc w:val="center"/>
        </w:trPr>
        <w:tc>
          <w:tcPr>
            <w:tcW w:w="77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BBD1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p>
        </w:tc>
        <w:tc>
          <w:tcPr>
            <w:tcW w:w="627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EE14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559AF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是</w:t>
            </w: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4FFA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否</w:t>
            </w:r>
          </w:p>
        </w:tc>
      </w:tr>
      <w:tr w14:paraId="4EF2B8C6">
        <w:tblPrEx>
          <w:tblCellMar>
            <w:top w:w="0" w:type="dxa"/>
            <w:left w:w="0" w:type="dxa"/>
            <w:bottom w:w="0" w:type="dxa"/>
            <w:right w:w="0" w:type="dxa"/>
          </w:tblCellMar>
        </w:tblPrEx>
        <w:trPr>
          <w:trHeight w:val="1140" w:hRule="atLeast"/>
          <w:jc w:val="center"/>
        </w:trPr>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00767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1</w:t>
            </w:r>
          </w:p>
        </w:tc>
        <w:tc>
          <w:tcPr>
            <w:tcW w:w="62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B7379C">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lang w:val="en-US" w:eastAsia="zh-CN"/>
              </w:rPr>
              <w:t>未按照招标文件要求提供投标担保，或者所提供的投标担保有瑕疵的；</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2CE5B">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C4C0D8">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r>
      <w:tr w14:paraId="2A29801B">
        <w:tblPrEx>
          <w:tblCellMar>
            <w:top w:w="0" w:type="dxa"/>
            <w:left w:w="0" w:type="dxa"/>
            <w:bottom w:w="0" w:type="dxa"/>
            <w:right w:w="0" w:type="dxa"/>
          </w:tblCellMar>
        </w:tblPrEx>
        <w:trPr>
          <w:trHeight w:val="967" w:hRule="atLeast"/>
          <w:jc w:val="center"/>
        </w:trPr>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15DB4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2</w:t>
            </w:r>
          </w:p>
        </w:tc>
        <w:tc>
          <w:tcPr>
            <w:tcW w:w="62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2F606">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lang w:val="en-US" w:eastAsia="zh-CN"/>
              </w:rPr>
              <w:t>项目负责人不是投标人注册执业人员的；</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A8E777">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B08E4">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r>
      <w:tr w14:paraId="2CC9E063">
        <w:tblPrEx>
          <w:tblCellMar>
            <w:top w:w="0" w:type="dxa"/>
            <w:left w:w="0" w:type="dxa"/>
            <w:bottom w:w="0" w:type="dxa"/>
            <w:right w:w="0" w:type="dxa"/>
          </w:tblCellMar>
        </w:tblPrEx>
        <w:trPr>
          <w:trHeight w:val="982" w:hRule="atLeast"/>
          <w:jc w:val="center"/>
        </w:trPr>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5D15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3</w:t>
            </w:r>
          </w:p>
        </w:tc>
        <w:tc>
          <w:tcPr>
            <w:tcW w:w="62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20662">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lang w:val="en-US" w:eastAsia="zh-CN"/>
              </w:rPr>
              <w:t>投标文件指定位置没有投标单位法定代表人或其授权代表签字（章）和加盖投标单位公章的；</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2FA24">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AD17AC">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r>
      <w:tr w14:paraId="1644EFAA">
        <w:tblPrEx>
          <w:tblCellMar>
            <w:top w:w="0" w:type="dxa"/>
            <w:left w:w="0" w:type="dxa"/>
            <w:bottom w:w="0" w:type="dxa"/>
            <w:right w:w="0" w:type="dxa"/>
          </w:tblCellMar>
        </w:tblPrEx>
        <w:trPr>
          <w:trHeight w:val="1140" w:hRule="atLeast"/>
          <w:jc w:val="center"/>
        </w:trPr>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6FA22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4</w:t>
            </w:r>
          </w:p>
        </w:tc>
        <w:tc>
          <w:tcPr>
            <w:tcW w:w="62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4F4C8">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lang w:val="en-US" w:eastAsia="zh-CN"/>
              </w:rPr>
              <w:t>组成一个联合体投标，未提交联合体各方签订的共同投标协议的；</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6FA0C">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4FF8A">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r>
      <w:tr w14:paraId="59B736B2">
        <w:tblPrEx>
          <w:tblCellMar>
            <w:top w:w="0" w:type="dxa"/>
            <w:left w:w="0" w:type="dxa"/>
            <w:bottom w:w="0" w:type="dxa"/>
            <w:right w:w="0" w:type="dxa"/>
          </w:tblCellMar>
        </w:tblPrEx>
        <w:trPr>
          <w:trHeight w:val="1140" w:hRule="atLeast"/>
          <w:jc w:val="center"/>
        </w:trPr>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4856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5</w:t>
            </w:r>
          </w:p>
        </w:tc>
        <w:tc>
          <w:tcPr>
            <w:tcW w:w="62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DD6FF">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lang w:val="en-US" w:eastAsia="zh-CN"/>
              </w:rPr>
              <w:t>投标文件载明的技术规格、技术标准、货物包装方式、检验标准和方法等，不符合招标文件要求的；</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5B776D">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0B20E0">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r>
      <w:tr w14:paraId="17329B3C">
        <w:tblPrEx>
          <w:tblCellMar>
            <w:top w:w="0" w:type="dxa"/>
            <w:left w:w="0" w:type="dxa"/>
            <w:bottom w:w="0" w:type="dxa"/>
            <w:right w:w="0" w:type="dxa"/>
          </w:tblCellMar>
        </w:tblPrEx>
        <w:trPr>
          <w:trHeight w:val="940" w:hRule="atLeast"/>
          <w:jc w:val="center"/>
        </w:trPr>
        <w:tc>
          <w:tcPr>
            <w:tcW w:w="7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77106">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c>
          <w:tcPr>
            <w:tcW w:w="627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232A1">
            <w:pPr>
              <w:keepNext w:val="0"/>
              <w:keepLines w:val="0"/>
              <w:pageBreakBefore w:val="0"/>
              <w:widowControl/>
              <w:kinsoku/>
              <w:wordWrap/>
              <w:overflowPunct/>
              <w:topLinePunct w:val="0"/>
              <w:autoSpaceDE/>
              <w:autoSpaceDN/>
              <w:bidi w:val="0"/>
              <w:adjustRightInd/>
              <w:snapToGrid/>
              <w:spacing w:line="400" w:lineRule="exact"/>
              <w:jc w:val="both"/>
              <w:textAlignment w:val="top"/>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bidi="ar"/>
              </w:rPr>
              <w:t>……</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05B7B">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718108">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r>
      <w:tr w14:paraId="3FE52EE3">
        <w:tblPrEx>
          <w:tblCellMar>
            <w:top w:w="0" w:type="dxa"/>
            <w:left w:w="0" w:type="dxa"/>
            <w:bottom w:w="0" w:type="dxa"/>
            <w:right w:w="0" w:type="dxa"/>
          </w:tblCellMar>
        </w:tblPrEx>
        <w:trPr>
          <w:trHeight w:val="800" w:hRule="atLeast"/>
          <w:jc w:val="center"/>
        </w:trPr>
        <w:tc>
          <w:tcPr>
            <w:tcW w:w="70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6924F">
            <w:pPr>
              <w:keepNext w:val="0"/>
              <w:keepLines w:val="0"/>
              <w:pageBreakBefore w:val="0"/>
              <w:widowControl/>
              <w:kinsoku/>
              <w:wordWrap/>
              <w:overflowPunct/>
              <w:topLinePunct w:val="0"/>
              <w:autoSpaceDE/>
              <w:autoSpaceDN/>
              <w:bidi w:val="0"/>
              <w:adjustRightInd/>
              <w:snapToGrid/>
              <w:spacing w:line="400" w:lineRule="exact"/>
              <w:jc w:val="both"/>
              <w:textAlignment w:val="top"/>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结论：是否通过评审</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6A20B">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Cs w:val="21"/>
                <w:highlight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815E7">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bl>
    <w:p w14:paraId="0ECA6FD9">
      <w:pPr>
        <w:spacing w:line="240" w:lineRule="auto"/>
        <w:jc w:val="left"/>
        <w:rPr>
          <w:rFonts w:hint="default" w:ascii="Nimbus Roman No9 L" w:hAnsi="Nimbus Roman No9 L" w:eastAsia="仿宋" w:cs="Nimbus Roman No9 L"/>
          <w:b/>
          <w:bCs/>
          <w:sz w:val="32"/>
          <w:szCs w:val="32"/>
          <w:highlight w:val="none"/>
        </w:rPr>
      </w:pPr>
      <w:r>
        <w:rPr>
          <w:rFonts w:hint="default" w:ascii="Nimbus Roman No9 L" w:hAnsi="Nimbus Roman No9 L" w:eastAsia="仿宋" w:cs="Nimbus Roman No9 L"/>
          <w:sz w:val="24"/>
          <w:highlight w:val="none"/>
        </w:rPr>
        <w:br w:type="page"/>
      </w:r>
      <w:r>
        <w:rPr>
          <w:rFonts w:hint="default" w:ascii="Nimbus Roman No9 L" w:hAnsi="Nimbus Roman No9 L" w:eastAsia="仿宋" w:cs="Nimbus Roman No9 L"/>
          <w:b/>
          <w:bCs/>
          <w:sz w:val="32"/>
          <w:szCs w:val="32"/>
          <w:highlight w:val="none"/>
        </w:rPr>
        <w:t>附表1-2</w:t>
      </w:r>
    </w:p>
    <w:tbl>
      <w:tblPr>
        <w:tblStyle w:val="12"/>
        <w:tblW w:w="0" w:type="auto"/>
        <w:jc w:val="center"/>
        <w:tblLayout w:type="fixed"/>
        <w:tblCellMar>
          <w:top w:w="0" w:type="dxa"/>
          <w:left w:w="0" w:type="dxa"/>
          <w:bottom w:w="0" w:type="dxa"/>
          <w:right w:w="0" w:type="dxa"/>
        </w:tblCellMar>
      </w:tblPr>
      <w:tblGrid>
        <w:gridCol w:w="756"/>
        <w:gridCol w:w="6275"/>
        <w:gridCol w:w="900"/>
        <w:gridCol w:w="925"/>
      </w:tblGrid>
      <w:tr w14:paraId="31F1BCC6">
        <w:tblPrEx>
          <w:tblCellMar>
            <w:top w:w="0" w:type="dxa"/>
            <w:left w:w="0" w:type="dxa"/>
            <w:bottom w:w="0" w:type="dxa"/>
            <w:right w:w="0" w:type="dxa"/>
          </w:tblCellMar>
        </w:tblPrEx>
        <w:trPr>
          <w:trHeight w:val="1049" w:hRule="atLeast"/>
          <w:jc w:val="center"/>
        </w:trPr>
        <w:tc>
          <w:tcPr>
            <w:tcW w:w="8856" w:type="dxa"/>
            <w:gridSpan w:val="4"/>
            <w:tcBorders>
              <w:top w:val="nil"/>
              <w:left w:val="nil"/>
              <w:bottom w:val="nil"/>
              <w:right w:val="nil"/>
            </w:tcBorders>
            <w:noWrap w:val="0"/>
            <w:tcMar>
              <w:top w:w="15" w:type="dxa"/>
              <w:left w:w="15" w:type="dxa"/>
              <w:right w:w="15" w:type="dxa"/>
            </w:tcMar>
            <w:vAlign w:val="center"/>
          </w:tcPr>
          <w:p w14:paraId="20685B0E">
            <w:pPr>
              <w:widowControl/>
              <w:jc w:val="center"/>
              <w:textAlignment w:val="center"/>
              <w:rPr>
                <w:rFonts w:hint="default" w:ascii="Nimbus Roman No9 L" w:hAnsi="Nimbus Roman No9 L" w:eastAsia="宋体" w:cs="Nimbus Roman No9 L"/>
                <w:b/>
                <w:color w:val="000000"/>
                <w:sz w:val="32"/>
                <w:szCs w:val="32"/>
                <w:highlight w:val="none"/>
                <w:lang w:eastAsia="zh-CN"/>
              </w:rPr>
            </w:pPr>
            <w:r>
              <w:rPr>
                <w:rFonts w:hint="default" w:ascii="Nimbus Roman No9 L" w:hAnsi="Nimbus Roman No9 L" w:eastAsia="宋体" w:cs="Nimbus Roman No9 L"/>
                <w:b/>
                <w:color w:val="000000"/>
                <w:kern w:val="0"/>
                <w:sz w:val="36"/>
                <w:szCs w:val="36"/>
                <w:highlight w:val="none"/>
                <w:lang w:bidi="ar"/>
              </w:rPr>
              <w:t>资格评审</w:t>
            </w:r>
            <w:r>
              <w:rPr>
                <w:rFonts w:hint="default" w:ascii="Nimbus Roman No9 L" w:hAnsi="Nimbus Roman No9 L" w:eastAsia="宋体" w:cs="Nimbus Roman No9 L"/>
                <w:b/>
                <w:color w:val="000000"/>
                <w:kern w:val="0"/>
                <w:sz w:val="36"/>
                <w:szCs w:val="36"/>
                <w:highlight w:val="none"/>
                <w:lang w:val="en-US" w:eastAsia="zh-CN" w:bidi="ar"/>
              </w:rPr>
              <w:t>标准</w:t>
            </w:r>
          </w:p>
        </w:tc>
      </w:tr>
      <w:tr w14:paraId="6622ED4B">
        <w:tblPrEx>
          <w:tblCellMar>
            <w:top w:w="0" w:type="dxa"/>
            <w:left w:w="0" w:type="dxa"/>
            <w:bottom w:w="0" w:type="dxa"/>
            <w:right w:w="0" w:type="dxa"/>
          </w:tblCellMar>
        </w:tblPrEx>
        <w:trPr>
          <w:trHeight w:val="405" w:hRule="atLeast"/>
          <w:jc w:val="center"/>
        </w:trPr>
        <w:tc>
          <w:tcPr>
            <w:tcW w:w="7031" w:type="dxa"/>
            <w:gridSpan w:val="2"/>
            <w:tcBorders>
              <w:top w:val="nil"/>
              <w:left w:val="nil"/>
              <w:bottom w:val="nil"/>
              <w:right w:val="nil"/>
            </w:tcBorders>
            <w:noWrap w:val="0"/>
            <w:tcMar>
              <w:top w:w="15" w:type="dxa"/>
              <w:left w:w="15" w:type="dxa"/>
              <w:right w:w="15" w:type="dxa"/>
            </w:tcMar>
            <w:vAlign w:val="center"/>
          </w:tcPr>
          <w:p w14:paraId="081AFF1B">
            <w:pPr>
              <w:widowControl/>
              <w:jc w:val="left"/>
              <w:textAlignment w:val="center"/>
              <w:rPr>
                <w:rFonts w:hint="default" w:ascii="Nimbus Roman No9 L" w:hAnsi="Nimbus Roman No9 L" w:eastAsia="宋体" w:cs="Nimbus Roman No9 L"/>
                <w:b/>
                <w:color w:val="000000"/>
                <w:sz w:val="20"/>
                <w:szCs w:val="20"/>
                <w:highlight w:val="none"/>
              </w:rPr>
            </w:pPr>
            <w:r>
              <w:rPr>
                <w:rFonts w:hint="default" w:ascii="Nimbus Roman No9 L" w:hAnsi="Nimbus Roman No9 L" w:eastAsia="宋体" w:cs="Nimbus Roman No9 L"/>
                <w:b/>
                <w:color w:val="000000"/>
                <w:kern w:val="0"/>
                <w:sz w:val="24"/>
                <w:szCs w:val="24"/>
                <w:highlight w:val="none"/>
                <w:lang w:bidi="ar"/>
              </w:rPr>
              <w:t>项目名称：</w:t>
            </w:r>
          </w:p>
        </w:tc>
        <w:tc>
          <w:tcPr>
            <w:tcW w:w="900" w:type="dxa"/>
            <w:tcBorders>
              <w:top w:val="nil"/>
              <w:left w:val="nil"/>
              <w:bottom w:val="nil"/>
              <w:right w:val="nil"/>
            </w:tcBorders>
            <w:noWrap w:val="0"/>
            <w:tcMar>
              <w:top w:w="15" w:type="dxa"/>
              <w:left w:w="15" w:type="dxa"/>
              <w:right w:w="15" w:type="dxa"/>
            </w:tcMar>
            <w:vAlign w:val="center"/>
          </w:tcPr>
          <w:p w14:paraId="1230DE16">
            <w:pPr>
              <w:jc w:val="center"/>
              <w:rPr>
                <w:rFonts w:hint="default" w:ascii="Nimbus Roman No9 L" w:hAnsi="Nimbus Roman No9 L" w:eastAsia="宋体" w:cs="Nimbus Roman No9 L"/>
                <w:b/>
                <w:color w:val="000000"/>
                <w:sz w:val="32"/>
                <w:szCs w:val="32"/>
                <w:highlight w:val="none"/>
              </w:rPr>
            </w:pPr>
          </w:p>
        </w:tc>
        <w:tc>
          <w:tcPr>
            <w:tcW w:w="925" w:type="dxa"/>
            <w:tcBorders>
              <w:top w:val="nil"/>
              <w:left w:val="nil"/>
              <w:bottom w:val="nil"/>
              <w:right w:val="nil"/>
            </w:tcBorders>
            <w:noWrap w:val="0"/>
            <w:tcMar>
              <w:top w:w="15" w:type="dxa"/>
              <w:left w:w="15" w:type="dxa"/>
              <w:right w:w="15" w:type="dxa"/>
            </w:tcMar>
            <w:vAlign w:val="center"/>
          </w:tcPr>
          <w:p w14:paraId="01896C78">
            <w:pPr>
              <w:jc w:val="center"/>
              <w:rPr>
                <w:rFonts w:hint="default" w:ascii="Nimbus Roman No9 L" w:hAnsi="Nimbus Roman No9 L" w:eastAsia="宋体" w:cs="Nimbus Roman No9 L"/>
                <w:b/>
                <w:color w:val="000000"/>
                <w:sz w:val="32"/>
                <w:szCs w:val="32"/>
                <w:highlight w:val="none"/>
              </w:rPr>
            </w:pPr>
          </w:p>
        </w:tc>
      </w:tr>
      <w:tr w14:paraId="2EAB9D62">
        <w:tblPrEx>
          <w:tblCellMar>
            <w:top w:w="0" w:type="dxa"/>
            <w:left w:w="0" w:type="dxa"/>
            <w:bottom w:w="0" w:type="dxa"/>
            <w:right w:w="0" w:type="dxa"/>
          </w:tblCellMar>
        </w:tblPrEx>
        <w:trPr>
          <w:trHeight w:val="285" w:hRule="atLeast"/>
          <w:jc w:val="center"/>
        </w:trPr>
        <w:tc>
          <w:tcPr>
            <w:tcW w:w="75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A88B30">
            <w:pPr>
              <w:widowControl/>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序号</w:t>
            </w:r>
          </w:p>
        </w:tc>
        <w:tc>
          <w:tcPr>
            <w:tcW w:w="627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0E07F">
            <w:pPr>
              <w:widowControl/>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评审内容</w:t>
            </w:r>
          </w:p>
        </w:tc>
        <w:tc>
          <w:tcPr>
            <w:tcW w:w="1825"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1979118">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评审意见</w:t>
            </w:r>
          </w:p>
          <w:p w14:paraId="54D274F8">
            <w:pPr>
              <w:keepNext w:val="0"/>
              <w:keepLines w:val="0"/>
              <w:pageBreakBefore w:val="0"/>
              <w:widowControl/>
              <w:kinsoku/>
              <w:wordWrap/>
              <w:overflowPunct/>
              <w:topLinePunct w:val="0"/>
              <w:autoSpaceDE/>
              <w:autoSpaceDN/>
              <w:bidi w:val="0"/>
              <w:adjustRightInd/>
              <w:snapToGrid/>
              <w:spacing w:line="50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（是否通过）</w:t>
            </w:r>
          </w:p>
        </w:tc>
      </w:tr>
      <w:tr w14:paraId="3386BC61">
        <w:tblPrEx>
          <w:tblCellMar>
            <w:top w:w="0" w:type="dxa"/>
            <w:left w:w="0" w:type="dxa"/>
            <w:bottom w:w="0" w:type="dxa"/>
            <w:right w:w="0" w:type="dxa"/>
          </w:tblCellMar>
        </w:tblPrEx>
        <w:trPr>
          <w:trHeight w:val="494" w:hRule="atLeast"/>
          <w:jc w:val="center"/>
        </w:trPr>
        <w:tc>
          <w:tcPr>
            <w:tcW w:w="7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5BD85">
            <w:pPr>
              <w:jc w:val="center"/>
              <w:rPr>
                <w:rFonts w:hint="default" w:ascii="Nimbus Roman No9 L" w:hAnsi="Nimbus Roman No9 L" w:eastAsia="宋体" w:cs="Nimbus Roman No9 L"/>
                <w:b/>
                <w:color w:val="000000"/>
                <w:sz w:val="24"/>
                <w:highlight w:val="none"/>
              </w:rPr>
            </w:pPr>
          </w:p>
        </w:tc>
        <w:tc>
          <w:tcPr>
            <w:tcW w:w="62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86B7D7">
            <w:pPr>
              <w:jc w:val="center"/>
              <w:rPr>
                <w:rFonts w:hint="default" w:ascii="Nimbus Roman No9 L" w:hAnsi="Nimbus Roman No9 L" w:eastAsia="宋体" w:cs="Nimbus Roman No9 L"/>
                <w:b/>
                <w:color w:val="000000"/>
                <w:sz w:val="24"/>
                <w:highlight w:val="none"/>
              </w:rPr>
            </w:pP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30E55F">
            <w:pPr>
              <w:widowControl/>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是</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4F60D3">
            <w:pPr>
              <w:widowControl/>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否</w:t>
            </w:r>
          </w:p>
        </w:tc>
      </w:tr>
      <w:tr w14:paraId="0C30B44A">
        <w:tblPrEx>
          <w:tblCellMar>
            <w:top w:w="0" w:type="dxa"/>
            <w:left w:w="0" w:type="dxa"/>
            <w:bottom w:w="0" w:type="dxa"/>
            <w:right w:w="0" w:type="dxa"/>
          </w:tblCellMar>
        </w:tblPrEx>
        <w:trPr>
          <w:trHeight w:val="312" w:hRule="atLeast"/>
          <w:jc w:val="center"/>
        </w:trPr>
        <w:tc>
          <w:tcPr>
            <w:tcW w:w="75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1E0812">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1</w:t>
            </w:r>
          </w:p>
        </w:tc>
        <w:tc>
          <w:tcPr>
            <w:tcW w:w="627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21812">
            <w:pPr>
              <w:keepNext w:val="0"/>
              <w:keepLines w:val="0"/>
              <w:pageBreakBefore w:val="0"/>
              <w:widowControl/>
              <w:kinsoku/>
              <w:wordWrap/>
              <w:overflowPunct/>
              <w:topLinePunct w:val="0"/>
              <w:autoSpaceDE/>
              <w:autoSpaceDN/>
              <w:bidi w:val="0"/>
              <w:adjustRightInd/>
              <w:snapToGrid/>
              <w:spacing w:line="56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rPr>
              <w:t>是否</w:t>
            </w:r>
            <w:r>
              <w:rPr>
                <w:rFonts w:hint="default" w:ascii="Nimbus Roman No9 L" w:hAnsi="Nimbus Roman No9 L" w:cs="Nimbus Roman No9 L"/>
                <w:color w:val="000000"/>
                <w:kern w:val="0"/>
                <w:sz w:val="24"/>
                <w:highlight w:val="none"/>
                <w:lang w:val="en-US" w:eastAsia="zh-CN"/>
              </w:rPr>
              <w:t>提供有效</w:t>
            </w:r>
            <w:r>
              <w:rPr>
                <w:rFonts w:hint="default" w:ascii="Nimbus Roman No9 L" w:hAnsi="Nimbus Roman No9 L" w:cs="Nimbus Roman No9 L"/>
                <w:color w:val="000000"/>
                <w:kern w:val="0"/>
                <w:sz w:val="24"/>
                <w:highlight w:val="none"/>
              </w:rPr>
              <w:t>的营业执照；</w:t>
            </w:r>
          </w:p>
        </w:tc>
        <w:tc>
          <w:tcPr>
            <w:tcW w:w="90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A3D7231">
            <w:pPr>
              <w:rPr>
                <w:rFonts w:hint="default" w:ascii="Nimbus Roman No9 L" w:hAnsi="Nimbus Roman No9 L" w:eastAsia="宋体" w:cs="Nimbus Roman No9 L"/>
                <w:color w:val="000000"/>
                <w:szCs w:val="21"/>
                <w:highlight w:val="none"/>
              </w:rPr>
            </w:pPr>
          </w:p>
        </w:tc>
        <w:tc>
          <w:tcPr>
            <w:tcW w:w="9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8D6AD48">
            <w:pPr>
              <w:rPr>
                <w:rFonts w:hint="default" w:ascii="Nimbus Roman No9 L" w:hAnsi="Nimbus Roman No9 L" w:eastAsia="宋体" w:cs="Nimbus Roman No9 L"/>
                <w:color w:val="000000"/>
                <w:szCs w:val="21"/>
                <w:highlight w:val="none"/>
              </w:rPr>
            </w:pPr>
          </w:p>
        </w:tc>
      </w:tr>
      <w:tr w14:paraId="08D95F29">
        <w:tblPrEx>
          <w:tblCellMar>
            <w:top w:w="0" w:type="dxa"/>
            <w:left w:w="0" w:type="dxa"/>
            <w:bottom w:w="0" w:type="dxa"/>
            <w:right w:w="0" w:type="dxa"/>
          </w:tblCellMar>
        </w:tblPrEx>
        <w:trPr>
          <w:trHeight w:val="312" w:hRule="atLeast"/>
          <w:jc w:val="center"/>
        </w:trPr>
        <w:tc>
          <w:tcPr>
            <w:tcW w:w="7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72B6E">
            <w:pPr>
              <w:jc w:val="center"/>
              <w:rPr>
                <w:rFonts w:hint="default" w:ascii="Nimbus Roman No9 L" w:hAnsi="Nimbus Roman No9 L" w:eastAsia="宋体" w:cs="Nimbus Roman No9 L"/>
                <w:color w:val="000000"/>
                <w:sz w:val="24"/>
                <w:highlight w:val="none"/>
              </w:rPr>
            </w:pPr>
          </w:p>
        </w:tc>
        <w:tc>
          <w:tcPr>
            <w:tcW w:w="62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9A648">
            <w:pPr>
              <w:keepNext w:val="0"/>
              <w:keepLines w:val="0"/>
              <w:pageBreakBefore w:val="0"/>
              <w:kinsoku/>
              <w:wordWrap/>
              <w:overflowPunct/>
              <w:topLinePunct w:val="0"/>
              <w:autoSpaceDE/>
              <w:autoSpaceDN/>
              <w:bidi w:val="0"/>
              <w:adjustRightInd/>
              <w:snapToGrid/>
              <w:spacing w:line="560" w:lineRule="exact"/>
              <w:jc w:val="both"/>
              <w:rPr>
                <w:rFonts w:hint="default" w:ascii="Nimbus Roman No9 L" w:hAnsi="Nimbus Roman No9 L" w:eastAsia="宋体" w:cs="Nimbus Roman No9 L"/>
                <w:color w:val="000000"/>
                <w:sz w:val="24"/>
                <w:highlight w:val="none"/>
              </w:rPr>
            </w:pPr>
          </w:p>
        </w:tc>
        <w:tc>
          <w:tcPr>
            <w:tcW w:w="90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919BBAD">
            <w:pPr>
              <w:rPr>
                <w:rFonts w:hint="default" w:ascii="Nimbus Roman No9 L" w:hAnsi="Nimbus Roman No9 L" w:eastAsia="宋体" w:cs="Nimbus Roman No9 L"/>
                <w:color w:val="000000"/>
                <w:szCs w:val="21"/>
                <w:highlight w:val="none"/>
              </w:rPr>
            </w:pPr>
          </w:p>
        </w:tc>
        <w:tc>
          <w:tcPr>
            <w:tcW w:w="9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487B6A20">
            <w:pPr>
              <w:rPr>
                <w:rFonts w:hint="default" w:ascii="Nimbus Roman No9 L" w:hAnsi="Nimbus Roman No9 L" w:eastAsia="宋体" w:cs="Nimbus Roman No9 L"/>
                <w:color w:val="000000"/>
                <w:szCs w:val="21"/>
                <w:highlight w:val="none"/>
              </w:rPr>
            </w:pPr>
          </w:p>
        </w:tc>
      </w:tr>
      <w:tr w14:paraId="10E1B220">
        <w:tblPrEx>
          <w:tblCellMar>
            <w:top w:w="0" w:type="dxa"/>
            <w:left w:w="0" w:type="dxa"/>
            <w:bottom w:w="0" w:type="dxa"/>
            <w:right w:w="0" w:type="dxa"/>
          </w:tblCellMar>
        </w:tblPrEx>
        <w:trPr>
          <w:trHeight w:val="916" w:hRule="atLeast"/>
          <w:jc w:val="center"/>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135000">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2</w:t>
            </w:r>
          </w:p>
        </w:tc>
        <w:tc>
          <w:tcPr>
            <w:tcW w:w="6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E6BEB">
            <w:pPr>
              <w:keepNext w:val="0"/>
              <w:keepLines w:val="0"/>
              <w:pageBreakBefore w:val="0"/>
              <w:widowControl/>
              <w:kinsoku/>
              <w:wordWrap/>
              <w:overflowPunct/>
              <w:topLinePunct w:val="0"/>
              <w:autoSpaceDE/>
              <w:autoSpaceDN/>
              <w:bidi w:val="0"/>
              <w:adjustRightInd/>
              <w:snapToGrid/>
              <w:spacing w:line="320" w:lineRule="exact"/>
              <w:jc w:val="both"/>
              <w:textAlignment w:val="top"/>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szCs w:val="24"/>
                <w:highlight w:val="none"/>
                <w:lang w:val="en-US" w:eastAsia="zh-CN" w:bidi="ar-SA"/>
              </w:rPr>
              <w:t>是否具备有效的资质证书，且满足招标项目需要的资质等级；</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6936542">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3CB0F83">
            <w:pPr>
              <w:rPr>
                <w:rFonts w:hint="default" w:ascii="Nimbus Roman No9 L" w:hAnsi="Nimbus Roman No9 L" w:eastAsia="宋体" w:cs="Nimbus Roman No9 L"/>
                <w:color w:val="000000"/>
                <w:szCs w:val="21"/>
                <w:highlight w:val="none"/>
              </w:rPr>
            </w:pPr>
          </w:p>
        </w:tc>
      </w:tr>
      <w:tr w14:paraId="138F2569">
        <w:tblPrEx>
          <w:tblCellMar>
            <w:top w:w="0" w:type="dxa"/>
            <w:left w:w="0" w:type="dxa"/>
            <w:bottom w:w="0" w:type="dxa"/>
            <w:right w:w="0" w:type="dxa"/>
          </w:tblCellMar>
        </w:tblPrEx>
        <w:trPr>
          <w:trHeight w:val="624" w:hRule="atLeast"/>
          <w:jc w:val="center"/>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B0F00">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3</w:t>
            </w:r>
          </w:p>
        </w:tc>
        <w:tc>
          <w:tcPr>
            <w:tcW w:w="6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B9E288">
            <w:pPr>
              <w:keepNext w:val="0"/>
              <w:keepLines w:val="0"/>
              <w:pageBreakBefore w:val="0"/>
              <w:widowControl/>
              <w:kinsoku/>
              <w:wordWrap/>
              <w:overflowPunct/>
              <w:topLinePunct w:val="0"/>
              <w:autoSpaceDE/>
              <w:autoSpaceDN/>
              <w:bidi w:val="0"/>
              <w:adjustRightInd/>
              <w:snapToGrid/>
              <w:spacing w:line="56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rPr>
              <w:t>是否具备</w:t>
            </w:r>
            <w:r>
              <w:rPr>
                <w:rFonts w:hint="default" w:ascii="Nimbus Roman No9 L" w:hAnsi="Nimbus Roman No9 L" w:cs="Nimbus Roman No9 L"/>
                <w:color w:val="000000"/>
                <w:kern w:val="0"/>
                <w:sz w:val="24"/>
                <w:highlight w:val="none"/>
                <w:lang w:val="en-US" w:eastAsia="zh-CN"/>
              </w:rPr>
              <w:t>有效</w:t>
            </w:r>
            <w:r>
              <w:rPr>
                <w:rFonts w:hint="default" w:ascii="Nimbus Roman No9 L" w:hAnsi="Nimbus Roman No9 L" w:cs="Nimbus Roman No9 L"/>
                <w:color w:val="000000"/>
                <w:kern w:val="0"/>
                <w:sz w:val="24"/>
                <w:highlight w:val="none"/>
              </w:rPr>
              <w:t>的安全生产许可证；</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76EE24B">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3BAA769">
            <w:pPr>
              <w:rPr>
                <w:rFonts w:hint="default" w:ascii="Nimbus Roman No9 L" w:hAnsi="Nimbus Roman No9 L" w:eastAsia="宋体" w:cs="Nimbus Roman No9 L"/>
                <w:color w:val="000000"/>
                <w:szCs w:val="21"/>
                <w:highlight w:val="none"/>
              </w:rPr>
            </w:pPr>
          </w:p>
        </w:tc>
      </w:tr>
      <w:tr w14:paraId="45416A43">
        <w:tblPrEx>
          <w:tblCellMar>
            <w:top w:w="0" w:type="dxa"/>
            <w:left w:w="0" w:type="dxa"/>
            <w:bottom w:w="0" w:type="dxa"/>
            <w:right w:w="0" w:type="dxa"/>
          </w:tblCellMar>
        </w:tblPrEx>
        <w:trPr>
          <w:trHeight w:val="660" w:hRule="atLeast"/>
          <w:jc w:val="center"/>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535325">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4</w:t>
            </w:r>
          </w:p>
        </w:tc>
        <w:tc>
          <w:tcPr>
            <w:tcW w:w="6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38CA6">
            <w:pPr>
              <w:keepNext w:val="0"/>
              <w:keepLines w:val="0"/>
              <w:pageBreakBefore w:val="0"/>
              <w:widowControl/>
              <w:kinsoku/>
              <w:wordWrap/>
              <w:overflowPunct/>
              <w:topLinePunct w:val="0"/>
              <w:autoSpaceDE/>
              <w:autoSpaceDN/>
              <w:bidi w:val="0"/>
              <w:adjustRightInd/>
              <w:snapToGrid/>
              <w:spacing w:line="56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rPr>
              <w:t>项目负责人（建造师）条件是否满足招标文件的要求；</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4BC86F8B">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E9DDF54">
            <w:pPr>
              <w:rPr>
                <w:rFonts w:hint="default" w:ascii="Nimbus Roman No9 L" w:hAnsi="Nimbus Roman No9 L" w:eastAsia="宋体" w:cs="Nimbus Roman No9 L"/>
                <w:color w:val="000000"/>
                <w:szCs w:val="21"/>
                <w:highlight w:val="none"/>
              </w:rPr>
            </w:pPr>
          </w:p>
        </w:tc>
      </w:tr>
      <w:tr w14:paraId="48BDA8BE">
        <w:tblPrEx>
          <w:tblCellMar>
            <w:top w:w="0" w:type="dxa"/>
            <w:left w:w="0" w:type="dxa"/>
            <w:bottom w:w="0" w:type="dxa"/>
            <w:right w:w="0" w:type="dxa"/>
          </w:tblCellMar>
        </w:tblPrEx>
        <w:trPr>
          <w:trHeight w:val="539" w:hRule="atLeast"/>
          <w:jc w:val="center"/>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F4D1F4">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5</w:t>
            </w:r>
          </w:p>
        </w:tc>
        <w:tc>
          <w:tcPr>
            <w:tcW w:w="6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08397C">
            <w:pPr>
              <w:keepNext w:val="0"/>
              <w:keepLines w:val="0"/>
              <w:pageBreakBefore w:val="0"/>
              <w:widowControl/>
              <w:kinsoku/>
              <w:wordWrap/>
              <w:overflowPunct/>
              <w:topLinePunct w:val="0"/>
              <w:autoSpaceDE/>
              <w:autoSpaceDN/>
              <w:bidi w:val="0"/>
              <w:adjustRightInd/>
              <w:snapToGrid/>
              <w:spacing w:line="56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rPr>
              <w:t>提供的</w:t>
            </w:r>
            <w:r>
              <w:rPr>
                <w:rFonts w:hint="default" w:ascii="Nimbus Roman No9 L" w:hAnsi="Nimbus Roman No9 L" w:cs="Nimbus Roman No9 L"/>
                <w:color w:val="000000"/>
                <w:kern w:val="0"/>
                <w:sz w:val="24"/>
                <w:highlight w:val="none"/>
                <w:lang w:val="en-US" w:eastAsia="zh-CN"/>
              </w:rPr>
              <w:t>近年</w:t>
            </w:r>
            <w:r>
              <w:rPr>
                <w:rFonts w:hint="default" w:ascii="Nimbus Roman No9 L" w:hAnsi="Nimbus Roman No9 L" w:cs="Nimbus Roman No9 L"/>
                <w:color w:val="000000"/>
                <w:kern w:val="0"/>
                <w:sz w:val="24"/>
                <w:highlight w:val="none"/>
              </w:rPr>
              <w:t>财务报表是否满足招标文件的要求；</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725D4BB">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BCE225D">
            <w:pPr>
              <w:rPr>
                <w:rFonts w:hint="default" w:ascii="Nimbus Roman No9 L" w:hAnsi="Nimbus Roman No9 L" w:eastAsia="宋体" w:cs="Nimbus Roman No9 L"/>
                <w:color w:val="000000"/>
                <w:szCs w:val="21"/>
                <w:highlight w:val="none"/>
              </w:rPr>
            </w:pPr>
          </w:p>
        </w:tc>
      </w:tr>
      <w:tr w14:paraId="4EE7037C">
        <w:tblPrEx>
          <w:tblCellMar>
            <w:top w:w="0" w:type="dxa"/>
            <w:left w:w="0" w:type="dxa"/>
            <w:bottom w:w="0" w:type="dxa"/>
            <w:right w:w="0" w:type="dxa"/>
          </w:tblCellMar>
        </w:tblPrEx>
        <w:trPr>
          <w:trHeight w:val="491" w:hRule="atLeast"/>
          <w:jc w:val="center"/>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6A508D">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6</w:t>
            </w:r>
          </w:p>
        </w:tc>
        <w:tc>
          <w:tcPr>
            <w:tcW w:w="6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54B74">
            <w:pPr>
              <w:pStyle w:val="8"/>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Nimbus Roman No9 L" w:hAnsi="Nimbus Roman No9 L" w:eastAsia="宋体" w:cs="Nimbus Roman No9 L"/>
                <w:color w:val="000000"/>
                <w:sz w:val="24"/>
                <w:highlight w:val="none"/>
              </w:rPr>
            </w:pPr>
            <w:r>
              <w:rPr>
                <w:rFonts w:hint="eastAsia" w:ascii="Nimbus Roman No9 L" w:hAnsi="Nimbus Roman No9 L" w:eastAsia="宋体" w:cs="Nimbus Roman No9 L"/>
                <w:color w:val="000000"/>
                <w:kern w:val="0"/>
                <w:sz w:val="24"/>
                <w:szCs w:val="24"/>
                <w:highlight w:val="none"/>
                <w:lang w:val="en-US" w:eastAsia="zh-CN" w:bidi="ar-SA"/>
              </w:rPr>
              <w:t>在“信用中国</w:t>
            </w:r>
            <w:r>
              <w:rPr>
                <w:rFonts w:hint="eastAsia" w:ascii="Nimbus Roman No9 L" w:hAnsi="Nimbus Roman No9 L" w:cs="Nimbus Roman No9 L"/>
                <w:color w:val="000000"/>
                <w:kern w:val="0"/>
                <w:sz w:val="24"/>
                <w:szCs w:val="24"/>
                <w:highlight w:val="none"/>
                <w:lang w:val="en-US" w:eastAsia="zh-CN" w:bidi="ar-SA"/>
              </w:rPr>
              <w:t>”“</w:t>
            </w:r>
            <w:r>
              <w:rPr>
                <w:rFonts w:hint="eastAsia" w:ascii="Nimbus Roman No9 L" w:hAnsi="Nimbus Roman No9 L" w:eastAsia="宋体" w:cs="Nimbus Roman No9 L"/>
                <w:color w:val="000000"/>
                <w:kern w:val="0"/>
                <w:sz w:val="24"/>
                <w:szCs w:val="24"/>
                <w:highlight w:val="none"/>
                <w:lang w:val="en-US" w:eastAsia="zh-CN" w:bidi="ar-SA"/>
              </w:rPr>
              <w:t>国家企业信用信息公示系统”和“全国建筑市场监管公共服务平台”</w:t>
            </w:r>
            <w:r>
              <w:rPr>
                <w:rFonts w:hint="eastAsia" w:ascii="Nimbus Roman No9 L" w:hAnsi="Nimbus Roman No9 L" w:cs="Nimbus Roman No9 L"/>
                <w:color w:val="000000"/>
                <w:kern w:val="0"/>
                <w:sz w:val="24"/>
                <w:szCs w:val="24"/>
                <w:highlight w:val="none"/>
                <w:lang w:val="en-US" w:eastAsia="zh-CN" w:bidi="ar-SA"/>
              </w:rPr>
              <w:t>未</w:t>
            </w:r>
            <w:r>
              <w:rPr>
                <w:rFonts w:hint="eastAsia" w:ascii="Nimbus Roman No9 L" w:hAnsi="Nimbus Roman No9 L" w:eastAsia="宋体" w:cs="Nimbus Roman No9 L"/>
                <w:color w:val="000000"/>
                <w:kern w:val="0"/>
                <w:sz w:val="24"/>
                <w:szCs w:val="24"/>
                <w:highlight w:val="none"/>
                <w:lang w:val="en-US" w:eastAsia="zh-CN" w:bidi="ar-SA"/>
              </w:rPr>
              <w:t>被列入严重失信企业、失信被执行人或联合惩戒名单，</w:t>
            </w:r>
            <w:r>
              <w:rPr>
                <w:rFonts w:hint="eastAsia" w:ascii="Nimbus Roman No9 L" w:hAnsi="Nimbus Roman No9 L" w:cs="Nimbus Roman No9 L"/>
                <w:color w:val="000000"/>
                <w:kern w:val="0"/>
                <w:sz w:val="24"/>
                <w:szCs w:val="24"/>
                <w:highlight w:val="none"/>
                <w:lang w:val="en-US" w:eastAsia="zh-CN" w:bidi="ar-SA"/>
              </w:rPr>
              <w:t>未</w:t>
            </w:r>
            <w:r>
              <w:rPr>
                <w:rFonts w:hint="eastAsia" w:ascii="Nimbus Roman No9 L" w:hAnsi="Nimbus Roman No9 L" w:eastAsia="宋体" w:cs="Nimbus Roman No9 L"/>
                <w:color w:val="000000"/>
                <w:kern w:val="0"/>
                <w:sz w:val="24"/>
                <w:szCs w:val="24"/>
                <w:highlight w:val="none"/>
                <w:lang w:val="en-US" w:eastAsia="zh-CN" w:bidi="ar-SA"/>
              </w:rPr>
              <w:t>被限制市场准入、招标投标活动，</w:t>
            </w:r>
            <w:r>
              <w:rPr>
                <w:rFonts w:hint="default" w:ascii="Nimbus Roman No9 L" w:hAnsi="Nimbus Roman No9 L" w:eastAsia="宋体" w:cs="Nimbus Roman No9 L"/>
                <w:color w:val="000000"/>
                <w:kern w:val="0"/>
                <w:sz w:val="24"/>
                <w:szCs w:val="24"/>
                <w:highlight w:val="none"/>
                <w:lang w:val="en-US" w:eastAsia="zh-CN" w:bidi="ar-SA"/>
              </w:rPr>
              <w:t>企业信誉</w:t>
            </w:r>
            <w:r>
              <w:rPr>
                <w:rFonts w:hint="eastAsia" w:ascii="Nimbus Roman No9 L" w:hAnsi="Nimbus Roman No9 L" w:cs="Nimbus Roman No9 L"/>
                <w:color w:val="000000"/>
                <w:kern w:val="0"/>
                <w:sz w:val="24"/>
                <w:szCs w:val="24"/>
                <w:highlight w:val="none"/>
                <w:lang w:val="en-US" w:eastAsia="zh-CN" w:bidi="ar-SA"/>
              </w:rPr>
              <w:t>是否</w:t>
            </w:r>
            <w:r>
              <w:rPr>
                <w:rFonts w:hint="default" w:ascii="Nimbus Roman No9 L" w:hAnsi="Nimbus Roman No9 L" w:eastAsia="宋体" w:cs="Nimbus Roman No9 L"/>
                <w:color w:val="000000"/>
                <w:kern w:val="0"/>
                <w:sz w:val="24"/>
                <w:szCs w:val="24"/>
                <w:highlight w:val="none"/>
                <w:lang w:val="en-US" w:eastAsia="zh-CN" w:bidi="ar-SA"/>
              </w:rPr>
              <w:t>满足招标文件</w:t>
            </w:r>
            <w:r>
              <w:rPr>
                <w:rFonts w:hint="eastAsia" w:ascii="Nimbus Roman No9 L" w:hAnsi="Nimbus Roman No9 L" w:cs="Nimbus Roman No9 L"/>
                <w:color w:val="000000"/>
                <w:kern w:val="0"/>
                <w:sz w:val="24"/>
                <w:szCs w:val="24"/>
                <w:highlight w:val="none"/>
                <w:lang w:val="en-US" w:eastAsia="zh-CN" w:bidi="ar-SA"/>
              </w:rPr>
              <w:t>的</w:t>
            </w:r>
            <w:r>
              <w:rPr>
                <w:rFonts w:hint="default" w:ascii="Nimbus Roman No9 L" w:hAnsi="Nimbus Roman No9 L" w:eastAsia="宋体" w:cs="Nimbus Roman No9 L"/>
                <w:color w:val="000000"/>
                <w:kern w:val="0"/>
                <w:sz w:val="24"/>
                <w:szCs w:val="24"/>
                <w:highlight w:val="none"/>
                <w:lang w:val="en-US" w:eastAsia="zh-CN" w:bidi="ar-SA"/>
              </w:rPr>
              <w:t>要求；</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A75823E">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2974817">
            <w:pPr>
              <w:rPr>
                <w:rFonts w:hint="default" w:ascii="Nimbus Roman No9 L" w:hAnsi="Nimbus Roman No9 L" w:eastAsia="宋体" w:cs="Nimbus Roman No9 L"/>
                <w:color w:val="000000"/>
                <w:szCs w:val="21"/>
                <w:highlight w:val="none"/>
              </w:rPr>
            </w:pPr>
          </w:p>
        </w:tc>
      </w:tr>
      <w:tr w14:paraId="1C031105">
        <w:tblPrEx>
          <w:tblCellMar>
            <w:top w:w="0" w:type="dxa"/>
            <w:left w:w="0" w:type="dxa"/>
            <w:bottom w:w="0" w:type="dxa"/>
            <w:right w:w="0" w:type="dxa"/>
          </w:tblCellMar>
        </w:tblPrEx>
        <w:trPr>
          <w:trHeight w:val="398" w:hRule="atLeast"/>
          <w:jc w:val="center"/>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F4951B">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7</w:t>
            </w:r>
          </w:p>
        </w:tc>
        <w:tc>
          <w:tcPr>
            <w:tcW w:w="6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C827D">
            <w:pPr>
              <w:keepNext w:val="0"/>
              <w:keepLines w:val="0"/>
              <w:pageBreakBefore w:val="0"/>
              <w:widowControl/>
              <w:kinsoku/>
              <w:wordWrap/>
              <w:overflowPunct/>
              <w:topLinePunct w:val="0"/>
              <w:autoSpaceDE/>
              <w:autoSpaceDN/>
              <w:bidi w:val="0"/>
              <w:adjustRightInd/>
              <w:snapToGrid/>
              <w:spacing w:line="560" w:lineRule="exact"/>
              <w:jc w:val="both"/>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cs="Nimbus Roman No9 L"/>
                <w:color w:val="000000"/>
                <w:kern w:val="0"/>
                <w:sz w:val="24"/>
                <w:highlight w:val="none"/>
                <w:lang w:val="en-US" w:eastAsia="zh-CN"/>
              </w:rPr>
              <w:t>类似项目业绩</w:t>
            </w:r>
            <w:r>
              <w:rPr>
                <w:rFonts w:hint="eastAsia" w:ascii="Nimbus Roman No9 L" w:hAnsi="Nimbus Roman No9 L" w:cs="Nimbus Roman No9 L"/>
                <w:color w:val="000000"/>
                <w:kern w:val="0"/>
                <w:sz w:val="24"/>
                <w:highlight w:val="none"/>
                <w:lang w:val="en-US" w:eastAsia="zh-CN"/>
              </w:rPr>
              <w:t>是否</w:t>
            </w:r>
            <w:r>
              <w:rPr>
                <w:rFonts w:hint="default" w:ascii="Nimbus Roman No9 L" w:hAnsi="Nimbus Roman No9 L" w:cs="Nimbus Roman No9 L"/>
                <w:color w:val="000000"/>
                <w:kern w:val="0"/>
                <w:sz w:val="24"/>
                <w:highlight w:val="none"/>
                <w:lang w:val="en-US" w:eastAsia="zh-CN"/>
              </w:rPr>
              <w:t>满足招标文件的要求（若有）</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A1DC57B">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43797CCD">
            <w:pPr>
              <w:rPr>
                <w:rFonts w:hint="default" w:ascii="Nimbus Roman No9 L" w:hAnsi="Nimbus Roman No9 L" w:eastAsia="宋体" w:cs="Nimbus Roman No9 L"/>
                <w:color w:val="000000"/>
                <w:szCs w:val="21"/>
                <w:highlight w:val="none"/>
              </w:rPr>
            </w:pPr>
          </w:p>
        </w:tc>
      </w:tr>
      <w:tr w14:paraId="42F7938C">
        <w:tblPrEx>
          <w:tblCellMar>
            <w:top w:w="0" w:type="dxa"/>
            <w:left w:w="0" w:type="dxa"/>
            <w:bottom w:w="0" w:type="dxa"/>
            <w:right w:w="0" w:type="dxa"/>
          </w:tblCellMar>
        </w:tblPrEx>
        <w:trPr>
          <w:trHeight w:val="449" w:hRule="atLeast"/>
          <w:jc w:val="center"/>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2F62408">
            <w:pPr>
              <w:jc w:val="center"/>
              <w:rPr>
                <w:rFonts w:hint="default" w:ascii="Nimbus Roman No9 L" w:hAnsi="Nimbus Roman No9 L" w:eastAsia="宋体" w:cs="Nimbus Roman No9 L"/>
                <w:color w:val="000000"/>
                <w:sz w:val="24"/>
                <w:highlight w:val="none"/>
              </w:rPr>
            </w:pPr>
          </w:p>
        </w:tc>
        <w:tc>
          <w:tcPr>
            <w:tcW w:w="6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4CE2AE">
            <w:pPr>
              <w:widowControl/>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816C934">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F17D90F">
            <w:pPr>
              <w:rPr>
                <w:rFonts w:hint="default" w:ascii="Nimbus Roman No9 L" w:hAnsi="Nimbus Roman No9 L" w:eastAsia="宋体" w:cs="Nimbus Roman No9 L"/>
                <w:color w:val="000000"/>
                <w:szCs w:val="21"/>
                <w:highlight w:val="none"/>
              </w:rPr>
            </w:pPr>
          </w:p>
        </w:tc>
      </w:tr>
      <w:tr w14:paraId="1CBEAECD">
        <w:tblPrEx>
          <w:tblCellMar>
            <w:top w:w="0" w:type="dxa"/>
            <w:left w:w="0" w:type="dxa"/>
            <w:bottom w:w="0" w:type="dxa"/>
            <w:right w:w="0" w:type="dxa"/>
          </w:tblCellMar>
        </w:tblPrEx>
        <w:trPr>
          <w:trHeight w:val="873" w:hRule="atLeast"/>
          <w:jc w:val="center"/>
        </w:trPr>
        <w:tc>
          <w:tcPr>
            <w:tcW w:w="70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2EB9A">
            <w:pPr>
              <w:widowControl/>
              <w:jc w:val="both"/>
              <w:textAlignment w:val="top"/>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结论：是否通过评审</w:t>
            </w:r>
          </w:p>
        </w:tc>
        <w:tc>
          <w:tcPr>
            <w:tcW w:w="9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DC5F83E">
            <w:pPr>
              <w:rPr>
                <w:rFonts w:hint="default" w:ascii="Nimbus Roman No9 L" w:hAnsi="Nimbus Roman No9 L" w:eastAsia="宋体" w:cs="Nimbus Roman No9 L"/>
                <w:color w:val="000000"/>
                <w:szCs w:val="21"/>
                <w:highlight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C4A67">
            <w:pPr>
              <w:rPr>
                <w:rFonts w:hint="default" w:ascii="Nimbus Roman No9 L" w:hAnsi="Nimbus Roman No9 L" w:eastAsia="宋体" w:cs="Nimbus Roman No9 L"/>
                <w:color w:val="000000"/>
                <w:sz w:val="22"/>
                <w:szCs w:val="22"/>
                <w:highlight w:val="none"/>
              </w:rPr>
            </w:pPr>
          </w:p>
        </w:tc>
      </w:tr>
      <w:tr w14:paraId="62AF919B">
        <w:tblPrEx>
          <w:tblCellMar>
            <w:top w:w="0" w:type="dxa"/>
            <w:left w:w="0" w:type="dxa"/>
            <w:bottom w:w="0" w:type="dxa"/>
            <w:right w:w="0" w:type="dxa"/>
          </w:tblCellMar>
        </w:tblPrEx>
        <w:trPr>
          <w:trHeight w:val="726" w:hRule="atLeast"/>
          <w:jc w:val="center"/>
        </w:trPr>
        <w:tc>
          <w:tcPr>
            <w:tcW w:w="7031" w:type="dxa"/>
            <w:gridSpan w:val="2"/>
            <w:tcBorders>
              <w:top w:val="nil"/>
              <w:left w:val="nil"/>
              <w:bottom w:val="nil"/>
              <w:right w:val="nil"/>
            </w:tcBorders>
            <w:noWrap w:val="0"/>
            <w:tcMar>
              <w:top w:w="15" w:type="dxa"/>
              <w:left w:w="15" w:type="dxa"/>
              <w:right w:w="15" w:type="dxa"/>
            </w:tcMar>
            <w:vAlign w:val="center"/>
          </w:tcPr>
          <w:p w14:paraId="73A6D632">
            <w:pPr>
              <w:widowControl/>
              <w:jc w:val="left"/>
              <w:textAlignment w:val="center"/>
              <w:rPr>
                <w:rFonts w:hint="default" w:ascii="Nimbus Roman No9 L" w:hAnsi="Nimbus Roman No9 L" w:eastAsia="宋体" w:cs="Nimbus Roman No9 L"/>
                <w:color w:val="000000"/>
                <w:sz w:val="22"/>
                <w:szCs w:val="22"/>
                <w:highlight w:val="none"/>
              </w:rPr>
            </w:pPr>
          </w:p>
        </w:tc>
        <w:tc>
          <w:tcPr>
            <w:tcW w:w="900" w:type="dxa"/>
            <w:tcBorders>
              <w:top w:val="nil"/>
              <w:left w:val="nil"/>
              <w:bottom w:val="nil"/>
              <w:right w:val="nil"/>
            </w:tcBorders>
            <w:noWrap w:val="0"/>
            <w:tcMar>
              <w:top w:w="15" w:type="dxa"/>
              <w:left w:w="15" w:type="dxa"/>
              <w:right w:w="15" w:type="dxa"/>
            </w:tcMar>
            <w:vAlign w:val="center"/>
          </w:tcPr>
          <w:p w14:paraId="65B78AC6">
            <w:pPr>
              <w:rPr>
                <w:rFonts w:hint="default" w:ascii="Nimbus Roman No9 L" w:hAnsi="Nimbus Roman No9 L" w:eastAsia="宋体" w:cs="Nimbus Roman No9 L"/>
                <w:color w:val="000000"/>
                <w:sz w:val="22"/>
                <w:szCs w:val="22"/>
                <w:highlight w:val="none"/>
              </w:rPr>
            </w:pPr>
          </w:p>
        </w:tc>
        <w:tc>
          <w:tcPr>
            <w:tcW w:w="925" w:type="dxa"/>
            <w:tcBorders>
              <w:top w:val="nil"/>
              <w:left w:val="nil"/>
              <w:bottom w:val="nil"/>
              <w:right w:val="nil"/>
            </w:tcBorders>
            <w:noWrap w:val="0"/>
            <w:tcMar>
              <w:top w:w="15" w:type="dxa"/>
              <w:left w:w="15" w:type="dxa"/>
              <w:right w:w="15" w:type="dxa"/>
            </w:tcMar>
            <w:vAlign w:val="center"/>
          </w:tcPr>
          <w:p w14:paraId="0E51DB72">
            <w:pPr>
              <w:rPr>
                <w:rFonts w:hint="default" w:ascii="Nimbus Roman No9 L" w:hAnsi="Nimbus Roman No9 L" w:eastAsia="宋体" w:cs="Nimbus Roman No9 L"/>
                <w:color w:val="000000"/>
                <w:sz w:val="22"/>
                <w:szCs w:val="22"/>
                <w:highlight w:val="none"/>
              </w:rPr>
            </w:pPr>
          </w:p>
        </w:tc>
      </w:tr>
    </w:tbl>
    <w:p w14:paraId="0E441376">
      <w:pPr>
        <w:spacing w:line="240" w:lineRule="auto"/>
        <w:jc w:val="left"/>
        <w:rPr>
          <w:rFonts w:hint="default" w:ascii="Nimbus Roman No9 L" w:hAnsi="Nimbus Roman No9 L" w:eastAsia="仿宋" w:cs="Nimbus Roman No9 L"/>
          <w:b/>
          <w:bCs/>
          <w:sz w:val="32"/>
          <w:szCs w:val="32"/>
          <w:highlight w:val="none"/>
        </w:rPr>
      </w:pPr>
      <w:r>
        <w:rPr>
          <w:rFonts w:hint="default" w:ascii="Nimbus Roman No9 L" w:hAnsi="Nimbus Roman No9 L" w:eastAsia="仿宋" w:cs="Nimbus Roman No9 L"/>
          <w:sz w:val="24"/>
          <w:highlight w:val="none"/>
        </w:rPr>
        <w:br w:type="page"/>
      </w:r>
      <w:r>
        <w:rPr>
          <w:rFonts w:hint="default" w:ascii="Nimbus Roman No9 L" w:hAnsi="Nimbus Roman No9 L" w:eastAsia="仿宋" w:cs="Nimbus Roman No9 L"/>
          <w:b/>
          <w:bCs/>
          <w:sz w:val="32"/>
          <w:szCs w:val="32"/>
          <w:highlight w:val="none"/>
        </w:rPr>
        <w:t>附表1-3</w:t>
      </w:r>
    </w:p>
    <w:tbl>
      <w:tblPr>
        <w:tblStyle w:val="12"/>
        <w:tblW w:w="0" w:type="auto"/>
        <w:tblInd w:w="0" w:type="dxa"/>
        <w:tblLayout w:type="fixed"/>
        <w:tblCellMar>
          <w:top w:w="0" w:type="dxa"/>
          <w:left w:w="0" w:type="dxa"/>
          <w:bottom w:w="0" w:type="dxa"/>
          <w:right w:w="0" w:type="dxa"/>
        </w:tblCellMar>
      </w:tblPr>
      <w:tblGrid>
        <w:gridCol w:w="755"/>
        <w:gridCol w:w="6255"/>
        <w:gridCol w:w="930"/>
        <w:gridCol w:w="915"/>
      </w:tblGrid>
      <w:tr w14:paraId="1637B0A7">
        <w:tblPrEx>
          <w:tblCellMar>
            <w:top w:w="0" w:type="dxa"/>
            <w:left w:w="0" w:type="dxa"/>
            <w:bottom w:w="0" w:type="dxa"/>
            <w:right w:w="0" w:type="dxa"/>
          </w:tblCellMar>
        </w:tblPrEx>
        <w:trPr>
          <w:trHeight w:val="510" w:hRule="atLeast"/>
        </w:trPr>
        <w:tc>
          <w:tcPr>
            <w:tcW w:w="8855" w:type="dxa"/>
            <w:gridSpan w:val="4"/>
            <w:tcBorders>
              <w:top w:val="nil"/>
              <w:left w:val="nil"/>
              <w:bottom w:val="nil"/>
              <w:right w:val="nil"/>
            </w:tcBorders>
            <w:noWrap w:val="0"/>
            <w:tcMar>
              <w:top w:w="15" w:type="dxa"/>
              <w:left w:w="15" w:type="dxa"/>
              <w:right w:w="15" w:type="dxa"/>
            </w:tcMar>
            <w:vAlign w:val="center"/>
          </w:tcPr>
          <w:p w14:paraId="4A2A1CE7">
            <w:pPr>
              <w:widowControl/>
              <w:jc w:val="center"/>
              <w:textAlignment w:val="center"/>
              <w:rPr>
                <w:rFonts w:hint="default" w:ascii="Nimbus Roman No9 L" w:hAnsi="Nimbus Roman No9 L" w:eastAsia="宋体" w:cs="Nimbus Roman No9 L"/>
                <w:b/>
                <w:color w:val="000000"/>
                <w:sz w:val="40"/>
                <w:szCs w:val="40"/>
                <w:highlight w:val="none"/>
                <w:lang w:eastAsia="zh-CN"/>
              </w:rPr>
            </w:pPr>
            <w:r>
              <w:rPr>
                <w:rFonts w:hint="default" w:ascii="Nimbus Roman No9 L" w:hAnsi="Nimbus Roman No9 L" w:eastAsia="宋体" w:cs="Nimbus Roman No9 L"/>
                <w:b/>
                <w:color w:val="000000"/>
                <w:kern w:val="0"/>
                <w:sz w:val="36"/>
                <w:szCs w:val="36"/>
                <w:highlight w:val="none"/>
                <w:lang w:bidi="ar"/>
              </w:rPr>
              <w:t>重大偏差评审</w:t>
            </w:r>
            <w:r>
              <w:rPr>
                <w:rFonts w:hint="default" w:ascii="Nimbus Roman No9 L" w:hAnsi="Nimbus Roman No9 L" w:eastAsia="宋体" w:cs="Nimbus Roman No9 L"/>
                <w:b/>
                <w:color w:val="000000"/>
                <w:kern w:val="0"/>
                <w:sz w:val="36"/>
                <w:szCs w:val="36"/>
                <w:highlight w:val="none"/>
                <w:lang w:val="en-US" w:eastAsia="zh-CN" w:bidi="ar"/>
              </w:rPr>
              <w:t>标准</w:t>
            </w:r>
          </w:p>
        </w:tc>
      </w:tr>
      <w:tr w14:paraId="084000F6">
        <w:tblPrEx>
          <w:tblCellMar>
            <w:top w:w="0" w:type="dxa"/>
            <w:left w:w="0" w:type="dxa"/>
            <w:bottom w:w="0" w:type="dxa"/>
            <w:right w:w="0" w:type="dxa"/>
          </w:tblCellMar>
        </w:tblPrEx>
        <w:trPr>
          <w:trHeight w:val="541" w:hRule="atLeast"/>
        </w:trPr>
        <w:tc>
          <w:tcPr>
            <w:tcW w:w="7010" w:type="dxa"/>
            <w:gridSpan w:val="2"/>
            <w:tcBorders>
              <w:top w:val="nil"/>
              <w:left w:val="nil"/>
              <w:bottom w:val="nil"/>
              <w:right w:val="nil"/>
            </w:tcBorders>
            <w:noWrap w:val="0"/>
            <w:tcMar>
              <w:top w:w="15" w:type="dxa"/>
              <w:left w:w="15" w:type="dxa"/>
              <w:right w:w="15" w:type="dxa"/>
            </w:tcMar>
            <w:vAlign w:val="center"/>
          </w:tcPr>
          <w:p w14:paraId="5BB879AA">
            <w:pPr>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24"/>
                <w:szCs w:val="24"/>
                <w:highlight w:val="none"/>
                <w:lang w:bidi="ar"/>
              </w:rPr>
              <w:t>项目名称：</w:t>
            </w:r>
          </w:p>
        </w:tc>
        <w:tc>
          <w:tcPr>
            <w:tcW w:w="930" w:type="dxa"/>
            <w:tcBorders>
              <w:top w:val="nil"/>
              <w:left w:val="nil"/>
              <w:bottom w:val="nil"/>
              <w:right w:val="nil"/>
            </w:tcBorders>
            <w:noWrap w:val="0"/>
            <w:tcMar>
              <w:top w:w="15" w:type="dxa"/>
              <w:left w:w="15" w:type="dxa"/>
              <w:right w:w="15" w:type="dxa"/>
            </w:tcMar>
            <w:vAlign w:val="center"/>
          </w:tcPr>
          <w:p w14:paraId="614C7182">
            <w:pPr>
              <w:rPr>
                <w:rFonts w:hint="default" w:ascii="Nimbus Roman No9 L" w:hAnsi="Nimbus Roman No9 L" w:eastAsia="宋体" w:cs="Nimbus Roman No9 L"/>
                <w:color w:val="000000"/>
                <w:sz w:val="22"/>
                <w:szCs w:val="22"/>
                <w:highlight w:val="none"/>
              </w:rPr>
            </w:pPr>
          </w:p>
        </w:tc>
        <w:tc>
          <w:tcPr>
            <w:tcW w:w="915" w:type="dxa"/>
            <w:tcBorders>
              <w:top w:val="nil"/>
              <w:left w:val="nil"/>
              <w:bottom w:val="nil"/>
              <w:right w:val="nil"/>
            </w:tcBorders>
            <w:noWrap w:val="0"/>
            <w:tcMar>
              <w:top w:w="15" w:type="dxa"/>
              <w:left w:w="15" w:type="dxa"/>
              <w:right w:w="15" w:type="dxa"/>
            </w:tcMar>
            <w:vAlign w:val="center"/>
          </w:tcPr>
          <w:p w14:paraId="067213FB">
            <w:pPr>
              <w:rPr>
                <w:rFonts w:hint="default" w:ascii="Nimbus Roman No9 L" w:hAnsi="Nimbus Roman No9 L" w:eastAsia="宋体" w:cs="Nimbus Roman No9 L"/>
                <w:color w:val="000000"/>
                <w:sz w:val="22"/>
                <w:szCs w:val="22"/>
                <w:highlight w:val="none"/>
              </w:rPr>
            </w:pPr>
          </w:p>
        </w:tc>
      </w:tr>
      <w:tr w14:paraId="01F080C5">
        <w:tblPrEx>
          <w:tblCellMar>
            <w:top w:w="0" w:type="dxa"/>
            <w:left w:w="0" w:type="dxa"/>
            <w:bottom w:w="0" w:type="dxa"/>
            <w:right w:w="0" w:type="dxa"/>
          </w:tblCellMar>
        </w:tblPrEx>
        <w:trPr>
          <w:trHeight w:val="432" w:hRule="atLeast"/>
        </w:trPr>
        <w:tc>
          <w:tcPr>
            <w:tcW w:w="7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5EFC76A1">
            <w:pPr>
              <w:widowControl/>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b/>
                <w:color w:val="000000"/>
                <w:kern w:val="0"/>
                <w:sz w:val="24"/>
                <w:highlight w:val="none"/>
                <w:lang w:bidi="ar"/>
              </w:rPr>
              <w:t>序号</w:t>
            </w:r>
          </w:p>
        </w:tc>
        <w:tc>
          <w:tcPr>
            <w:tcW w:w="62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CB8AD7B">
            <w:pPr>
              <w:widowControl/>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b/>
                <w:color w:val="000000"/>
                <w:kern w:val="0"/>
                <w:sz w:val="24"/>
                <w:highlight w:val="none"/>
                <w:lang w:bidi="ar"/>
              </w:rPr>
              <w:t>评审内容</w:t>
            </w:r>
          </w:p>
        </w:tc>
        <w:tc>
          <w:tcPr>
            <w:tcW w:w="18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CD894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评审意见</w:t>
            </w:r>
          </w:p>
          <w:p w14:paraId="1AE0860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b/>
                <w:color w:val="000000"/>
                <w:kern w:val="0"/>
                <w:sz w:val="24"/>
                <w:highlight w:val="none"/>
                <w:lang w:bidi="ar"/>
              </w:rPr>
              <w:t>（是否通过）</w:t>
            </w:r>
          </w:p>
        </w:tc>
      </w:tr>
      <w:tr w14:paraId="70EBE3A3">
        <w:tblPrEx>
          <w:tblCellMar>
            <w:top w:w="0" w:type="dxa"/>
            <w:left w:w="0" w:type="dxa"/>
            <w:bottom w:w="0" w:type="dxa"/>
            <w:right w:w="0" w:type="dxa"/>
          </w:tblCellMar>
        </w:tblPrEx>
        <w:trPr>
          <w:trHeight w:val="439" w:hRule="atLeast"/>
        </w:trPr>
        <w:tc>
          <w:tcPr>
            <w:tcW w:w="7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3570D40A">
            <w:pPr>
              <w:widowControl/>
              <w:spacing w:line="400" w:lineRule="exact"/>
              <w:jc w:val="center"/>
              <w:textAlignment w:val="center"/>
              <w:rPr>
                <w:rFonts w:hint="default" w:ascii="Nimbus Roman No9 L" w:hAnsi="Nimbus Roman No9 L" w:cs="Nimbus Roman No9 L"/>
                <w:highlight w:val="none"/>
              </w:rPr>
            </w:pPr>
          </w:p>
        </w:tc>
        <w:tc>
          <w:tcPr>
            <w:tcW w:w="62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780EC93">
            <w:pPr>
              <w:widowControl/>
              <w:spacing w:line="400" w:lineRule="exact"/>
              <w:jc w:val="center"/>
              <w:textAlignment w:val="center"/>
              <w:rPr>
                <w:rFonts w:hint="default" w:ascii="Nimbus Roman No9 L" w:hAnsi="Nimbus Roman No9 L" w:cs="Nimbus Roman No9 L"/>
                <w:highlight w:val="none"/>
              </w:rPr>
            </w:pP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2279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cs="Nimbus Roman No9 L"/>
                <w:highlight w:val="none"/>
              </w:rPr>
            </w:pPr>
            <w:r>
              <w:rPr>
                <w:rFonts w:hint="default" w:ascii="Nimbus Roman No9 L" w:hAnsi="Nimbus Roman No9 L" w:eastAsia="宋体" w:cs="Nimbus Roman No9 L"/>
                <w:b/>
                <w:color w:val="000000"/>
                <w:kern w:val="0"/>
                <w:sz w:val="24"/>
                <w:highlight w:val="none"/>
                <w:lang w:bidi="ar"/>
              </w:rPr>
              <w:t>是</w:t>
            </w:r>
          </w:p>
        </w:tc>
        <w:tc>
          <w:tcPr>
            <w:tcW w:w="915" w:type="dxa"/>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6236C54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cs="Nimbus Roman No9 L"/>
                <w:highlight w:val="none"/>
              </w:rPr>
            </w:pPr>
            <w:r>
              <w:rPr>
                <w:rFonts w:hint="default" w:ascii="Nimbus Roman No9 L" w:hAnsi="Nimbus Roman No9 L" w:eastAsia="宋体" w:cs="Nimbus Roman No9 L"/>
                <w:b/>
                <w:color w:val="000000"/>
                <w:kern w:val="0"/>
                <w:sz w:val="24"/>
                <w:highlight w:val="none"/>
                <w:lang w:bidi="ar"/>
              </w:rPr>
              <w:t>否</w:t>
            </w:r>
          </w:p>
        </w:tc>
      </w:tr>
      <w:tr w14:paraId="04582B0A">
        <w:tblPrEx>
          <w:tblCellMar>
            <w:top w:w="0" w:type="dxa"/>
            <w:left w:w="0" w:type="dxa"/>
            <w:bottom w:w="0" w:type="dxa"/>
            <w:right w:w="0" w:type="dxa"/>
          </w:tblCellMar>
        </w:tblPrEx>
        <w:trPr>
          <w:trHeight w:val="441"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DACD6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1</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555A8">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cs="Nimbus Roman No9 L"/>
                <w:color w:val="000000"/>
                <w:kern w:val="0"/>
                <w:sz w:val="24"/>
                <w:highlight w:val="none"/>
                <w:lang w:val="en-US" w:eastAsia="zh-CN"/>
              </w:rPr>
              <w:t>投标报价高于招标控制价的；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7C849">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D65B7D">
            <w:pPr>
              <w:rPr>
                <w:rFonts w:hint="default" w:ascii="Nimbus Roman No9 L" w:hAnsi="Nimbus Roman No9 L" w:eastAsia="宋体" w:cs="Nimbus Roman No9 L"/>
                <w:color w:val="000000"/>
                <w:sz w:val="24"/>
                <w:highlight w:val="none"/>
              </w:rPr>
            </w:pPr>
          </w:p>
        </w:tc>
      </w:tr>
      <w:tr w14:paraId="182FA321">
        <w:tblPrEx>
          <w:tblCellMar>
            <w:top w:w="0" w:type="dxa"/>
            <w:left w:w="0" w:type="dxa"/>
            <w:bottom w:w="0" w:type="dxa"/>
            <w:right w:w="0" w:type="dxa"/>
          </w:tblCellMar>
        </w:tblPrEx>
        <w:trPr>
          <w:trHeight w:val="669"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CFCA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2</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DB54B">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cs="Nimbus Roman No9 L"/>
                <w:color w:val="000000"/>
                <w:kern w:val="0"/>
                <w:sz w:val="24"/>
                <w:highlight w:val="none"/>
                <w:lang w:val="en-US" w:eastAsia="zh-CN"/>
              </w:rPr>
              <w:t>投标文件承诺的工期超过招标文件中工期要求的；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563A29">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2D619E">
            <w:pPr>
              <w:rPr>
                <w:rFonts w:hint="default" w:ascii="Nimbus Roman No9 L" w:hAnsi="Nimbus Roman No9 L" w:eastAsia="宋体" w:cs="Nimbus Roman No9 L"/>
                <w:color w:val="000000"/>
                <w:sz w:val="24"/>
                <w:highlight w:val="none"/>
              </w:rPr>
            </w:pPr>
          </w:p>
        </w:tc>
      </w:tr>
      <w:tr w14:paraId="6D59977C">
        <w:tblPrEx>
          <w:tblCellMar>
            <w:top w:w="0" w:type="dxa"/>
            <w:left w:w="0" w:type="dxa"/>
            <w:bottom w:w="0" w:type="dxa"/>
            <w:right w:w="0" w:type="dxa"/>
          </w:tblCellMar>
        </w:tblPrEx>
        <w:trPr>
          <w:trHeight w:val="723"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A133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3</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36EADE">
            <w:pPr>
              <w:pStyle w:val="8"/>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联合体各方在同一招标项目中以自己名义单独投标或者参加其他联合体投标的</w:t>
            </w:r>
            <w:r>
              <w:rPr>
                <w:rFonts w:hint="eastAsia" w:ascii="Nimbus Roman No9 L" w:hAnsi="Nimbus Roman No9 L" w:eastAsia="宋体" w:cs="Nimbus Roman No9 L"/>
                <w:color w:val="000000"/>
                <w:kern w:val="0"/>
                <w:sz w:val="24"/>
                <w:szCs w:val="24"/>
                <w:highlight w:val="none"/>
                <w:lang w:val="en-US" w:eastAsia="zh-CN" w:bidi="ar-SA"/>
              </w:rPr>
              <w:t>，通过资格预审后</w:t>
            </w:r>
            <w:r>
              <w:rPr>
                <w:rFonts w:hint="default" w:ascii="Nimbus Roman No9 L" w:hAnsi="Nimbus Roman No9 L" w:eastAsia="宋体" w:cs="Nimbus Roman No9 L"/>
                <w:color w:val="000000"/>
                <w:kern w:val="0"/>
                <w:sz w:val="24"/>
                <w:szCs w:val="24"/>
                <w:highlight w:val="none"/>
                <w:lang w:val="en-US" w:eastAsia="zh-CN" w:bidi="ar-SA"/>
              </w:rPr>
              <w:t>增减、更换成员的；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5F7D55">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D2A8C">
            <w:pPr>
              <w:rPr>
                <w:rFonts w:hint="default" w:ascii="Nimbus Roman No9 L" w:hAnsi="Nimbus Roman No9 L" w:eastAsia="宋体" w:cs="Nimbus Roman No9 L"/>
                <w:color w:val="000000"/>
                <w:sz w:val="24"/>
                <w:highlight w:val="none"/>
              </w:rPr>
            </w:pPr>
          </w:p>
        </w:tc>
      </w:tr>
      <w:tr w14:paraId="6EBCBE99">
        <w:tblPrEx>
          <w:tblCellMar>
            <w:top w:w="0" w:type="dxa"/>
            <w:left w:w="0" w:type="dxa"/>
            <w:bottom w:w="0" w:type="dxa"/>
            <w:right w:w="0" w:type="dxa"/>
          </w:tblCellMar>
        </w:tblPrEx>
        <w:trPr>
          <w:trHeight w:val="755"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94DC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4</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DF85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cs="Nimbus Roman No9 L"/>
                <w:color w:val="000000"/>
                <w:kern w:val="0"/>
                <w:sz w:val="24"/>
                <w:highlight w:val="none"/>
                <w:lang w:val="en-US" w:eastAsia="zh-CN"/>
              </w:rPr>
              <w:t>同一项目投标人之间有控股、管理关系或法定代表人（单位负责人）为同一人的；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4B74FB">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BEA2B">
            <w:pPr>
              <w:rPr>
                <w:rFonts w:hint="default" w:ascii="Nimbus Roman No9 L" w:hAnsi="Nimbus Roman No9 L" w:eastAsia="宋体" w:cs="Nimbus Roman No9 L"/>
                <w:color w:val="000000"/>
                <w:sz w:val="24"/>
                <w:highlight w:val="none"/>
              </w:rPr>
            </w:pPr>
          </w:p>
        </w:tc>
      </w:tr>
      <w:tr w14:paraId="190F42C3">
        <w:tblPrEx>
          <w:tblCellMar>
            <w:top w:w="0" w:type="dxa"/>
            <w:left w:w="0" w:type="dxa"/>
            <w:bottom w:w="0" w:type="dxa"/>
            <w:right w:w="0" w:type="dxa"/>
          </w:tblCellMar>
        </w:tblPrEx>
        <w:trPr>
          <w:trHeight w:val="554"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43606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5</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F717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cs="Nimbus Roman No9 L"/>
                <w:color w:val="000000"/>
                <w:kern w:val="0"/>
                <w:sz w:val="24"/>
                <w:highlight w:val="none"/>
                <w:lang w:val="en-US" w:eastAsia="zh-CN"/>
              </w:rPr>
              <w:t>单位工程、单项工程的名称或结构与招标文件不一致的；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70F1D">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57E78">
            <w:pPr>
              <w:rPr>
                <w:rFonts w:hint="default" w:ascii="Nimbus Roman No9 L" w:hAnsi="Nimbus Roman No9 L" w:eastAsia="宋体" w:cs="Nimbus Roman No9 L"/>
                <w:color w:val="000000"/>
                <w:sz w:val="24"/>
                <w:highlight w:val="none"/>
              </w:rPr>
            </w:pPr>
          </w:p>
        </w:tc>
      </w:tr>
      <w:tr w14:paraId="1CCC3C4E">
        <w:tblPrEx>
          <w:tblCellMar>
            <w:top w:w="0" w:type="dxa"/>
            <w:left w:w="0" w:type="dxa"/>
            <w:bottom w:w="0" w:type="dxa"/>
            <w:right w:w="0" w:type="dxa"/>
          </w:tblCellMar>
        </w:tblPrEx>
        <w:trPr>
          <w:trHeight w:val="779"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B81F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6</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EDCF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cs="Nimbus Roman No9 L"/>
                <w:color w:val="000000"/>
                <w:kern w:val="0"/>
                <w:sz w:val="24"/>
                <w:highlight w:val="none"/>
                <w:lang w:val="en-US" w:eastAsia="zh-CN"/>
              </w:rPr>
              <w:t>改变招标文件提供工程量清单中的项目编码、项目名称、项目特征、计量单位和工程量的；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9ABEF">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0B640">
            <w:pPr>
              <w:rPr>
                <w:rFonts w:hint="default" w:ascii="Nimbus Roman No9 L" w:hAnsi="Nimbus Roman No9 L" w:eastAsia="宋体" w:cs="Nimbus Roman No9 L"/>
                <w:color w:val="000000"/>
                <w:sz w:val="24"/>
                <w:highlight w:val="none"/>
              </w:rPr>
            </w:pPr>
          </w:p>
        </w:tc>
      </w:tr>
      <w:tr w14:paraId="35F73987">
        <w:tblPrEx>
          <w:tblCellMar>
            <w:top w:w="0" w:type="dxa"/>
            <w:left w:w="0" w:type="dxa"/>
            <w:bottom w:w="0" w:type="dxa"/>
            <w:right w:w="0" w:type="dxa"/>
          </w:tblCellMar>
        </w:tblPrEx>
        <w:trPr>
          <w:trHeight w:val="1091"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E4D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7</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4336C">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cs="Nimbus Roman No9 L"/>
                <w:color w:val="000000"/>
                <w:kern w:val="0"/>
                <w:sz w:val="24"/>
                <w:highlight w:val="none"/>
                <w:lang w:val="en-US" w:eastAsia="zh-CN"/>
              </w:rPr>
            </w:pPr>
            <w:r>
              <w:rPr>
                <w:rFonts w:hint="eastAsia" w:ascii="Nimbus Roman No9 L" w:hAnsi="Nimbus Roman No9 L" w:cs="Nimbus Roman No9 L"/>
                <w:color w:val="000000"/>
                <w:kern w:val="0"/>
                <w:sz w:val="24"/>
                <w:highlight w:val="none"/>
                <w:lang w:val="en-US" w:eastAsia="zh-CN"/>
              </w:rPr>
              <w:t>改动增值税、安全文明施工费中“安全生产措施费”“智慧工地基础配置费用”等费用的计费基础和费率的；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ACB64">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4233F">
            <w:pPr>
              <w:rPr>
                <w:rFonts w:hint="default" w:ascii="Nimbus Roman No9 L" w:hAnsi="Nimbus Roman No9 L" w:eastAsia="宋体" w:cs="Nimbus Roman No9 L"/>
                <w:color w:val="000000"/>
                <w:sz w:val="24"/>
                <w:highlight w:val="none"/>
              </w:rPr>
            </w:pPr>
          </w:p>
        </w:tc>
      </w:tr>
      <w:tr w14:paraId="2921F561">
        <w:tblPrEx>
          <w:tblCellMar>
            <w:top w:w="0" w:type="dxa"/>
            <w:left w:w="0" w:type="dxa"/>
            <w:bottom w:w="0" w:type="dxa"/>
            <w:right w:w="0" w:type="dxa"/>
          </w:tblCellMar>
        </w:tblPrEx>
        <w:trPr>
          <w:trHeight w:val="377"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5CB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8</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BC583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cs="Nimbus Roman No9 L"/>
                <w:color w:val="000000"/>
                <w:kern w:val="0"/>
                <w:sz w:val="24"/>
                <w:highlight w:val="none"/>
                <w:lang w:val="en-US" w:eastAsia="zh-CN"/>
              </w:rPr>
            </w:pPr>
            <w:r>
              <w:rPr>
                <w:rFonts w:hint="eastAsia" w:ascii="Nimbus Roman No9 L" w:hAnsi="Nimbus Roman No9 L" w:cs="Nimbus Roman No9 L"/>
                <w:color w:val="000000"/>
                <w:kern w:val="0"/>
                <w:sz w:val="24"/>
                <w:highlight w:val="none"/>
                <w:lang w:val="en-US" w:eastAsia="zh-CN"/>
              </w:rPr>
              <w:t>改动暂列金、专业工程暂估价、施工技术专项措施项目暂估价的；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A0F6E">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14812">
            <w:pPr>
              <w:rPr>
                <w:rFonts w:hint="default" w:ascii="Nimbus Roman No9 L" w:hAnsi="Nimbus Roman No9 L" w:eastAsia="宋体" w:cs="Nimbus Roman No9 L"/>
                <w:color w:val="000000"/>
                <w:sz w:val="24"/>
                <w:highlight w:val="none"/>
              </w:rPr>
            </w:pPr>
          </w:p>
        </w:tc>
      </w:tr>
      <w:tr w14:paraId="146B2234">
        <w:tblPrEx>
          <w:tblCellMar>
            <w:top w:w="0" w:type="dxa"/>
            <w:left w:w="0" w:type="dxa"/>
            <w:bottom w:w="0" w:type="dxa"/>
            <w:right w:w="0" w:type="dxa"/>
          </w:tblCellMar>
        </w:tblPrEx>
        <w:trPr>
          <w:trHeight w:val="531"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A420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9</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CCF66">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改动材料</w:t>
            </w:r>
            <w:r>
              <w:rPr>
                <w:rFonts w:hint="eastAsia" w:ascii="Nimbus Roman No9 L" w:hAnsi="Nimbus Roman No9 L" w:cs="Nimbus Roman No9 L"/>
                <w:color w:val="000000"/>
                <w:kern w:val="0"/>
                <w:sz w:val="24"/>
                <w:highlight w:val="none"/>
                <w:lang w:val="en-US" w:eastAsia="zh-CN"/>
              </w:rPr>
              <w:t>暂</w:t>
            </w:r>
            <w:r>
              <w:rPr>
                <w:rFonts w:hint="default" w:ascii="Nimbus Roman No9 L" w:hAnsi="Nimbus Roman No9 L" w:cs="Nimbus Roman No9 L"/>
                <w:color w:val="000000"/>
                <w:kern w:val="0"/>
                <w:sz w:val="24"/>
                <w:highlight w:val="none"/>
                <w:lang w:val="en-US" w:eastAsia="zh-CN"/>
              </w:rPr>
              <w:t>估单价的；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BDC85">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74D4B">
            <w:pPr>
              <w:rPr>
                <w:rFonts w:hint="default" w:ascii="Nimbus Roman No9 L" w:hAnsi="Nimbus Roman No9 L" w:eastAsia="宋体" w:cs="Nimbus Roman No9 L"/>
                <w:color w:val="000000"/>
                <w:sz w:val="24"/>
                <w:highlight w:val="none"/>
              </w:rPr>
            </w:pPr>
          </w:p>
        </w:tc>
      </w:tr>
      <w:tr w14:paraId="38E1F4FB">
        <w:tblPrEx>
          <w:tblCellMar>
            <w:top w:w="0" w:type="dxa"/>
            <w:left w:w="0" w:type="dxa"/>
            <w:bottom w:w="0" w:type="dxa"/>
            <w:right w:w="0" w:type="dxa"/>
          </w:tblCellMar>
        </w:tblPrEx>
        <w:trPr>
          <w:trHeight w:val="561"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F3C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10</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34B0C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cs="Nimbus Roman No9 L"/>
                <w:color w:val="000000"/>
                <w:kern w:val="0"/>
                <w:sz w:val="24"/>
                <w:highlight w:val="none"/>
                <w:lang w:val="en-US" w:eastAsia="zh-CN"/>
              </w:rPr>
              <w:t>投标人名称、组织机构与获取招标文件时或资格预审时不符，涉嫌以他人名义投标的；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D138F">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F349B">
            <w:pPr>
              <w:rPr>
                <w:rFonts w:hint="default" w:ascii="Nimbus Roman No9 L" w:hAnsi="Nimbus Roman No9 L" w:eastAsia="宋体" w:cs="Nimbus Roman No9 L"/>
                <w:color w:val="000000"/>
                <w:sz w:val="24"/>
                <w:highlight w:val="none"/>
              </w:rPr>
            </w:pPr>
          </w:p>
        </w:tc>
      </w:tr>
      <w:tr w14:paraId="5781E204">
        <w:tblPrEx>
          <w:tblCellMar>
            <w:top w:w="0" w:type="dxa"/>
            <w:left w:w="0" w:type="dxa"/>
            <w:bottom w:w="0" w:type="dxa"/>
            <w:right w:w="0" w:type="dxa"/>
          </w:tblCellMar>
        </w:tblPrEx>
        <w:trPr>
          <w:trHeight w:val="473"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C759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11</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E6C33">
            <w:pPr>
              <w:pStyle w:val="11"/>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投标人之间或者投标人与招标人之间涉嫌串通投标的；</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1E3C7">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F8F35">
            <w:pPr>
              <w:rPr>
                <w:rFonts w:hint="default" w:ascii="Nimbus Roman No9 L" w:hAnsi="Nimbus Roman No9 L" w:eastAsia="宋体" w:cs="Nimbus Roman No9 L"/>
                <w:color w:val="000000"/>
                <w:sz w:val="24"/>
                <w:highlight w:val="none"/>
              </w:rPr>
            </w:pPr>
          </w:p>
        </w:tc>
      </w:tr>
      <w:tr w14:paraId="50F2D8B3">
        <w:tblPrEx>
          <w:tblCellMar>
            <w:top w:w="0" w:type="dxa"/>
            <w:left w:w="0" w:type="dxa"/>
            <w:bottom w:w="0" w:type="dxa"/>
            <w:right w:w="0" w:type="dxa"/>
          </w:tblCellMar>
        </w:tblPrEx>
        <w:trPr>
          <w:trHeight w:val="339"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43CA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12</w:t>
            </w: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8EC81">
            <w:pPr>
              <w:pStyle w:val="11"/>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不满足招标文件实质性要求的其他情形。</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538612">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FF061">
            <w:pPr>
              <w:rPr>
                <w:rFonts w:hint="default" w:ascii="Nimbus Roman No9 L" w:hAnsi="Nimbus Roman No9 L" w:eastAsia="宋体" w:cs="Nimbus Roman No9 L"/>
                <w:color w:val="000000"/>
                <w:sz w:val="24"/>
                <w:highlight w:val="none"/>
              </w:rPr>
            </w:pPr>
          </w:p>
        </w:tc>
      </w:tr>
      <w:tr w14:paraId="5A1A3E91">
        <w:tblPrEx>
          <w:tblCellMar>
            <w:top w:w="0" w:type="dxa"/>
            <w:left w:w="0" w:type="dxa"/>
            <w:bottom w:w="0" w:type="dxa"/>
            <w:right w:w="0" w:type="dxa"/>
          </w:tblCellMar>
        </w:tblPrEx>
        <w:trPr>
          <w:trHeight w:val="378" w:hRule="atLeast"/>
        </w:trPr>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3A88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p>
        </w:tc>
        <w:tc>
          <w:tcPr>
            <w:tcW w:w="62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C41D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25C99">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14601">
            <w:pPr>
              <w:rPr>
                <w:rFonts w:hint="default" w:ascii="Nimbus Roman No9 L" w:hAnsi="Nimbus Roman No9 L" w:eastAsia="宋体" w:cs="Nimbus Roman No9 L"/>
                <w:color w:val="000000"/>
                <w:sz w:val="24"/>
                <w:highlight w:val="none"/>
              </w:rPr>
            </w:pPr>
          </w:p>
        </w:tc>
      </w:tr>
      <w:tr w14:paraId="1818CAB8">
        <w:tblPrEx>
          <w:tblCellMar>
            <w:top w:w="0" w:type="dxa"/>
            <w:left w:w="0" w:type="dxa"/>
            <w:bottom w:w="0" w:type="dxa"/>
            <w:right w:w="0" w:type="dxa"/>
          </w:tblCellMar>
        </w:tblPrEx>
        <w:trPr>
          <w:trHeight w:val="553" w:hRule="atLeast"/>
        </w:trPr>
        <w:tc>
          <w:tcPr>
            <w:tcW w:w="701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948C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bidi="ar"/>
              </w:rPr>
              <w:t>结论：是否通过评审</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8BD6B">
            <w:pPr>
              <w:rPr>
                <w:rFonts w:hint="default" w:ascii="Nimbus Roman No9 L" w:hAnsi="Nimbus Roman No9 L" w:eastAsia="宋体" w:cs="Nimbus Roman No9 L"/>
                <w:color w:val="000000"/>
                <w:sz w:val="24"/>
                <w:highlight w:val="none"/>
              </w:rPr>
            </w:pPr>
          </w:p>
        </w:tc>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470588">
            <w:pPr>
              <w:rPr>
                <w:rFonts w:hint="default" w:ascii="Nimbus Roman No9 L" w:hAnsi="Nimbus Roman No9 L" w:eastAsia="宋体" w:cs="Nimbus Roman No9 L"/>
                <w:color w:val="000000"/>
                <w:sz w:val="24"/>
                <w:highlight w:val="none"/>
              </w:rPr>
            </w:pPr>
          </w:p>
        </w:tc>
      </w:tr>
      <w:tr w14:paraId="294A5AFF">
        <w:tblPrEx>
          <w:tblCellMar>
            <w:top w:w="0" w:type="dxa"/>
            <w:left w:w="0" w:type="dxa"/>
            <w:bottom w:w="0" w:type="dxa"/>
            <w:right w:w="0" w:type="dxa"/>
          </w:tblCellMar>
        </w:tblPrEx>
        <w:trPr>
          <w:trHeight w:val="400" w:hRule="atLeast"/>
        </w:trPr>
        <w:tc>
          <w:tcPr>
            <w:tcW w:w="7010" w:type="dxa"/>
            <w:gridSpan w:val="2"/>
            <w:tcBorders>
              <w:top w:val="nil"/>
              <w:left w:val="nil"/>
              <w:bottom w:val="nil"/>
              <w:right w:val="nil"/>
            </w:tcBorders>
            <w:noWrap w:val="0"/>
            <w:tcMar>
              <w:top w:w="15" w:type="dxa"/>
              <w:left w:w="15" w:type="dxa"/>
              <w:right w:w="15" w:type="dxa"/>
            </w:tcMar>
            <w:vAlign w:val="center"/>
          </w:tcPr>
          <w:p w14:paraId="4DBE3C4C">
            <w:pPr>
              <w:widowControl/>
              <w:jc w:val="left"/>
              <w:textAlignment w:val="center"/>
              <w:rPr>
                <w:rFonts w:hint="default" w:ascii="Nimbus Roman No9 L" w:hAnsi="Nimbus Roman No9 L" w:eastAsia="宋体" w:cs="Nimbus Roman No9 L"/>
                <w:color w:val="000000"/>
                <w:sz w:val="22"/>
                <w:szCs w:val="22"/>
                <w:highlight w:val="none"/>
              </w:rPr>
            </w:pPr>
          </w:p>
        </w:tc>
        <w:tc>
          <w:tcPr>
            <w:tcW w:w="930" w:type="dxa"/>
            <w:tcBorders>
              <w:top w:val="nil"/>
              <w:left w:val="nil"/>
              <w:bottom w:val="nil"/>
              <w:right w:val="nil"/>
            </w:tcBorders>
            <w:noWrap w:val="0"/>
            <w:tcMar>
              <w:top w:w="15" w:type="dxa"/>
              <w:left w:w="15" w:type="dxa"/>
              <w:right w:w="15" w:type="dxa"/>
            </w:tcMar>
            <w:vAlign w:val="center"/>
          </w:tcPr>
          <w:p w14:paraId="3FA16020">
            <w:pPr>
              <w:rPr>
                <w:rFonts w:hint="default" w:ascii="Nimbus Roman No9 L" w:hAnsi="Nimbus Roman No9 L" w:eastAsia="宋体" w:cs="Nimbus Roman No9 L"/>
                <w:color w:val="000000"/>
                <w:sz w:val="22"/>
                <w:szCs w:val="22"/>
                <w:highlight w:val="none"/>
              </w:rPr>
            </w:pPr>
          </w:p>
        </w:tc>
        <w:tc>
          <w:tcPr>
            <w:tcW w:w="915" w:type="dxa"/>
            <w:tcBorders>
              <w:top w:val="nil"/>
              <w:left w:val="nil"/>
              <w:bottom w:val="nil"/>
              <w:right w:val="nil"/>
            </w:tcBorders>
            <w:noWrap w:val="0"/>
            <w:tcMar>
              <w:top w:w="15" w:type="dxa"/>
              <w:left w:w="15" w:type="dxa"/>
              <w:right w:w="15" w:type="dxa"/>
            </w:tcMar>
            <w:vAlign w:val="center"/>
          </w:tcPr>
          <w:p w14:paraId="5DF1DA18">
            <w:pPr>
              <w:rPr>
                <w:rFonts w:hint="default" w:ascii="Nimbus Roman No9 L" w:hAnsi="Nimbus Roman No9 L" w:eastAsia="宋体" w:cs="Nimbus Roman No9 L"/>
                <w:color w:val="000000"/>
                <w:sz w:val="22"/>
                <w:szCs w:val="22"/>
                <w:highlight w:val="none"/>
              </w:rPr>
            </w:pPr>
          </w:p>
        </w:tc>
      </w:tr>
    </w:tbl>
    <w:p w14:paraId="5C8604AA">
      <w:pPr>
        <w:spacing w:line="240" w:lineRule="auto"/>
        <w:jc w:val="left"/>
        <w:rPr>
          <w:rFonts w:hint="default" w:ascii="Nimbus Roman No9 L" w:hAnsi="Nimbus Roman No9 L" w:eastAsia="仿宋" w:cs="Nimbus Roman No9 L"/>
          <w:b/>
          <w:bCs/>
          <w:sz w:val="32"/>
          <w:szCs w:val="32"/>
          <w:highlight w:val="none"/>
        </w:rPr>
      </w:pPr>
      <w:r>
        <w:rPr>
          <w:rFonts w:hint="default" w:ascii="Nimbus Roman No9 L" w:hAnsi="Nimbus Roman No9 L" w:eastAsia="仿宋" w:cs="Nimbus Roman No9 L"/>
          <w:sz w:val="24"/>
          <w:highlight w:val="none"/>
        </w:rPr>
        <w:br w:type="page"/>
      </w:r>
      <w:r>
        <w:rPr>
          <w:rFonts w:hint="default" w:ascii="Nimbus Roman No9 L" w:hAnsi="Nimbus Roman No9 L" w:eastAsia="仿宋" w:cs="Nimbus Roman No9 L"/>
          <w:b/>
          <w:bCs/>
          <w:sz w:val="32"/>
          <w:szCs w:val="32"/>
          <w:highlight w:val="none"/>
        </w:rPr>
        <w:t>附表1-4</w:t>
      </w:r>
    </w:p>
    <w:tbl>
      <w:tblPr>
        <w:tblStyle w:val="12"/>
        <w:tblW w:w="0" w:type="auto"/>
        <w:tblInd w:w="-316" w:type="dxa"/>
        <w:tblLayout w:type="fixed"/>
        <w:tblCellMar>
          <w:top w:w="0" w:type="dxa"/>
          <w:left w:w="0" w:type="dxa"/>
          <w:bottom w:w="0" w:type="dxa"/>
          <w:right w:w="0" w:type="dxa"/>
        </w:tblCellMar>
      </w:tblPr>
      <w:tblGrid>
        <w:gridCol w:w="598"/>
        <w:gridCol w:w="1184"/>
        <w:gridCol w:w="1481"/>
        <w:gridCol w:w="4918"/>
        <w:gridCol w:w="990"/>
      </w:tblGrid>
      <w:tr w14:paraId="4BAEB0D6">
        <w:tblPrEx>
          <w:tblCellMar>
            <w:top w:w="0" w:type="dxa"/>
            <w:left w:w="0" w:type="dxa"/>
            <w:bottom w:w="0" w:type="dxa"/>
            <w:right w:w="0" w:type="dxa"/>
          </w:tblCellMar>
        </w:tblPrEx>
        <w:trPr>
          <w:trHeight w:val="741" w:hRule="atLeast"/>
        </w:trPr>
        <w:tc>
          <w:tcPr>
            <w:tcW w:w="9171" w:type="dxa"/>
            <w:gridSpan w:val="5"/>
            <w:tcBorders>
              <w:top w:val="nil"/>
              <w:left w:val="nil"/>
              <w:bottom w:val="nil"/>
              <w:right w:val="nil"/>
            </w:tcBorders>
            <w:noWrap w:val="0"/>
            <w:tcMar>
              <w:top w:w="15" w:type="dxa"/>
              <w:left w:w="15" w:type="dxa"/>
              <w:right w:w="15" w:type="dxa"/>
            </w:tcMar>
            <w:vAlign w:val="center"/>
          </w:tcPr>
          <w:p w14:paraId="4464739C">
            <w:pPr>
              <w:widowControl/>
              <w:jc w:val="center"/>
              <w:textAlignment w:val="center"/>
              <w:rPr>
                <w:rFonts w:hint="default" w:ascii="Nimbus Roman No9 L" w:hAnsi="Nimbus Roman No9 L" w:eastAsia="宋体" w:cs="Nimbus Roman No9 L"/>
                <w:b/>
                <w:color w:val="000000"/>
                <w:sz w:val="40"/>
                <w:szCs w:val="40"/>
                <w:highlight w:val="none"/>
              </w:rPr>
            </w:pPr>
            <w:r>
              <w:rPr>
                <w:rFonts w:hint="default" w:ascii="Nimbus Roman No9 L" w:hAnsi="Nimbus Roman No9 L" w:eastAsia="宋体" w:cs="Nimbus Roman No9 L"/>
                <w:b/>
                <w:color w:val="000000"/>
                <w:kern w:val="0"/>
                <w:sz w:val="36"/>
                <w:szCs w:val="36"/>
                <w:highlight w:val="none"/>
                <w:lang w:val="en-US" w:eastAsia="zh-CN" w:bidi="ar"/>
              </w:rPr>
              <w:t>商务标</w:t>
            </w:r>
            <w:r>
              <w:rPr>
                <w:rFonts w:hint="default" w:ascii="Nimbus Roman No9 L" w:hAnsi="Nimbus Roman No9 L" w:eastAsia="宋体" w:cs="Nimbus Roman No9 L"/>
                <w:b/>
                <w:color w:val="000000"/>
                <w:kern w:val="0"/>
                <w:sz w:val="36"/>
                <w:szCs w:val="36"/>
                <w:highlight w:val="none"/>
                <w:lang w:bidi="ar"/>
              </w:rPr>
              <w:t>评审</w:t>
            </w:r>
            <w:r>
              <w:rPr>
                <w:rFonts w:hint="default" w:ascii="Nimbus Roman No9 L" w:hAnsi="Nimbus Roman No9 L" w:eastAsia="宋体" w:cs="Nimbus Roman No9 L"/>
                <w:b/>
                <w:color w:val="000000"/>
                <w:kern w:val="0"/>
                <w:sz w:val="36"/>
                <w:szCs w:val="36"/>
                <w:highlight w:val="none"/>
                <w:lang w:val="en-US" w:eastAsia="zh-CN" w:bidi="ar"/>
              </w:rPr>
              <w:t>标准</w:t>
            </w:r>
          </w:p>
        </w:tc>
      </w:tr>
      <w:tr w14:paraId="1C304684">
        <w:tblPrEx>
          <w:tblCellMar>
            <w:top w:w="0" w:type="dxa"/>
            <w:left w:w="0" w:type="dxa"/>
            <w:bottom w:w="0" w:type="dxa"/>
            <w:right w:w="0" w:type="dxa"/>
          </w:tblCellMar>
        </w:tblPrEx>
        <w:trPr>
          <w:trHeight w:val="500" w:hRule="atLeast"/>
        </w:trPr>
        <w:tc>
          <w:tcPr>
            <w:tcW w:w="3263" w:type="dxa"/>
            <w:gridSpan w:val="3"/>
            <w:tcBorders>
              <w:top w:val="nil"/>
              <w:left w:val="nil"/>
              <w:bottom w:val="nil"/>
              <w:right w:val="nil"/>
            </w:tcBorders>
            <w:noWrap w:val="0"/>
            <w:tcMar>
              <w:top w:w="15" w:type="dxa"/>
              <w:left w:w="15" w:type="dxa"/>
              <w:right w:w="15" w:type="dxa"/>
            </w:tcMar>
            <w:vAlign w:val="center"/>
          </w:tcPr>
          <w:p w14:paraId="1DB68EEC">
            <w:pPr>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24"/>
                <w:szCs w:val="24"/>
                <w:highlight w:val="none"/>
                <w:lang w:bidi="ar"/>
              </w:rPr>
              <w:t>项目名称：</w:t>
            </w:r>
          </w:p>
        </w:tc>
        <w:tc>
          <w:tcPr>
            <w:tcW w:w="4918" w:type="dxa"/>
            <w:tcBorders>
              <w:top w:val="nil"/>
              <w:left w:val="nil"/>
              <w:bottom w:val="nil"/>
              <w:right w:val="nil"/>
            </w:tcBorders>
            <w:noWrap w:val="0"/>
            <w:tcMar>
              <w:top w:w="15" w:type="dxa"/>
              <w:left w:w="15" w:type="dxa"/>
              <w:right w:w="15" w:type="dxa"/>
            </w:tcMar>
            <w:vAlign w:val="center"/>
          </w:tcPr>
          <w:p w14:paraId="699FE23E">
            <w:pPr>
              <w:rPr>
                <w:rFonts w:hint="default" w:ascii="Nimbus Roman No9 L" w:hAnsi="Nimbus Roman No9 L" w:eastAsia="宋体" w:cs="Nimbus Roman No9 L"/>
                <w:color w:val="000000"/>
                <w:sz w:val="22"/>
                <w:szCs w:val="22"/>
                <w:highlight w:val="none"/>
              </w:rPr>
            </w:pPr>
          </w:p>
        </w:tc>
        <w:tc>
          <w:tcPr>
            <w:tcW w:w="990" w:type="dxa"/>
            <w:tcBorders>
              <w:top w:val="nil"/>
              <w:left w:val="nil"/>
              <w:bottom w:val="nil"/>
              <w:right w:val="nil"/>
            </w:tcBorders>
            <w:noWrap w:val="0"/>
            <w:tcMar>
              <w:top w:w="15" w:type="dxa"/>
              <w:left w:w="15" w:type="dxa"/>
              <w:right w:w="15" w:type="dxa"/>
            </w:tcMar>
            <w:vAlign w:val="center"/>
          </w:tcPr>
          <w:p w14:paraId="4063ACC1">
            <w:pPr>
              <w:rPr>
                <w:rFonts w:hint="default" w:ascii="Nimbus Roman No9 L" w:hAnsi="Nimbus Roman No9 L" w:eastAsia="宋体" w:cs="Nimbus Roman No9 L"/>
                <w:color w:val="000000"/>
                <w:sz w:val="22"/>
                <w:szCs w:val="22"/>
                <w:highlight w:val="none"/>
              </w:rPr>
            </w:pPr>
          </w:p>
        </w:tc>
      </w:tr>
      <w:tr w14:paraId="4874000F">
        <w:tblPrEx>
          <w:tblCellMar>
            <w:top w:w="0" w:type="dxa"/>
            <w:left w:w="0" w:type="dxa"/>
            <w:bottom w:w="0" w:type="dxa"/>
            <w:right w:w="0" w:type="dxa"/>
          </w:tblCellMar>
        </w:tblPrEx>
        <w:trPr>
          <w:trHeight w:val="652" w:hRule="atLeast"/>
        </w:trPr>
        <w:tc>
          <w:tcPr>
            <w:tcW w:w="598"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3B8029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序号</w:t>
            </w:r>
          </w:p>
        </w:tc>
        <w:tc>
          <w:tcPr>
            <w:tcW w:w="2665" w:type="dxa"/>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14:paraId="586786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评审项目及分值</w:t>
            </w:r>
          </w:p>
        </w:tc>
        <w:tc>
          <w:tcPr>
            <w:tcW w:w="4918"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1A71D71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评审标准</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27A2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评审</w:t>
            </w:r>
          </w:p>
          <w:p w14:paraId="1A9B62D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bidi="ar"/>
              </w:rPr>
            </w:pPr>
            <w:r>
              <w:rPr>
                <w:rFonts w:hint="default" w:ascii="Nimbus Roman No9 L" w:hAnsi="Nimbus Roman No9 L" w:eastAsia="宋体" w:cs="Nimbus Roman No9 L"/>
                <w:b/>
                <w:color w:val="000000"/>
                <w:kern w:val="0"/>
                <w:sz w:val="24"/>
                <w:highlight w:val="none"/>
                <w:lang w:bidi="ar"/>
              </w:rPr>
              <w:t>计分</w:t>
            </w:r>
          </w:p>
        </w:tc>
      </w:tr>
      <w:tr w14:paraId="6ABB5DB4">
        <w:tblPrEx>
          <w:tblCellMar>
            <w:top w:w="0" w:type="dxa"/>
            <w:left w:w="0" w:type="dxa"/>
            <w:bottom w:w="0" w:type="dxa"/>
            <w:right w:w="0" w:type="dxa"/>
          </w:tblCellMar>
        </w:tblPrEx>
        <w:trPr>
          <w:trHeight w:val="1601" w:hRule="atLeast"/>
        </w:trPr>
        <w:tc>
          <w:tcPr>
            <w:tcW w:w="5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ACE2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eastAsia" w:ascii="Nimbus Roman No9 L" w:hAnsi="Nimbus Roman No9 L" w:cs="Nimbus Roman No9 L"/>
                <w:color w:val="000000"/>
                <w:kern w:val="0"/>
                <w:sz w:val="24"/>
                <w:highlight w:val="none"/>
                <w:lang w:val="en-US" w:eastAsia="zh-CN"/>
              </w:rPr>
              <w:t>1</w:t>
            </w:r>
          </w:p>
        </w:tc>
        <w:tc>
          <w:tcPr>
            <w:tcW w:w="1184"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5EFB8A9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类似工</w:t>
            </w:r>
          </w:p>
          <w:p w14:paraId="25431D1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程业绩</w:t>
            </w:r>
          </w:p>
          <w:p w14:paraId="4F0A63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（若有）</w:t>
            </w:r>
          </w:p>
          <w:p w14:paraId="5FC920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（4分）</w:t>
            </w:r>
          </w:p>
        </w:tc>
        <w:tc>
          <w:tcPr>
            <w:tcW w:w="1481"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61663A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投标人</w:t>
            </w:r>
          </w:p>
          <w:p w14:paraId="5FFBA48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类似业绩或</w:t>
            </w:r>
          </w:p>
          <w:p w14:paraId="480EAB9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项目负责人</w:t>
            </w:r>
          </w:p>
          <w:p w14:paraId="329DD48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类似业绩</w:t>
            </w:r>
          </w:p>
        </w:tc>
        <w:tc>
          <w:tcPr>
            <w:tcW w:w="4918"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1130846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类似业绩每个 分，最高  分。</w:t>
            </w:r>
          </w:p>
        </w:tc>
        <w:tc>
          <w:tcPr>
            <w:tcW w:w="990"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08703959">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60DE9FA3">
        <w:tblPrEx>
          <w:tblCellMar>
            <w:top w:w="0" w:type="dxa"/>
            <w:left w:w="0" w:type="dxa"/>
            <w:bottom w:w="0" w:type="dxa"/>
            <w:right w:w="0" w:type="dxa"/>
          </w:tblCellMar>
        </w:tblPrEx>
        <w:trPr>
          <w:trHeight w:val="1393" w:hRule="atLeast"/>
        </w:trPr>
        <w:tc>
          <w:tcPr>
            <w:tcW w:w="59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7F8058D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eastAsia" w:ascii="Nimbus Roman No9 L" w:hAnsi="Nimbus Roman No9 L" w:cs="Nimbus Roman No9 L"/>
                <w:color w:val="000000"/>
                <w:kern w:val="0"/>
                <w:sz w:val="24"/>
                <w:highlight w:val="none"/>
                <w:lang w:val="en-US" w:eastAsia="zh-CN"/>
              </w:rPr>
              <w:t>2</w:t>
            </w:r>
          </w:p>
        </w:tc>
        <w:tc>
          <w:tcPr>
            <w:tcW w:w="1184"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16611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项目管</w:t>
            </w:r>
          </w:p>
          <w:p w14:paraId="4A84D5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理机构</w:t>
            </w:r>
          </w:p>
          <w:p w14:paraId="617405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（3分）</w:t>
            </w:r>
          </w:p>
        </w:tc>
        <w:tc>
          <w:tcPr>
            <w:tcW w:w="639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38AF3">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项目管理机构关键岗位人员（除项目负责人外）具备相关专业中级及以上职称的</w:t>
            </w:r>
            <w:r>
              <w:rPr>
                <w:rFonts w:hint="eastAsia" w:ascii="Nimbus Roman No9 L" w:hAnsi="Nimbus Roman No9 L" w:cs="Nimbus Roman No9 L"/>
                <w:color w:val="000000"/>
                <w:kern w:val="0"/>
                <w:sz w:val="24"/>
                <w:highlight w:val="none"/>
                <w:lang w:val="en-US" w:eastAsia="zh-CN"/>
              </w:rPr>
              <w:t>，</w:t>
            </w:r>
            <w:r>
              <w:rPr>
                <w:rFonts w:hint="default" w:ascii="Nimbus Roman No9 L" w:hAnsi="Nimbus Roman No9 L" w:cs="Nimbus Roman No9 L"/>
                <w:color w:val="000000"/>
                <w:kern w:val="0"/>
                <w:sz w:val="24"/>
                <w:highlight w:val="none"/>
                <w:lang w:val="en-US" w:eastAsia="zh-CN"/>
              </w:rPr>
              <w:t>每一人得0.2分，最多得1分；</w:t>
            </w:r>
          </w:p>
          <w:p w14:paraId="46E55E0F">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在满足关键岗位基本配备的基础上，每增加一名关键岗位人员得0.2分，最多得1分。</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4ACC7">
            <w:pPr>
              <w:keepNext w:val="0"/>
              <w:keepLines w:val="0"/>
              <w:pageBreakBefore w:val="0"/>
              <w:widowControl/>
              <w:kinsoku/>
              <w:wordWrap/>
              <w:overflowPunct/>
              <w:topLinePunct w:val="0"/>
              <w:autoSpaceDE/>
              <w:autoSpaceDN/>
              <w:bidi w:val="0"/>
              <w:adjustRightInd/>
              <w:snapToGrid/>
              <w:spacing w:line="360" w:lineRule="exact"/>
              <w:jc w:val="both"/>
              <w:rPr>
                <w:rFonts w:hint="default" w:ascii="Nimbus Roman No9 L" w:hAnsi="Nimbus Roman No9 L" w:eastAsia="宋体" w:cs="Nimbus Roman No9 L"/>
                <w:color w:val="000000"/>
                <w:sz w:val="24"/>
                <w:highlight w:val="none"/>
              </w:rPr>
            </w:pPr>
          </w:p>
        </w:tc>
      </w:tr>
      <w:tr w14:paraId="7B307798">
        <w:tblPrEx>
          <w:tblCellMar>
            <w:top w:w="0" w:type="dxa"/>
            <w:left w:w="0" w:type="dxa"/>
            <w:bottom w:w="0" w:type="dxa"/>
            <w:right w:w="0" w:type="dxa"/>
          </w:tblCellMar>
        </w:tblPrEx>
        <w:trPr>
          <w:trHeight w:val="90" w:hRule="atLeast"/>
        </w:trPr>
        <w:tc>
          <w:tcPr>
            <w:tcW w:w="59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330A5F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p>
        </w:tc>
        <w:tc>
          <w:tcPr>
            <w:tcW w:w="1184"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3734E40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3D55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项目负责人</w:t>
            </w:r>
          </w:p>
          <w:p w14:paraId="4F3E1E6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职称</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2DB8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具备相关专业高级及以上职称得1分；</w:t>
            </w:r>
          </w:p>
          <w:p w14:paraId="50CA1E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具备相关专业中级职称得0.5分。</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E5B69">
            <w:pPr>
              <w:keepNext w:val="0"/>
              <w:keepLines w:val="0"/>
              <w:pageBreakBefore w:val="0"/>
              <w:widowControl/>
              <w:kinsoku/>
              <w:wordWrap/>
              <w:overflowPunct/>
              <w:topLinePunct w:val="0"/>
              <w:autoSpaceDE/>
              <w:autoSpaceDN/>
              <w:bidi w:val="0"/>
              <w:adjustRightInd/>
              <w:snapToGrid/>
              <w:spacing w:line="360" w:lineRule="exact"/>
              <w:jc w:val="both"/>
              <w:rPr>
                <w:rFonts w:hint="default" w:ascii="Nimbus Roman No9 L" w:hAnsi="Nimbus Roman No9 L" w:eastAsia="宋体" w:cs="Nimbus Roman No9 L"/>
                <w:color w:val="000000"/>
                <w:sz w:val="24"/>
                <w:highlight w:val="none"/>
              </w:rPr>
            </w:pPr>
          </w:p>
        </w:tc>
      </w:tr>
      <w:tr w14:paraId="447FB6F7">
        <w:tblPrEx>
          <w:tblCellMar>
            <w:top w:w="0" w:type="dxa"/>
            <w:left w:w="0" w:type="dxa"/>
            <w:bottom w:w="0" w:type="dxa"/>
            <w:right w:w="0" w:type="dxa"/>
          </w:tblCellMar>
        </w:tblPrEx>
        <w:trPr>
          <w:trHeight w:val="755" w:hRule="atLeast"/>
        </w:trPr>
        <w:tc>
          <w:tcPr>
            <w:tcW w:w="5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BAB44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eastAsia" w:ascii="Nimbus Roman No9 L" w:hAnsi="Nimbus Roman No9 L" w:cs="Nimbus Roman No9 L"/>
                <w:color w:val="000000"/>
                <w:kern w:val="0"/>
                <w:sz w:val="24"/>
                <w:highlight w:val="none"/>
                <w:lang w:val="en-US" w:eastAsia="zh-CN"/>
              </w:rPr>
              <w:t>3</w:t>
            </w:r>
          </w:p>
        </w:tc>
        <w:tc>
          <w:tcPr>
            <w:tcW w:w="1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351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财务状况</w:t>
            </w:r>
          </w:p>
          <w:p w14:paraId="5A106F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（1分）</w:t>
            </w:r>
          </w:p>
        </w:tc>
        <w:tc>
          <w:tcPr>
            <w:tcW w:w="639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295C5">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近  年（指   年度、   年度、  年度）经会计师事务所或审计机构审计的财务审计报告，包括资产负债表、现金流量表、损益表和 财务报表附注；评委根据资产负债率、净现金流量、净利润情况打分，具体指标由招标人在招标文件中明确。</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FB2DA">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1569D74D">
        <w:tblPrEx>
          <w:tblCellMar>
            <w:top w:w="0" w:type="dxa"/>
            <w:left w:w="0" w:type="dxa"/>
            <w:bottom w:w="0" w:type="dxa"/>
            <w:right w:w="0" w:type="dxa"/>
          </w:tblCellMar>
        </w:tblPrEx>
        <w:trPr>
          <w:trHeight w:val="704" w:hRule="atLeast"/>
        </w:trPr>
        <w:tc>
          <w:tcPr>
            <w:tcW w:w="598"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4F35AF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eastAsia" w:ascii="Nimbus Roman No9 L" w:hAnsi="Nimbus Roman No9 L" w:cs="Nimbus Roman No9 L"/>
                <w:color w:val="000000"/>
                <w:kern w:val="0"/>
                <w:sz w:val="24"/>
                <w:highlight w:val="none"/>
                <w:lang w:val="en-US" w:eastAsia="zh-CN"/>
              </w:rPr>
              <w:t>4</w:t>
            </w:r>
          </w:p>
        </w:tc>
        <w:tc>
          <w:tcPr>
            <w:tcW w:w="1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A156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智慧工地</w:t>
            </w:r>
          </w:p>
          <w:p w14:paraId="341D57C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（2分）</w:t>
            </w:r>
          </w:p>
        </w:tc>
        <w:tc>
          <w:tcPr>
            <w:tcW w:w="6399" w:type="dxa"/>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14:paraId="6A926F40">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cs="Nimbus Roman No9 L"/>
                <w:color w:val="000000"/>
                <w:kern w:val="0"/>
                <w:sz w:val="24"/>
                <w:highlight w:val="none"/>
                <w:lang w:val="en-US" w:eastAsia="zh-CN"/>
              </w:rPr>
            </w:pPr>
            <w:r>
              <w:rPr>
                <w:rFonts w:hint="default" w:ascii="Nimbus Roman No9 L" w:hAnsi="Nimbus Roman No9 L" w:cs="Nimbus Roman No9 L"/>
                <w:color w:val="000000"/>
                <w:kern w:val="0"/>
                <w:sz w:val="24"/>
                <w:highlight w:val="none"/>
                <w:lang w:val="en-US" w:eastAsia="zh-CN"/>
              </w:rPr>
              <w:t>近2年，接入智慧工地一体化服务平台的，一个项目得0.5分，最多得2分。</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B6719">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763DAA85">
        <w:tblPrEx>
          <w:tblCellMar>
            <w:top w:w="0" w:type="dxa"/>
            <w:left w:w="0" w:type="dxa"/>
            <w:bottom w:w="0" w:type="dxa"/>
            <w:right w:w="0" w:type="dxa"/>
          </w:tblCellMar>
        </w:tblPrEx>
        <w:trPr>
          <w:trHeight w:val="324" w:hRule="atLeast"/>
        </w:trPr>
        <w:tc>
          <w:tcPr>
            <w:tcW w:w="59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4155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p>
        </w:tc>
        <w:tc>
          <w:tcPr>
            <w:tcW w:w="11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9599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bidi="ar"/>
              </w:rPr>
              <w:t>……</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F0CF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1B9C7">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127B3B">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4E70AAC0">
        <w:tblPrEx>
          <w:tblCellMar>
            <w:top w:w="0" w:type="dxa"/>
            <w:left w:w="0" w:type="dxa"/>
            <w:bottom w:w="0" w:type="dxa"/>
            <w:right w:w="0" w:type="dxa"/>
          </w:tblCellMar>
        </w:tblPrEx>
        <w:trPr>
          <w:trHeight w:val="504" w:hRule="atLeast"/>
        </w:trPr>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298D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满分</w:t>
            </w:r>
          </w:p>
        </w:tc>
        <w:tc>
          <w:tcPr>
            <w:tcW w:w="1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F8E4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10分</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B8F23">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6B2DE1">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bl>
    <w:p w14:paraId="36E6CE85">
      <w:pPr>
        <w:bidi w:val="0"/>
        <w:rPr>
          <w:rFonts w:hint="default" w:ascii="Nimbus Roman No9 L" w:hAnsi="Nimbus Roman No9 L" w:cs="Nimbus Roman No9 L"/>
          <w:highlight w:val="none"/>
          <w:lang w:val="en-US" w:eastAsia="zh-CN"/>
        </w:rPr>
      </w:pPr>
      <w:r>
        <w:rPr>
          <w:rFonts w:hint="default" w:ascii="Nimbus Roman No9 L" w:hAnsi="Nimbus Roman No9 L" w:cs="Nimbus Roman No9 L"/>
          <w:highlight w:val="none"/>
          <w:lang w:val="en-US" w:eastAsia="zh-CN"/>
        </w:rPr>
        <w:t>备注：</w:t>
      </w:r>
    </w:p>
    <w:p w14:paraId="37EBDCD0">
      <w:pPr>
        <w:bidi w:val="0"/>
        <w:ind w:firstLine="420" w:firstLineChars="200"/>
        <w:rPr>
          <w:rFonts w:hint="default" w:ascii="Nimbus Roman No9 L" w:hAnsi="Nimbus Roman No9 L" w:eastAsia="宋体" w:cs="Nimbus Roman No9 L"/>
          <w:highlight w:val="none"/>
          <w:lang w:val="en-US" w:eastAsia="zh-CN"/>
        </w:rPr>
      </w:pPr>
      <w:r>
        <w:rPr>
          <w:rFonts w:hint="default" w:ascii="Nimbus Roman No9 L" w:hAnsi="Nimbus Roman No9 L" w:eastAsia="宋体" w:cs="Nimbus Roman No9 L"/>
          <w:highlight w:val="none"/>
          <w:lang w:val="en-US" w:eastAsia="zh-CN"/>
        </w:rPr>
        <w:t>1.类似业绩的要求执行本办法第二十</w:t>
      </w:r>
      <w:r>
        <w:rPr>
          <w:rFonts w:hint="eastAsia" w:ascii="Nimbus Roman No9 L" w:hAnsi="Nimbus Roman No9 L" w:cs="Nimbus Roman No9 L"/>
          <w:highlight w:val="none"/>
          <w:lang w:val="en-US" w:eastAsia="zh-CN"/>
        </w:rPr>
        <w:t>四条、第</w:t>
      </w:r>
      <w:r>
        <w:rPr>
          <w:rFonts w:hint="default" w:ascii="Nimbus Roman No9 L" w:hAnsi="Nimbus Roman No9 L" w:eastAsia="宋体" w:cs="Nimbus Roman No9 L"/>
          <w:highlight w:val="none"/>
          <w:lang w:val="en-US" w:eastAsia="zh-CN"/>
        </w:rPr>
        <w:t>二十五条的规定。若招标人不设置业绩评审项目，商务标满分为6分，总分值为96分。</w:t>
      </w:r>
    </w:p>
    <w:p w14:paraId="661499A9">
      <w:pPr>
        <w:bidi w:val="0"/>
        <w:ind w:firstLine="420" w:firstLineChars="200"/>
        <w:rPr>
          <w:rFonts w:hint="default" w:ascii="Nimbus Roman No9 L" w:hAnsi="Nimbus Roman No9 L" w:eastAsia="宋体" w:cs="Nimbus Roman No9 L"/>
          <w:highlight w:val="none"/>
        </w:rPr>
      </w:pPr>
      <w:r>
        <w:rPr>
          <w:rFonts w:hint="default" w:ascii="Nimbus Roman No9 L" w:hAnsi="Nimbus Roman No9 L" w:eastAsia="宋体" w:cs="Nimbus Roman No9 L"/>
          <w:highlight w:val="none"/>
          <w:lang w:val="en-US" w:eastAsia="zh-CN"/>
        </w:rPr>
        <w:t>2.</w:t>
      </w:r>
      <w:r>
        <w:rPr>
          <w:rFonts w:hint="default" w:ascii="Nimbus Roman No9 L" w:hAnsi="Nimbus Roman No9 L" w:eastAsia="宋体" w:cs="Nimbus Roman No9 L"/>
          <w:highlight w:val="none"/>
        </w:rPr>
        <w:t>拟任项目</w:t>
      </w:r>
      <w:r>
        <w:rPr>
          <w:rFonts w:hint="default" w:ascii="Nimbus Roman No9 L" w:hAnsi="Nimbus Roman No9 L" w:eastAsia="宋体" w:cs="Nimbus Roman No9 L"/>
          <w:highlight w:val="none"/>
          <w:lang w:val="en-US" w:eastAsia="zh-CN"/>
        </w:rPr>
        <w:t>负责人</w:t>
      </w:r>
      <w:r>
        <w:rPr>
          <w:rFonts w:hint="default" w:ascii="Nimbus Roman No9 L" w:hAnsi="Nimbus Roman No9 L" w:eastAsia="宋体" w:cs="Nimbus Roman No9 L"/>
          <w:highlight w:val="none"/>
        </w:rPr>
        <w:t>在其他项目担任项目</w:t>
      </w:r>
      <w:r>
        <w:rPr>
          <w:rFonts w:hint="default" w:ascii="Nimbus Roman No9 L" w:hAnsi="Nimbus Roman No9 L" w:eastAsia="宋体" w:cs="Nimbus Roman No9 L"/>
          <w:highlight w:val="none"/>
          <w:lang w:val="en-US" w:eastAsia="zh-CN"/>
        </w:rPr>
        <w:t>负责人</w:t>
      </w:r>
      <w:r>
        <w:rPr>
          <w:rFonts w:hint="default" w:ascii="Nimbus Roman No9 L" w:hAnsi="Nimbus Roman No9 L" w:eastAsia="宋体" w:cs="Nimbus Roman No9 L"/>
          <w:highlight w:val="none"/>
        </w:rPr>
        <w:t>期间发生过变更撤换且在该项目完成合同约定工作量或合同约定本职工作</w:t>
      </w:r>
      <w:r>
        <w:rPr>
          <w:rFonts w:hint="default" w:ascii="Nimbus Roman No9 L" w:hAnsi="Nimbus Roman No9 L" w:eastAsia="宋体" w:cs="Nimbus Roman No9 L"/>
          <w:highlight w:val="none"/>
          <w:lang w:val="en-US" w:eastAsia="zh-CN"/>
        </w:rPr>
        <w:t>或竣工验收</w:t>
      </w:r>
      <w:r>
        <w:rPr>
          <w:rFonts w:hint="default" w:ascii="Nimbus Roman No9 L" w:hAnsi="Nimbus Roman No9 L" w:eastAsia="宋体" w:cs="Nimbus Roman No9 L"/>
          <w:highlight w:val="none"/>
        </w:rPr>
        <w:t>之前，</w:t>
      </w:r>
      <w:r>
        <w:rPr>
          <w:rFonts w:hint="default" w:ascii="Nimbus Roman No9 L" w:hAnsi="Nimbus Roman No9 L" w:eastAsia="宋体" w:cs="Nimbus Roman No9 L"/>
          <w:b w:val="0"/>
          <w:bCs w:val="0"/>
          <w:highlight w:val="none"/>
        </w:rPr>
        <w:t>参与本项</w:t>
      </w:r>
      <w:r>
        <w:rPr>
          <w:rFonts w:hint="default" w:ascii="Nimbus Roman No9 L" w:hAnsi="Nimbus Roman No9 L" w:eastAsia="宋体" w:cs="Nimbus Roman No9 L"/>
          <w:highlight w:val="none"/>
        </w:rPr>
        <w:t>目投标的，不对该项目</w:t>
      </w:r>
      <w:r>
        <w:rPr>
          <w:rFonts w:hint="default" w:ascii="Nimbus Roman No9 L" w:hAnsi="Nimbus Roman No9 L" w:eastAsia="宋体" w:cs="Nimbus Roman No9 L"/>
          <w:highlight w:val="none"/>
          <w:lang w:val="en-US" w:eastAsia="zh-CN"/>
        </w:rPr>
        <w:t>负责人</w:t>
      </w:r>
      <w:r>
        <w:rPr>
          <w:rFonts w:hint="default" w:ascii="Nimbus Roman No9 L" w:hAnsi="Nimbus Roman No9 L" w:eastAsia="宋体" w:cs="Nimbus Roman No9 L"/>
          <w:highlight w:val="none"/>
        </w:rPr>
        <w:t>的类似工程业绩计分；存在上述情形的，投标人应当在投标文件中如实说明，未如实说明的，</w:t>
      </w:r>
      <w:r>
        <w:rPr>
          <w:rFonts w:hint="default" w:ascii="Nimbus Roman No9 L" w:hAnsi="Nimbus Roman No9 L" w:eastAsia="宋体" w:cs="Nimbus Roman No9 L"/>
          <w:highlight w:val="none"/>
          <w:lang w:val="en-US" w:eastAsia="zh-CN"/>
        </w:rPr>
        <w:t>按弄虚作假进行处理</w:t>
      </w:r>
      <w:r>
        <w:rPr>
          <w:rFonts w:hint="default" w:ascii="Nimbus Roman No9 L" w:hAnsi="Nimbus Roman No9 L" w:eastAsia="宋体" w:cs="Nimbus Roman No9 L"/>
          <w:highlight w:val="none"/>
        </w:rPr>
        <w:t>。（适用于：项目</w:t>
      </w:r>
      <w:r>
        <w:rPr>
          <w:rFonts w:hint="default" w:ascii="Nimbus Roman No9 L" w:hAnsi="Nimbus Roman No9 L" w:eastAsia="宋体" w:cs="Nimbus Roman No9 L"/>
          <w:highlight w:val="none"/>
          <w:lang w:val="en-US" w:eastAsia="zh-CN"/>
        </w:rPr>
        <w:t>负责人</w:t>
      </w:r>
      <w:r>
        <w:rPr>
          <w:rFonts w:hint="default" w:ascii="Nimbus Roman No9 L" w:hAnsi="Nimbus Roman No9 L" w:eastAsia="宋体" w:cs="Nimbus Roman No9 L"/>
          <w:highlight w:val="none"/>
        </w:rPr>
        <w:t>业绩加分的项目）</w:t>
      </w:r>
    </w:p>
    <w:p w14:paraId="5386F1B8">
      <w:pPr>
        <w:keepNext w:val="0"/>
        <w:keepLines w:val="0"/>
        <w:widowControl/>
        <w:suppressLineNumbers w:val="0"/>
        <w:ind w:firstLine="420" w:firstLineChars="200"/>
        <w:jc w:val="left"/>
        <w:rPr>
          <w:rFonts w:hint="default" w:ascii="Nimbus Roman No9 L" w:hAnsi="Nimbus Roman No9 L" w:eastAsia="宋体" w:cs="Nimbus Roman No9 L"/>
          <w:b w:val="0"/>
          <w:bCs w:val="0"/>
          <w:highlight w:val="none"/>
          <w:lang w:val="en-US" w:eastAsia="zh-CN"/>
        </w:rPr>
      </w:pPr>
      <w:r>
        <w:rPr>
          <w:rFonts w:hint="default" w:ascii="Nimbus Roman No9 L" w:hAnsi="Nimbus Roman No9 L" w:eastAsia="宋体" w:cs="Nimbus Roman No9 L"/>
          <w:highlight w:val="none"/>
          <w:lang w:val="en-US" w:eastAsia="zh-CN"/>
        </w:rPr>
        <w:t>3.</w:t>
      </w:r>
      <w:r>
        <w:rPr>
          <w:rFonts w:hint="default" w:ascii="Nimbus Roman No9 L" w:hAnsi="Nimbus Roman No9 L" w:eastAsia="宋体" w:cs="Nimbus Roman No9 L"/>
          <w:b w:val="0"/>
          <w:bCs w:val="0"/>
          <w:highlight w:val="none"/>
          <w:lang w:val="en-US" w:eastAsia="zh-CN"/>
        </w:rPr>
        <w:t>项目管理机构关键岗位人员是指建筑施工企业项目负责人（项目经理）、技术负责人、施工员、质量员、安全员。</w:t>
      </w:r>
    </w:p>
    <w:p w14:paraId="254B1FFE">
      <w:pPr>
        <w:rPr>
          <w:rFonts w:hint="default" w:ascii="Nimbus Roman No9 L" w:hAnsi="Nimbus Roman No9 L" w:eastAsia="仿宋" w:cs="Nimbus Roman No9 L"/>
          <w:sz w:val="24"/>
          <w:szCs w:val="22"/>
          <w:highlight w:val="none"/>
          <w:lang w:eastAsia="zh-CN"/>
        </w:rPr>
      </w:pPr>
      <w:r>
        <w:rPr>
          <w:rFonts w:hint="default" w:ascii="Nimbus Roman No9 L" w:hAnsi="Nimbus Roman No9 L" w:eastAsia="仿宋" w:cs="Nimbus Roman No9 L"/>
          <w:b/>
          <w:bCs/>
          <w:sz w:val="32"/>
          <w:szCs w:val="32"/>
          <w:highlight w:val="none"/>
        </w:rPr>
        <w:t>附表1-</w:t>
      </w:r>
      <w:r>
        <w:rPr>
          <w:rFonts w:hint="default" w:ascii="Nimbus Roman No9 L" w:hAnsi="Nimbus Roman No9 L" w:eastAsia="仿宋" w:cs="Nimbus Roman No9 L"/>
          <w:b/>
          <w:bCs/>
          <w:sz w:val="32"/>
          <w:szCs w:val="32"/>
          <w:highlight w:val="none"/>
          <w:lang w:val="en-US" w:eastAsia="zh-CN"/>
        </w:rPr>
        <w:t>5</w:t>
      </w:r>
    </w:p>
    <w:tbl>
      <w:tblPr>
        <w:tblStyle w:val="12"/>
        <w:tblpPr w:leftFromText="180" w:rightFromText="180" w:vertAnchor="text" w:horzAnchor="page" w:tblpX="1317" w:tblpY="487"/>
        <w:tblOverlap w:val="never"/>
        <w:tblW w:w="0" w:type="auto"/>
        <w:tblInd w:w="0" w:type="dxa"/>
        <w:tblLayout w:type="fixed"/>
        <w:tblCellMar>
          <w:top w:w="0" w:type="dxa"/>
          <w:left w:w="0" w:type="dxa"/>
          <w:bottom w:w="0" w:type="dxa"/>
          <w:right w:w="0" w:type="dxa"/>
        </w:tblCellMar>
      </w:tblPr>
      <w:tblGrid>
        <w:gridCol w:w="708"/>
        <w:gridCol w:w="1949"/>
        <w:gridCol w:w="6045"/>
        <w:gridCol w:w="1075"/>
      </w:tblGrid>
      <w:tr w14:paraId="344E9745">
        <w:tblPrEx>
          <w:tblCellMar>
            <w:top w:w="0" w:type="dxa"/>
            <w:left w:w="0" w:type="dxa"/>
            <w:bottom w:w="0" w:type="dxa"/>
            <w:right w:w="0" w:type="dxa"/>
          </w:tblCellMar>
        </w:tblPrEx>
        <w:trPr>
          <w:trHeight w:val="658" w:hRule="atLeast"/>
        </w:trPr>
        <w:tc>
          <w:tcPr>
            <w:tcW w:w="9777" w:type="dxa"/>
            <w:gridSpan w:val="4"/>
            <w:tcBorders>
              <w:top w:val="nil"/>
              <w:left w:val="nil"/>
              <w:bottom w:val="nil"/>
              <w:right w:val="nil"/>
            </w:tcBorders>
            <w:noWrap w:val="0"/>
            <w:tcMar>
              <w:top w:w="15" w:type="dxa"/>
              <w:left w:w="15" w:type="dxa"/>
              <w:right w:w="15" w:type="dxa"/>
            </w:tcMar>
            <w:vAlign w:val="center"/>
          </w:tcPr>
          <w:p w14:paraId="332066D9">
            <w:pPr>
              <w:widowControl/>
              <w:jc w:val="center"/>
              <w:textAlignment w:val="center"/>
              <w:rPr>
                <w:rFonts w:hint="default" w:ascii="Nimbus Roman No9 L" w:hAnsi="Nimbus Roman No9 L" w:eastAsia="黑体" w:cs="Nimbus Roman No9 L"/>
                <w:b/>
                <w:color w:val="000000"/>
                <w:sz w:val="40"/>
                <w:szCs w:val="40"/>
                <w:highlight w:val="none"/>
                <w:lang w:eastAsia="zh-CN"/>
              </w:rPr>
            </w:pPr>
            <w:r>
              <w:rPr>
                <w:rFonts w:hint="default" w:ascii="Nimbus Roman No9 L" w:hAnsi="Nimbus Roman No9 L" w:eastAsia="宋体" w:cs="Nimbus Roman No9 L"/>
                <w:b/>
                <w:color w:val="000000"/>
                <w:kern w:val="0"/>
                <w:sz w:val="36"/>
                <w:szCs w:val="36"/>
                <w:highlight w:val="none"/>
                <w:lang w:bidi="ar"/>
              </w:rPr>
              <w:t>技术标</w:t>
            </w:r>
            <w:r>
              <w:rPr>
                <w:rFonts w:hint="default" w:ascii="Nimbus Roman No9 L" w:hAnsi="Nimbus Roman No9 L" w:eastAsia="宋体" w:cs="Nimbus Roman No9 L"/>
                <w:b/>
                <w:color w:val="000000"/>
                <w:kern w:val="0"/>
                <w:sz w:val="36"/>
                <w:szCs w:val="36"/>
                <w:highlight w:val="none"/>
                <w:lang w:val="en-US" w:eastAsia="zh-CN" w:bidi="ar"/>
              </w:rPr>
              <w:t>评审标准（计分制）</w:t>
            </w:r>
          </w:p>
        </w:tc>
      </w:tr>
      <w:tr w14:paraId="51ED91B4">
        <w:tblPrEx>
          <w:tblCellMar>
            <w:top w:w="0" w:type="dxa"/>
            <w:left w:w="0" w:type="dxa"/>
            <w:bottom w:w="0" w:type="dxa"/>
            <w:right w:w="0" w:type="dxa"/>
          </w:tblCellMar>
        </w:tblPrEx>
        <w:trPr>
          <w:trHeight w:val="489" w:hRule="atLeast"/>
        </w:trPr>
        <w:tc>
          <w:tcPr>
            <w:tcW w:w="9777" w:type="dxa"/>
            <w:gridSpan w:val="4"/>
            <w:tcBorders>
              <w:top w:val="nil"/>
              <w:left w:val="nil"/>
              <w:bottom w:val="nil"/>
              <w:right w:val="nil"/>
            </w:tcBorders>
            <w:noWrap w:val="0"/>
            <w:tcMar>
              <w:top w:w="15" w:type="dxa"/>
              <w:left w:w="15" w:type="dxa"/>
              <w:right w:w="15" w:type="dxa"/>
            </w:tcMar>
            <w:vAlign w:val="center"/>
          </w:tcPr>
          <w:p w14:paraId="0AE1BFA7">
            <w:pPr>
              <w:jc w:val="left"/>
              <w:rPr>
                <w:rFonts w:hint="default" w:ascii="Nimbus Roman No9 L" w:hAnsi="Nimbus Roman No9 L" w:eastAsia="黑体" w:cs="Nimbus Roman No9 L"/>
                <w:b/>
                <w:color w:val="000000"/>
                <w:sz w:val="32"/>
                <w:szCs w:val="32"/>
                <w:highlight w:val="none"/>
              </w:rPr>
            </w:pPr>
            <w:r>
              <w:rPr>
                <w:rFonts w:hint="default" w:ascii="Nimbus Roman No9 L" w:hAnsi="Nimbus Roman No9 L" w:eastAsia="宋体" w:cs="Nimbus Roman No9 L"/>
                <w:b/>
                <w:color w:val="000000"/>
                <w:kern w:val="0"/>
                <w:sz w:val="24"/>
                <w:szCs w:val="24"/>
                <w:highlight w:val="none"/>
                <w:lang w:bidi="ar"/>
              </w:rPr>
              <w:t>项目名称：</w:t>
            </w:r>
          </w:p>
        </w:tc>
      </w:tr>
      <w:tr w14:paraId="2A4BB63B">
        <w:tblPrEx>
          <w:tblCellMar>
            <w:top w:w="0" w:type="dxa"/>
            <w:left w:w="0" w:type="dxa"/>
            <w:bottom w:w="0" w:type="dxa"/>
            <w:right w:w="0" w:type="dxa"/>
          </w:tblCellMar>
        </w:tblPrEx>
        <w:trPr>
          <w:trHeight w:val="520" w:hRule="atLeast"/>
        </w:trPr>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8D39D">
            <w:pPr>
              <w:widowControl/>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序号</w:t>
            </w:r>
          </w:p>
        </w:tc>
        <w:tc>
          <w:tcPr>
            <w:tcW w:w="1949"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C6BE159">
            <w:pPr>
              <w:widowControl/>
              <w:ind w:right="19" w:rightChars="9"/>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评审项目</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4813E3EF">
            <w:pPr>
              <w:widowControl/>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评审标准</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A609AA2">
            <w:pPr>
              <w:widowControl/>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分值范围</w:t>
            </w:r>
          </w:p>
        </w:tc>
      </w:tr>
      <w:tr w14:paraId="3617CFA9">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0983F52">
            <w:pPr>
              <w:pStyle w:val="16"/>
              <w:keepNext w:val="0"/>
              <w:keepLines w:val="0"/>
              <w:pageBreakBefore w:val="0"/>
              <w:kinsoku/>
              <w:wordWrap/>
              <w:overflowPunct/>
              <w:topLinePunct w:val="0"/>
              <w:autoSpaceDE/>
              <w:autoSpaceDN/>
              <w:bidi w:val="0"/>
              <w:adjustRightInd/>
              <w:snapToGrid/>
              <w:spacing w:before="42" w:line="400" w:lineRule="exact"/>
              <w:ind w:left="15"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6F8F5EC2">
            <w:pPr>
              <w:pStyle w:val="16"/>
              <w:keepNext w:val="0"/>
              <w:keepLines w:val="0"/>
              <w:pageBreakBefore w:val="0"/>
              <w:widowControl w:val="0"/>
              <w:kinsoku/>
              <w:wordWrap/>
              <w:overflowPunct/>
              <w:topLinePunct w:val="0"/>
              <w:autoSpaceDE/>
              <w:autoSpaceDN/>
              <w:bidi w:val="0"/>
              <w:adjustRightInd/>
              <w:snapToGrid/>
              <w:spacing w:before="42" w:line="360" w:lineRule="exact"/>
              <w:ind w:left="6"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工程概况</w:t>
            </w:r>
          </w:p>
          <w:p w14:paraId="5C52485C">
            <w:pPr>
              <w:pStyle w:val="16"/>
              <w:keepNext w:val="0"/>
              <w:keepLines w:val="0"/>
              <w:pageBreakBefore w:val="0"/>
              <w:widowControl w:val="0"/>
              <w:kinsoku/>
              <w:wordWrap/>
              <w:overflowPunct/>
              <w:topLinePunct w:val="0"/>
              <w:autoSpaceDE/>
              <w:autoSpaceDN/>
              <w:bidi w:val="0"/>
              <w:adjustRightInd/>
              <w:snapToGrid/>
              <w:spacing w:before="42" w:line="360" w:lineRule="exact"/>
              <w:ind w:left="6"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及特点</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7C9A9E5">
            <w:pPr>
              <w:pStyle w:val="16"/>
              <w:keepNext w:val="0"/>
              <w:keepLines w:val="0"/>
              <w:pageBreakBefore w:val="0"/>
              <w:widowControl w:val="0"/>
              <w:kinsoku/>
              <w:wordWrap/>
              <w:overflowPunct/>
              <w:topLinePunct w:val="0"/>
              <w:autoSpaceDE/>
              <w:autoSpaceDN/>
              <w:bidi w:val="0"/>
              <w:adjustRightInd/>
              <w:snapToGrid/>
              <w:spacing w:before="42" w:line="360" w:lineRule="exact"/>
              <w:ind w:left="6" w:leftChars="0" w:right="0" w:righ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对工程总体概况及特点表述清晰、完整、符合实际</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486F7D57">
            <w:pPr>
              <w:pStyle w:val="16"/>
              <w:keepNext w:val="0"/>
              <w:keepLines w:val="0"/>
              <w:pageBreakBefore w:val="0"/>
              <w:kinsoku/>
              <w:wordWrap/>
              <w:overflowPunct/>
              <w:topLinePunct w:val="0"/>
              <w:autoSpaceDE/>
              <w:autoSpaceDN/>
              <w:bidi w:val="0"/>
              <w:adjustRightInd/>
              <w:snapToGrid/>
              <w:spacing w:before="42" w:line="400" w:lineRule="exact"/>
              <w:ind w:left="15" w:leftChars="0" w:right="0" w:righ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2-4</w:t>
            </w:r>
          </w:p>
        </w:tc>
      </w:tr>
      <w:tr w14:paraId="174A6AEB">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B394E81">
            <w:pPr>
              <w:pStyle w:val="16"/>
              <w:keepNext w:val="0"/>
              <w:keepLines w:val="0"/>
              <w:pageBreakBefore w:val="0"/>
              <w:kinsoku/>
              <w:wordWrap/>
              <w:overflowPunct/>
              <w:topLinePunct w:val="0"/>
              <w:autoSpaceDE/>
              <w:autoSpaceDN/>
              <w:bidi w:val="0"/>
              <w:adjustRightInd/>
              <w:snapToGrid/>
              <w:spacing w:before="42" w:line="400" w:lineRule="exact"/>
              <w:ind w:left="15"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2</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533B9979">
            <w:pPr>
              <w:pStyle w:val="16"/>
              <w:keepNext w:val="0"/>
              <w:keepLines w:val="0"/>
              <w:pageBreakBefore w:val="0"/>
              <w:kinsoku/>
              <w:wordWrap/>
              <w:overflowPunct/>
              <w:topLinePunct w:val="0"/>
              <w:autoSpaceDE/>
              <w:autoSpaceDN/>
              <w:bidi w:val="0"/>
              <w:adjustRightInd/>
              <w:snapToGrid/>
              <w:spacing w:before="42" w:line="400" w:lineRule="exact"/>
              <w:ind w:left="4"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施工准备计划</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A59183E">
            <w:pPr>
              <w:pStyle w:val="16"/>
              <w:keepNext w:val="0"/>
              <w:keepLines w:val="0"/>
              <w:pageBreakBefore w:val="0"/>
              <w:widowControl w:val="0"/>
              <w:kinsoku/>
              <w:wordWrap/>
              <w:overflowPunct/>
              <w:topLinePunct w:val="0"/>
              <w:autoSpaceDE/>
              <w:autoSpaceDN/>
              <w:bidi w:val="0"/>
              <w:adjustRightInd/>
              <w:snapToGrid/>
              <w:spacing w:before="42" w:line="360" w:lineRule="exact"/>
              <w:ind w:left="6" w:leftChars="0" w:right="0" w:righ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施工技术、现场、物资与机械、队伍准备计划充分保证工程需要</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BFA75F2">
            <w:pPr>
              <w:pStyle w:val="16"/>
              <w:keepNext w:val="0"/>
              <w:keepLines w:val="0"/>
              <w:pageBreakBefore w:val="0"/>
              <w:kinsoku/>
              <w:wordWrap/>
              <w:overflowPunct/>
              <w:topLinePunct w:val="0"/>
              <w:autoSpaceDE/>
              <w:autoSpaceDN/>
              <w:bidi w:val="0"/>
              <w:adjustRightInd/>
              <w:snapToGrid/>
              <w:spacing w:before="42" w:line="400" w:lineRule="exact"/>
              <w:ind w:left="15" w:leftChars="0" w:right="0" w:righ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2-4</w:t>
            </w:r>
          </w:p>
        </w:tc>
      </w:tr>
      <w:tr w14:paraId="07B62FFB">
        <w:tblPrEx>
          <w:tblCellMar>
            <w:top w:w="0" w:type="dxa"/>
            <w:left w:w="0" w:type="dxa"/>
            <w:bottom w:w="0" w:type="dxa"/>
            <w:right w:w="0" w:type="dxa"/>
          </w:tblCellMar>
        </w:tblPrEx>
        <w:trPr>
          <w:trHeight w:val="759"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864AA69">
            <w:pPr>
              <w:pStyle w:val="16"/>
              <w:keepNext w:val="0"/>
              <w:keepLines w:val="0"/>
              <w:pageBreakBefore w:val="0"/>
              <w:kinsoku/>
              <w:wordWrap/>
              <w:overflowPunct/>
              <w:topLinePunct w:val="0"/>
              <w:autoSpaceDE/>
              <w:autoSpaceDN/>
              <w:bidi w:val="0"/>
              <w:adjustRightInd/>
              <w:snapToGrid/>
              <w:spacing w:line="400" w:lineRule="exact"/>
              <w:ind w:left="15"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3</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4E00037E">
            <w:pPr>
              <w:pStyle w:val="16"/>
              <w:keepNext w:val="0"/>
              <w:keepLines w:val="0"/>
              <w:pageBreakBefore w:val="0"/>
              <w:kinsoku/>
              <w:wordWrap/>
              <w:overflowPunct/>
              <w:topLinePunct w:val="0"/>
              <w:autoSpaceDE/>
              <w:autoSpaceDN/>
              <w:bidi w:val="0"/>
              <w:adjustRightInd/>
              <w:snapToGrid/>
              <w:spacing w:line="400" w:lineRule="exact"/>
              <w:ind w:left="4"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施工方案</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28F1B5B">
            <w:pPr>
              <w:pStyle w:val="16"/>
              <w:keepNext w:val="0"/>
              <w:keepLines w:val="0"/>
              <w:pageBreakBefore w:val="0"/>
              <w:widowControl w:val="0"/>
              <w:kinsoku/>
              <w:wordWrap/>
              <w:overflowPunct/>
              <w:topLinePunct w:val="0"/>
              <w:autoSpaceDE/>
              <w:autoSpaceDN/>
              <w:bidi w:val="0"/>
              <w:adjustRightInd/>
              <w:snapToGrid/>
              <w:spacing w:before="42" w:line="360" w:lineRule="exact"/>
              <w:ind w:left="6"/>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施工方案符合工程实际情况，部署及措施先进、可靠，以提高生产率、缩短工期、提高质量、降低消耗为目标：</w:t>
            </w:r>
          </w:p>
          <w:p w14:paraId="653E595A">
            <w:pPr>
              <w:pStyle w:val="16"/>
              <w:keepNext w:val="0"/>
              <w:keepLines w:val="0"/>
              <w:pageBreakBefore w:val="0"/>
              <w:widowControl w:val="0"/>
              <w:kinsoku/>
              <w:wordWrap/>
              <w:overflowPunct/>
              <w:topLinePunct w:val="0"/>
              <w:autoSpaceDE/>
              <w:autoSpaceDN/>
              <w:bidi w:val="0"/>
              <w:adjustRightInd/>
              <w:snapToGrid/>
              <w:spacing w:before="42" w:line="360" w:lineRule="exact"/>
              <w:ind w:left="6"/>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针对项目的重点、难点分析应透彻，解决方案切实可行；</w:t>
            </w:r>
          </w:p>
          <w:p w14:paraId="536EF59E">
            <w:pPr>
              <w:pStyle w:val="16"/>
              <w:keepNext w:val="0"/>
              <w:keepLines w:val="0"/>
              <w:pageBreakBefore w:val="0"/>
              <w:widowControl w:val="0"/>
              <w:kinsoku/>
              <w:wordWrap/>
              <w:overflowPunct/>
              <w:topLinePunct w:val="0"/>
              <w:autoSpaceDE/>
              <w:autoSpaceDN/>
              <w:bidi w:val="0"/>
              <w:adjustRightInd/>
              <w:snapToGrid/>
              <w:spacing w:before="42" w:line="3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市政基础设施项目，交通组织规划合理、可行，交通组织措施得力。</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25FA6EE">
            <w:pPr>
              <w:pStyle w:val="16"/>
              <w:keepNext w:val="0"/>
              <w:keepLines w:val="0"/>
              <w:pageBreakBefore w:val="0"/>
              <w:kinsoku/>
              <w:wordWrap/>
              <w:overflowPunct/>
              <w:topLinePunct w:val="0"/>
              <w:autoSpaceDE/>
              <w:autoSpaceDN/>
              <w:bidi w:val="0"/>
              <w:adjustRightInd/>
              <w:snapToGrid/>
              <w:spacing w:line="400" w:lineRule="exact"/>
              <w:ind w:left="15" w:leftChars="0" w:right="0"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6-11</w:t>
            </w:r>
          </w:p>
        </w:tc>
      </w:tr>
      <w:tr w14:paraId="410B89BA">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67FD7AC0">
            <w:pPr>
              <w:pStyle w:val="16"/>
              <w:keepNext w:val="0"/>
              <w:keepLines w:val="0"/>
              <w:pageBreakBefore w:val="0"/>
              <w:kinsoku/>
              <w:wordWrap/>
              <w:overflowPunct/>
              <w:topLinePunct w:val="0"/>
              <w:autoSpaceDE/>
              <w:autoSpaceDN/>
              <w:bidi w:val="0"/>
              <w:adjustRightInd/>
              <w:snapToGrid/>
              <w:spacing w:before="32"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4</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28DE470B">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施工进度计划</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E0C4A66">
            <w:pPr>
              <w:pStyle w:val="16"/>
              <w:keepNext w:val="0"/>
              <w:keepLines w:val="0"/>
              <w:pageBreakBefore w:val="0"/>
              <w:widowControl w:val="0"/>
              <w:kinsoku/>
              <w:wordWrap/>
              <w:overflowPunct/>
              <w:topLinePunct w:val="0"/>
              <w:autoSpaceDE/>
              <w:autoSpaceDN/>
              <w:bidi w:val="0"/>
              <w:adjustRightInd/>
              <w:snapToGrid/>
              <w:spacing w:before="32" w:line="3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进度计划应在空间和时间上做合理的统筹安排且符合施工的科学规律</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610C2B3C">
            <w:pPr>
              <w:pStyle w:val="16"/>
              <w:keepNext w:val="0"/>
              <w:keepLines w:val="0"/>
              <w:pageBreakBefore w:val="0"/>
              <w:kinsoku/>
              <w:wordWrap/>
              <w:overflowPunct/>
              <w:topLinePunct w:val="0"/>
              <w:autoSpaceDE/>
              <w:autoSpaceDN/>
              <w:bidi w:val="0"/>
              <w:adjustRightInd/>
              <w:snapToGrid/>
              <w:spacing w:before="32"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4-8</w:t>
            </w:r>
          </w:p>
        </w:tc>
      </w:tr>
      <w:tr w14:paraId="34B7B0CB">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BADCF20">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5</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4A90D426">
            <w:pPr>
              <w:pStyle w:val="16"/>
              <w:keepNext w:val="0"/>
              <w:keepLines w:val="0"/>
              <w:pageBreakBefore w:val="0"/>
              <w:kinsoku/>
              <w:wordWrap/>
              <w:overflowPunct/>
              <w:topLinePunct w:val="0"/>
              <w:autoSpaceDE/>
              <w:autoSpaceDN/>
              <w:bidi w:val="0"/>
              <w:adjustRightInd/>
              <w:snapToGrid/>
              <w:spacing w:line="400" w:lineRule="exact"/>
              <w:ind w:left="4"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施工平面布置</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C55099A">
            <w:pPr>
              <w:pStyle w:val="16"/>
              <w:keepNext w:val="0"/>
              <w:keepLines w:val="0"/>
              <w:pageBreakBefore w:val="0"/>
              <w:widowControl w:val="0"/>
              <w:kinsoku/>
              <w:wordWrap/>
              <w:overflowPunct/>
              <w:topLinePunct w:val="0"/>
              <w:autoSpaceDE/>
              <w:autoSpaceDN/>
              <w:bidi w:val="0"/>
              <w:adjustRightInd/>
              <w:snapToGrid/>
              <w:spacing w:before="32" w:line="3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施工平面布置应符合工程实际，有针对性、布置合理，满足施工需要，便于施工和管理并符合安全、文明生产要求。</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09D5DBD">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4-8</w:t>
            </w:r>
          </w:p>
        </w:tc>
      </w:tr>
      <w:tr w14:paraId="65DBC24A">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25BA83D">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6</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16314EF4">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劳动力</w:t>
            </w:r>
          </w:p>
          <w:p w14:paraId="5837F46C">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BE8DBDA">
            <w:pPr>
              <w:pStyle w:val="16"/>
              <w:keepNext w:val="0"/>
              <w:keepLines w:val="0"/>
              <w:pageBreakBefore w:val="0"/>
              <w:widowControl w:val="0"/>
              <w:kinsoku/>
              <w:wordWrap/>
              <w:overflowPunct/>
              <w:topLinePunct w:val="0"/>
              <w:autoSpaceDE/>
              <w:autoSpaceDN/>
              <w:bidi w:val="0"/>
              <w:adjustRightInd/>
              <w:snapToGrid/>
              <w:spacing w:before="32" w:line="3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劳动力投入计划与施工部署、施工方法及进度计划能够相互呼应并较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1F26F30">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4-8</w:t>
            </w:r>
          </w:p>
        </w:tc>
      </w:tr>
      <w:tr w14:paraId="10A423FD">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439C792">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7</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05FBB238">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材料</w:t>
            </w:r>
          </w:p>
          <w:p w14:paraId="4E387797">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FF3B3CF">
            <w:pPr>
              <w:pStyle w:val="16"/>
              <w:keepNext w:val="0"/>
              <w:keepLines w:val="0"/>
              <w:pageBreakBefore w:val="0"/>
              <w:widowControl w:val="0"/>
              <w:kinsoku/>
              <w:wordWrap/>
              <w:overflowPunct/>
              <w:topLinePunct w:val="0"/>
              <w:autoSpaceDE/>
              <w:autoSpaceDN/>
              <w:bidi w:val="0"/>
              <w:adjustRightInd/>
              <w:snapToGrid/>
              <w:spacing w:before="32" w:line="3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材料投入计划与施工部署、施工方法及进度计划能够相互呼应并较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3C40185">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4-8</w:t>
            </w:r>
          </w:p>
        </w:tc>
      </w:tr>
      <w:tr w14:paraId="0C3E63FD">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70E9139E">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8</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1EA0FF9F">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机械设备</w:t>
            </w:r>
          </w:p>
          <w:p w14:paraId="44F433EA">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47155285">
            <w:pPr>
              <w:pStyle w:val="16"/>
              <w:keepNext w:val="0"/>
              <w:keepLines w:val="0"/>
              <w:pageBreakBefore w:val="0"/>
              <w:widowControl w:val="0"/>
              <w:kinsoku/>
              <w:wordWrap/>
              <w:overflowPunct/>
              <w:topLinePunct w:val="0"/>
              <w:autoSpaceDE/>
              <w:autoSpaceDN/>
              <w:bidi w:val="0"/>
              <w:adjustRightInd/>
              <w:snapToGrid/>
              <w:spacing w:before="32" w:line="3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机械投入计划与施工部署、施工方法及进度计划能够相互呼应并较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FCD17EB">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4-8</w:t>
            </w:r>
          </w:p>
        </w:tc>
      </w:tr>
      <w:tr w14:paraId="3F7EA516">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2B66F86B">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9</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46011C10">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质量保证</w:t>
            </w:r>
          </w:p>
          <w:p w14:paraId="0E74CCC0">
            <w:pPr>
              <w:pStyle w:val="16"/>
              <w:keepNext w:val="0"/>
              <w:keepLines w:val="0"/>
              <w:pageBreakBefore w:val="0"/>
              <w:widowControl w:val="0"/>
              <w:kinsoku/>
              <w:wordWrap/>
              <w:overflowPunct/>
              <w:topLinePunct w:val="0"/>
              <w:autoSpaceDE/>
              <w:autoSpaceDN/>
              <w:bidi w:val="0"/>
              <w:adjustRightInd/>
              <w:snapToGrid/>
              <w:spacing w:line="3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措施和体系</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C0AFE1A">
            <w:pPr>
              <w:pStyle w:val="16"/>
              <w:keepNext w:val="0"/>
              <w:keepLines w:val="0"/>
              <w:pageBreakBefore w:val="0"/>
              <w:widowControl w:val="0"/>
              <w:kinsoku/>
              <w:wordWrap/>
              <w:overflowPunct/>
              <w:topLinePunct w:val="0"/>
              <w:autoSpaceDE/>
              <w:autoSpaceDN/>
              <w:bidi w:val="0"/>
              <w:adjustRightInd/>
              <w:snapToGrid/>
              <w:spacing w:before="32" w:line="3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保证措施应符合科学的施工规律、国家规定的强制性标准并有针对性，同时要符合实际情况，切实可行。质量目标明确，管理机构健全，职责分工明确；管理制度齐全；实施措施全面、有效。</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06A7FBE">
            <w:pPr>
              <w:pStyle w:val="16"/>
              <w:keepNext w:val="0"/>
              <w:keepLines w:val="0"/>
              <w:pageBreakBefore w:val="0"/>
              <w:kinsoku/>
              <w:wordWrap/>
              <w:overflowPunct/>
              <w:topLinePunct w:val="0"/>
              <w:autoSpaceDE/>
              <w:autoSpaceDN/>
              <w:bidi w:val="0"/>
              <w:adjustRightInd/>
              <w:snapToGrid/>
              <w:spacing w:line="40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4-8</w:t>
            </w:r>
          </w:p>
        </w:tc>
      </w:tr>
      <w:tr w14:paraId="5C09768C">
        <w:tblPrEx>
          <w:tblCellMar>
            <w:top w:w="0" w:type="dxa"/>
            <w:left w:w="0" w:type="dxa"/>
            <w:bottom w:w="0" w:type="dxa"/>
            <w:right w:w="0" w:type="dxa"/>
          </w:tblCellMar>
        </w:tblPrEx>
        <w:trPr>
          <w:trHeight w:val="740" w:hRule="atLeast"/>
        </w:trPr>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2F7BE">
            <w:pPr>
              <w:pStyle w:val="16"/>
              <w:keepNext w:val="0"/>
              <w:keepLines w:val="0"/>
              <w:pageBreakBefore w:val="0"/>
              <w:kinsoku/>
              <w:wordWrap/>
              <w:overflowPunct/>
              <w:topLinePunct w:val="0"/>
              <w:autoSpaceDE/>
              <w:autoSpaceDN/>
              <w:bidi w:val="0"/>
              <w:adjustRightInd/>
              <w:snapToGrid/>
              <w:spacing w:line="460" w:lineRule="exact"/>
              <w:ind w:left="166" w:leftChars="0" w:right="151"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10</w:t>
            </w:r>
          </w:p>
        </w:tc>
        <w:tc>
          <w:tcPr>
            <w:tcW w:w="19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456FF">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工期保证</w:t>
            </w:r>
          </w:p>
          <w:p w14:paraId="325CE44C">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措施和体系</w:t>
            </w:r>
          </w:p>
        </w:tc>
        <w:tc>
          <w:tcPr>
            <w:tcW w:w="60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D2C041">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总工期及节点工期满足招标文件要求；施工进度计划内容全面，线路清晰、准确、完整，计划编制合理、可行；措施有力、合理、可行。</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FD6F38B">
            <w:pPr>
              <w:pStyle w:val="16"/>
              <w:keepNext w:val="0"/>
              <w:keepLines w:val="0"/>
              <w:pageBreakBefore w:val="0"/>
              <w:kinsoku/>
              <w:wordWrap/>
              <w:overflowPunct/>
              <w:topLinePunct w:val="0"/>
              <w:autoSpaceDE/>
              <w:autoSpaceDN/>
              <w:bidi w:val="0"/>
              <w:adjustRightInd/>
              <w:snapToGrid/>
              <w:spacing w:line="46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4-8</w:t>
            </w:r>
          </w:p>
        </w:tc>
      </w:tr>
      <w:tr w14:paraId="09155D80">
        <w:tblPrEx>
          <w:tblCellMar>
            <w:top w:w="0" w:type="dxa"/>
            <w:left w:w="0" w:type="dxa"/>
            <w:bottom w:w="0" w:type="dxa"/>
            <w:right w:w="0" w:type="dxa"/>
          </w:tblCellMar>
        </w:tblPrEx>
        <w:trPr>
          <w:trHeight w:val="740" w:hRule="atLeast"/>
        </w:trPr>
        <w:tc>
          <w:tcPr>
            <w:tcW w:w="7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E0F3E7">
            <w:pPr>
              <w:pStyle w:val="16"/>
              <w:keepNext w:val="0"/>
              <w:keepLines w:val="0"/>
              <w:pageBreakBefore w:val="0"/>
              <w:kinsoku/>
              <w:wordWrap/>
              <w:overflowPunct/>
              <w:topLinePunct w:val="0"/>
              <w:autoSpaceDE/>
              <w:autoSpaceDN/>
              <w:bidi w:val="0"/>
              <w:adjustRightInd/>
              <w:snapToGrid/>
              <w:spacing w:line="460" w:lineRule="exact"/>
              <w:ind w:left="166" w:leftChars="0" w:right="151"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11</w:t>
            </w:r>
          </w:p>
        </w:tc>
        <w:tc>
          <w:tcPr>
            <w:tcW w:w="1949"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6113B0C">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zh-CN" w:eastAsia="zh-CN" w:bidi="ar-SA"/>
              </w:rPr>
              <w:t>安全保证</w:t>
            </w:r>
          </w:p>
          <w:p w14:paraId="7B11FF4A">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措施和体系</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3BA781E">
            <w:pPr>
              <w:pStyle w:val="16"/>
              <w:keepNext w:val="0"/>
              <w:keepLines w:val="0"/>
              <w:pageBreakBefore w:val="0"/>
              <w:widowControl w:val="0"/>
              <w:kinsoku/>
              <w:wordWrap/>
              <w:overflowPunct/>
              <w:topLinePunct w:val="0"/>
              <w:autoSpaceDE/>
              <w:autoSpaceDN/>
              <w:bidi w:val="0"/>
              <w:adjustRightInd/>
              <w:snapToGrid/>
              <w:spacing w:before="32" w:line="460" w:lineRule="exact"/>
              <w:ind w:left="6"/>
              <w:jc w:val="both"/>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保证措施应符合国家及自治区规定的强制性标准并有针对性，同时要符合实际情况，切实可行。</w:t>
            </w:r>
          </w:p>
          <w:p w14:paraId="10BF872E">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安全目标明确，优于招标文件要求；管理机构健全，职责分工明确；管理制度齐全；实施与监控措施全面、有效。</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515F46D">
            <w:pPr>
              <w:pStyle w:val="16"/>
              <w:keepNext w:val="0"/>
              <w:keepLines w:val="0"/>
              <w:pageBreakBefore w:val="0"/>
              <w:kinsoku/>
              <w:wordWrap/>
              <w:overflowPunct/>
              <w:topLinePunct w:val="0"/>
              <w:autoSpaceDE/>
              <w:autoSpaceDN/>
              <w:bidi w:val="0"/>
              <w:adjustRightInd/>
              <w:snapToGrid/>
              <w:spacing w:line="46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5-9</w:t>
            </w:r>
          </w:p>
        </w:tc>
      </w:tr>
      <w:tr w14:paraId="7CB0F7A5">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64114F5">
            <w:pPr>
              <w:pStyle w:val="16"/>
              <w:keepNext w:val="0"/>
              <w:keepLines w:val="0"/>
              <w:pageBreakBefore w:val="0"/>
              <w:kinsoku/>
              <w:wordWrap/>
              <w:overflowPunct/>
              <w:topLinePunct w:val="0"/>
              <w:autoSpaceDE/>
              <w:autoSpaceDN/>
              <w:bidi w:val="0"/>
              <w:adjustRightInd/>
              <w:snapToGrid/>
              <w:spacing w:before="32" w:line="460" w:lineRule="exact"/>
              <w:ind w:left="166" w:leftChars="0" w:right="151"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12</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63FC283E">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zh-CN" w:eastAsia="zh-CN" w:bidi="ar-SA"/>
              </w:rPr>
              <w:t>现场文明</w:t>
            </w:r>
          </w:p>
          <w:p w14:paraId="45D5B230">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施工措施</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6EF578D4">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管理措施目标明确，符合工程实际情况，切实可行；管理机构健全，职责分工明确；管理制度齐全；</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EE26742">
            <w:pPr>
              <w:pStyle w:val="16"/>
              <w:keepNext w:val="0"/>
              <w:keepLines w:val="0"/>
              <w:pageBreakBefore w:val="0"/>
              <w:kinsoku/>
              <w:wordWrap/>
              <w:overflowPunct/>
              <w:topLinePunct w:val="0"/>
              <w:autoSpaceDE/>
              <w:autoSpaceDN/>
              <w:bidi w:val="0"/>
              <w:adjustRightInd/>
              <w:snapToGrid/>
              <w:spacing w:before="32" w:line="460" w:lineRule="exact"/>
              <w:ind w:left="15" w:lef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5-9</w:t>
            </w:r>
          </w:p>
        </w:tc>
      </w:tr>
      <w:tr w14:paraId="0B9789AF">
        <w:tblPrEx>
          <w:tblCellMar>
            <w:top w:w="0" w:type="dxa"/>
            <w:left w:w="0" w:type="dxa"/>
            <w:bottom w:w="0" w:type="dxa"/>
            <w:right w:w="0" w:type="dxa"/>
          </w:tblCellMar>
        </w:tblPrEx>
        <w:trPr>
          <w:trHeight w:val="539"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52CEE67">
            <w:pPr>
              <w:pStyle w:val="16"/>
              <w:keepNext w:val="0"/>
              <w:keepLines w:val="0"/>
              <w:pageBreakBefore w:val="0"/>
              <w:kinsoku/>
              <w:wordWrap/>
              <w:overflowPunct/>
              <w:topLinePunct w:val="0"/>
              <w:autoSpaceDE/>
              <w:autoSpaceDN/>
              <w:bidi w:val="0"/>
              <w:adjustRightInd/>
              <w:snapToGrid/>
              <w:spacing w:before="151" w:line="460" w:lineRule="exact"/>
              <w:ind w:right="151"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 xml:space="preserve"> 13</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4AC00F17">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智慧工地</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636C894">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智慧工地系统应用实施方案切实可行。</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9DED2DB">
            <w:pPr>
              <w:pStyle w:val="16"/>
              <w:keepNext w:val="0"/>
              <w:keepLines w:val="0"/>
              <w:pageBreakBefore w:val="0"/>
              <w:kinsoku/>
              <w:wordWrap/>
              <w:overflowPunct/>
              <w:topLinePunct w:val="0"/>
              <w:autoSpaceDE/>
              <w:autoSpaceDN/>
              <w:bidi w:val="0"/>
              <w:adjustRightInd/>
              <w:snapToGrid/>
              <w:spacing w:before="151" w:line="460" w:lineRule="exact"/>
              <w:ind w:left="159" w:leftChars="0" w:right="144" w:rightChars="0"/>
              <w:jc w:val="center"/>
              <w:textAlignment w:val="auto"/>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3-7</w:t>
            </w:r>
          </w:p>
        </w:tc>
      </w:tr>
      <w:tr w14:paraId="6537DE07">
        <w:tblPrEx>
          <w:tblCellMar>
            <w:top w:w="0" w:type="dxa"/>
            <w:left w:w="0" w:type="dxa"/>
            <w:bottom w:w="0" w:type="dxa"/>
            <w:right w:w="0" w:type="dxa"/>
          </w:tblCellMar>
        </w:tblPrEx>
        <w:trPr>
          <w:trHeight w:val="74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2BAA767">
            <w:pPr>
              <w:pStyle w:val="16"/>
              <w:keepNext w:val="0"/>
              <w:keepLines w:val="0"/>
              <w:pageBreakBefore w:val="0"/>
              <w:kinsoku/>
              <w:wordWrap/>
              <w:overflowPunct/>
              <w:topLinePunct w:val="0"/>
              <w:autoSpaceDE/>
              <w:autoSpaceDN/>
              <w:bidi w:val="0"/>
              <w:adjustRightInd/>
              <w:snapToGrid/>
              <w:spacing w:before="32" w:line="460" w:lineRule="exact"/>
              <w:ind w:left="4" w:leftChars="0" w:right="182"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 xml:space="preserve"> 14</w:t>
            </w: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22AAA412">
            <w:pPr>
              <w:pStyle w:val="16"/>
              <w:keepNext w:val="0"/>
              <w:keepLines w:val="0"/>
              <w:pageBreakBefore w:val="0"/>
              <w:widowControl w:val="0"/>
              <w:kinsoku/>
              <w:wordWrap/>
              <w:overflowPunct/>
              <w:topLinePunct w:val="0"/>
              <w:autoSpaceDE/>
              <w:autoSpaceDN/>
              <w:bidi w:val="0"/>
              <w:adjustRightInd/>
              <w:snapToGrid/>
              <w:spacing w:before="32" w:line="460" w:lineRule="exact"/>
              <w:ind w:left="6"/>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BIM技术应用</w:t>
            </w:r>
          </w:p>
          <w:p w14:paraId="506489A5">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（如有）</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16340DE">
            <w:pPr>
              <w:pStyle w:val="16"/>
              <w:keepNext w:val="0"/>
              <w:keepLines w:val="0"/>
              <w:pageBreakBefore w:val="0"/>
              <w:widowControl w:val="0"/>
              <w:kinsoku/>
              <w:wordWrap/>
              <w:overflowPunct/>
              <w:topLinePunct w:val="0"/>
              <w:autoSpaceDE/>
              <w:autoSpaceDN/>
              <w:bidi w:val="0"/>
              <w:adjustRightInd/>
              <w:snapToGrid/>
              <w:spacing w:before="32" w:line="460" w:lineRule="exact"/>
              <w:ind w:left="6" w:leftChars="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BIM技术应用管理体系健全，管理制度、保障措施齐全；BIM应用流程与计划完整、有效；重点工艺节点及施工流程BIM三维模型科学、合理等。</w:t>
            </w: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8F7CC22">
            <w:pPr>
              <w:pStyle w:val="16"/>
              <w:keepNext w:val="0"/>
              <w:keepLines w:val="0"/>
              <w:pageBreakBefore w:val="0"/>
              <w:kinsoku/>
              <w:wordWrap/>
              <w:overflowPunct/>
              <w:topLinePunct w:val="0"/>
              <w:autoSpaceDE/>
              <w:autoSpaceDN/>
              <w:bidi w:val="0"/>
              <w:adjustRightInd/>
              <w:snapToGrid/>
              <w:spacing w:before="151" w:line="460" w:lineRule="exact"/>
              <w:ind w:left="159" w:leftChars="0" w:right="144" w:rightChars="0"/>
              <w:jc w:val="center"/>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0-3</w:t>
            </w:r>
          </w:p>
        </w:tc>
      </w:tr>
      <w:tr w14:paraId="316AEB8D">
        <w:tblPrEx>
          <w:tblCellMar>
            <w:top w:w="0" w:type="dxa"/>
            <w:left w:w="0" w:type="dxa"/>
            <w:bottom w:w="0" w:type="dxa"/>
            <w:right w:w="0" w:type="dxa"/>
          </w:tblCellMar>
        </w:tblPrEx>
        <w:trPr>
          <w:trHeight w:val="880" w:hRule="atLeast"/>
        </w:trPr>
        <w:tc>
          <w:tcPr>
            <w:tcW w:w="708"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187F21F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Nimbus Roman No9 L" w:hAnsi="Nimbus Roman No9 L" w:eastAsia="宋体" w:cs="Nimbus Roman No9 L"/>
                <w:color w:val="000000"/>
                <w:kern w:val="0"/>
                <w:sz w:val="24"/>
                <w:highlight w:val="none"/>
                <w:lang w:val="en-US" w:eastAsia="zh-CN"/>
              </w:rPr>
            </w:pPr>
          </w:p>
        </w:tc>
        <w:tc>
          <w:tcPr>
            <w:tcW w:w="1949" w:type="dxa"/>
            <w:tcBorders>
              <w:top w:val="nil"/>
              <w:left w:val="nil"/>
              <w:bottom w:val="single" w:color="000000" w:sz="4" w:space="0"/>
              <w:right w:val="single" w:color="000000" w:sz="4" w:space="0"/>
            </w:tcBorders>
            <w:noWrap w:val="0"/>
            <w:tcMar>
              <w:top w:w="15" w:type="dxa"/>
              <w:left w:w="15" w:type="dxa"/>
              <w:right w:w="15" w:type="dxa"/>
            </w:tcMar>
            <w:vAlign w:val="center"/>
          </w:tcPr>
          <w:p w14:paraId="3BB5C8B3">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w:t>
            </w:r>
          </w:p>
        </w:tc>
        <w:tc>
          <w:tcPr>
            <w:tcW w:w="604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321F208">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default" w:ascii="Nimbus Roman No9 L" w:hAnsi="Nimbus Roman No9 L" w:eastAsia="宋体" w:cs="Nimbus Roman No9 L"/>
                <w:color w:val="000000"/>
                <w:kern w:val="0"/>
                <w:sz w:val="24"/>
                <w:highlight w:val="none"/>
                <w:lang w:val="en-US" w:eastAsia="zh-CN"/>
              </w:rPr>
            </w:pPr>
          </w:p>
        </w:tc>
        <w:tc>
          <w:tcPr>
            <w:tcW w:w="107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0131649">
            <w:pPr>
              <w:keepNext w:val="0"/>
              <w:keepLines w:val="0"/>
              <w:pageBreakBefore w:val="0"/>
              <w:kinsoku/>
              <w:wordWrap/>
              <w:overflowPunct/>
              <w:topLinePunct w:val="0"/>
              <w:autoSpaceDE/>
              <w:autoSpaceDN/>
              <w:bidi w:val="0"/>
              <w:adjustRightInd/>
              <w:snapToGrid/>
              <w:spacing w:line="460" w:lineRule="exact"/>
              <w:jc w:val="center"/>
              <w:textAlignment w:val="auto"/>
              <w:rPr>
                <w:rFonts w:hint="default" w:ascii="Nimbus Roman No9 L" w:hAnsi="Nimbus Roman No9 L" w:eastAsia="宋体" w:cs="Nimbus Roman No9 L"/>
                <w:color w:val="000000"/>
                <w:sz w:val="22"/>
                <w:szCs w:val="22"/>
                <w:highlight w:val="none"/>
              </w:rPr>
            </w:pPr>
          </w:p>
        </w:tc>
      </w:tr>
      <w:tr w14:paraId="16D20196">
        <w:tblPrEx>
          <w:tblCellMar>
            <w:top w:w="0" w:type="dxa"/>
            <w:left w:w="0" w:type="dxa"/>
            <w:bottom w:w="0" w:type="dxa"/>
            <w:right w:w="0" w:type="dxa"/>
          </w:tblCellMar>
        </w:tblPrEx>
        <w:trPr>
          <w:trHeight w:val="880" w:hRule="atLeast"/>
        </w:trPr>
        <w:tc>
          <w:tcPr>
            <w:tcW w:w="9777" w:type="dxa"/>
            <w:gridSpan w:val="4"/>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14:paraId="056C2CBB">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Nimbus Roman No9 L" w:hAnsi="Nimbus Roman No9 L" w:cs="Nimbus Roman No9 L"/>
                <w:color w:val="000000"/>
                <w:kern w:val="0"/>
                <w:sz w:val="21"/>
                <w:szCs w:val="21"/>
                <w:highlight w:val="none"/>
                <w:lang w:val="en-US" w:eastAsia="zh-CN" w:bidi="ar-SA"/>
              </w:rPr>
            </w:pPr>
            <w:r>
              <w:rPr>
                <w:rFonts w:hint="default" w:ascii="Nimbus Roman No9 L" w:hAnsi="Nimbus Roman No9 L" w:cs="Nimbus Roman No9 L"/>
                <w:color w:val="000000"/>
                <w:kern w:val="0"/>
                <w:sz w:val="21"/>
                <w:szCs w:val="21"/>
                <w:highlight w:val="none"/>
                <w:lang w:val="en-US" w:eastAsia="zh-CN" w:bidi="ar-SA"/>
              </w:rPr>
              <w:t>1.</w:t>
            </w:r>
            <w:r>
              <w:rPr>
                <w:rFonts w:hint="default" w:ascii="Nimbus Roman No9 L" w:hAnsi="Nimbus Roman No9 L" w:eastAsia="宋体" w:cs="Nimbus Roman No9 L"/>
                <w:color w:val="000000"/>
                <w:kern w:val="0"/>
                <w:sz w:val="21"/>
                <w:szCs w:val="21"/>
                <w:highlight w:val="none"/>
                <w:lang w:val="en-US" w:eastAsia="zh-CN" w:bidi="ar-SA"/>
              </w:rPr>
              <w:t>招标人应根据项目的特点在分值范围内设置各评审项目的具体分值，各项分值之和为100分</w:t>
            </w:r>
            <w:r>
              <w:rPr>
                <w:rFonts w:hint="default" w:ascii="Nimbus Roman No9 L" w:hAnsi="Nimbus Roman No9 L" w:cs="Nimbus Roman No9 L"/>
                <w:color w:val="000000"/>
                <w:kern w:val="0"/>
                <w:sz w:val="21"/>
                <w:szCs w:val="21"/>
                <w:highlight w:val="none"/>
                <w:lang w:val="en-US" w:eastAsia="zh-CN" w:bidi="ar-SA"/>
              </w:rPr>
              <w:t>。</w:t>
            </w:r>
          </w:p>
          <w:p w14:paraId="70A99D78">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Nimbus Roman No9 L" w:hAnsi="Nimbus Roman No9 L" w:eastAsia="宋体" w:cs="Nimbus Roman No9 L"/>
                <w:color w:val="000000"/>
                <w:kern w:val="0"/>
                <w:sz w:val="21"/>
                <w:szCs w:val="21"/>
                <w:highlight w:val="none"/>
                <w:lang w:val="en-US" w:eastAsia="zh-CN" w:bidi="ar-SA"/>
              </w:rPr>
            </w:pPr>
            <w:r>
              <w:rPr>
                <w:rFonts w:hint="default" w:ascii="Nimbus Roman No9 L" w:hAnsi="Nimbus Roman No9 L" w:cs="Nimbus Roman No9 L"/>
                <w:color w:val="000000"/>
                <w:kern w:val="0"/>
                <w:sz w:val="21"/>
                <w:szCs w:val="21"/>
                <w:highlight w:val="none"/>
                <w:lang w:val="en-US" w:eastAsia="zh-CN" w:bidi="ar-SA"/>
              </w:rPr>
              <w:t>2.</w:t>
            </w:r>
            <w:r>
              <w:rPr>
                <w:rFonts w:hint="default" w:ascii="Nimbus Roman No9 L" w:hAnsi="Nimbus Roman No9 L" w:eastAsia="宋体" w:cs="Nimbus Roman No9 L"/>
                <w:color w:val="000000"/>
                <w:kern w:val="0"/>
                <w:sz w:val="21"/>
                <w:szCs w:val="21"/>
                <w:highlight w:val="none"/>
                <w:lang w:val="en-US" w:eastAsia="zh-CN" w:bidi="ar-SA"/>
              </w:rPr>
              <w:t>评委对各投标人同一评分内容量化打分时，如最高得分与最低得分相差25%（含25%）以上时，应做出合理的解释说明，否则不予计分。</w:t>
            </w:r>
          </w:p>
          <w:p w14:paraId="7EA6E001">
            <w:pPr>
              <w:keepNext w:val="0"/>
              <w:keepLines w:val="0"/>
              <w:pageBreakBefore w:val="0"/>
              <w:numPr>
                <w:ilvl w:val="0"/>
                <w:numId w:val="0"/>
              </w:numPr>
              <w:kinsoku/>
              <w:wordWrap/>
              <w:overflowPunct/>
              <w:topLinePunct w:val="0"/>
              <w:autoSpaceDE/>
              <w:autoSpaceDN/>
              <w:bidi w:val="0"/>
              <w:adjustRightInd/>
              <w:snapToGrid/>
              <w:spacing w:line="460" w:lineRule="exact"/>
              <w:textAlignment w:val="auto"/>
              <w:rPr>
                <w:rFonts w:hint="default" w:ascii="Nimbus Roman No9 L" w:hAnsi="Nimbus Roman No9 L" w:eastAsia="宋体" w:cs="Nimbus Roman No9 L"/>
                <w:color w:val="000000"/>
                <w:kern w:val="0"/>
                <w:sz w:val="21"/>
                <w:szCs w:val="21"/>
                <w:highlight w:val="none"/>
                <w:lang w:val="en-US" w:eastAsia="zh-CN" w:bidi="ar-SA"/>
              </w:rPr>
            </w:pPr>
            <w:r>
              <w:rPr>
                <w:rFonts w:hint="default" w:ascii="Nimbus Roman No9 L" w:hAnsi="Nimbus Roman No9 L" w:cs="Nimbus Roman No9 L"/>
                <w:color w:val="000000"/>
                <w:kern w:val="0"/>
                <w:sz w:val="21"/>
                <w:szCs w:val="21"/>
                <w:highlight w:val="none"/>
                <w:lang w:val="en-US" w:eastAsia="zh-CN" w:bidi="ar-SA"/>
              </w:rPr>
              <w:t>3.</w:t>
            </w:r>
            <w:r>
              <w:rPr>
                <w:rFonts w:hint="default" w:ascii="Nimbus Roman No9 L" w:hAnsi="Nimbus Roman No9 L" w:eastAsia="宋体" w:cs="Nimbus Roman No9 L"/>
                <w:color w:val="000000"/>
                <w:kern w:val="0"/>
                <w:sz w:val="21"/>
                <w:szCs w:val="21"/>
                <w:highlight w:val="none"/>
                <w:lang w:val="en-US" w:eastAsia="zh-CN" w:bidi="ar-SA"/>
              </w:rPr>
              <w:t>技术标评标时凡被评标委员会明确为明示和暗示的，应在技术标总得分（乘完权重后）中扣除：明示扣5分，暗示扣3分。</w:t>
            </w:r>
          </w:p>
          <w:p w14:paraId="3CA3C498">
            <w:pPr>
              <w:pStyle w:val="11"/>
              <w:keepNext w:val="0"/>
              <w:keepLines w:val="0"/>
              <w:pageBreakBefore w:val="0"/>
              <w:kinsoku/>
              <w:wordWrap/>
              <w:overflowPunct/>
              <w:topLinePunct w:val="0"/>
              <w:autoSpaceDE/>
              <w:autoSpaceDN/>
              <w:bidi w:val="0"/>
              <w:adjustRightInd/>
              <w:snapToGrid/>
              <w:spacing w:line="460" w:lineRule="exact"/>
              <w:ind w:left="0" w:leftChars="0" w:firstLine="0" w:firstLineChars="0"/>
              <w:textAlignment w:val="auto"/>
              <w:rPr>
                <w:rFonts w:hint="default" w:ascii="Nimbus Roman No9 L" w:hAnsi="Nimbus Roman No9 L" w:cs="Nimbus Roman No9 L"/>
                <w:highlight w:val="none"/>
                <w:lang w:val="en-US"/>
              </w:rPr>
            </w:pPr>
            <w:r>
              <w:rPr>
                <w:rFonts w:hint="default" w:ascii="Nimbus Roman No9 L" w:hAnsi="Nimbus Roman No9 L" w:cs="Nimbus Roman No9 L"/>
                <w:color w:val="000000"/>
                <w:kern w:val="0"/>
                <w:sz w:val="21"/>
                <w:szCs w:val="21"/>
                <w:highlight w:val="none"/>
                <w:lang w:val="en-US" w:eastAsia="zh-CN" w:bidi="ar-SA"/>
              </w:rPr>
              <w:t>4.</w:t>
            </w:r>
            <w:r>
              <w:rPr>
                <w:rFonts w:hint="default" w:ascii="Nimbus Roman No9 L" w:hAnsi="Nimbus Roman No9 L" w:eastAsia="宋体" w:cs="Nimbus Roman No9 L"/>
                <w:color w:val="000000"/>
                <w:kern w:val="0"/>
                <w:sz w:val="21"/>
                <w:szCs w:val="21"/>
                <w:highlight w:val="none"/>
                <w:lang w:val="en-US" w:eastAsia="zh-CN" w:bidi="ar-SA"/>
              </w:rPr>
              <w:t>评委在评审时应严格对照备注中的《技术标评审要素》进行评定，缺一项内容扣0.5分，直至相应的评审项目总分扣完为止。</w:t>
            </w:r>
          </w:p>
        </w:tc>
      </w:tr>
    </w:tbl>
    <w:p w14:paraId="208B4016">
      <w:pPr>
        <w:pStyle w:val="1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Nimbus Roman No9 L" w:hAnsi="Nimbus Roman No9 L" w:cs="Nimbus Roman No9 L"/>
          <w:sz w:val="24"/>
          <w:szCs w:val="22"/>
          <w:highlight w:val="none"/>
          <w:lang w:val="en-US" w:eastAsia="zh-CN" w:bidi="zh-CN"/>
        </w:rPr>
      </w:pPr>
    </w:p>
    <w:p w14:paraId="4CFF0191">
      <w:pPr>
        <w:pStyle w:val="11"/>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Nimbus Roman No9 L" w:hAnsi="Nimbus Roman No9 L" w:eastAsia="宋体" w:cs="Nimbus Roman No9 L"/>
          <w:kern w:val="2"/>
          <w:sz w:val="24"/>
          <w:szCs w:val="22"/>
          <w:highlight w:val="none"/>
          <w:lang w:val="en-US" w:eastAsia="zh-CN" w:bidi="zh-CN"/>
        </w:rPr>
      </w:pPr>
      <w:r>
        <w:rPr>
          <w:rFonts w:hint="default" w:ascii="Nimbus Roman No9 L" w:hAnsi="Nimbus Roman No9 L" w:cs="Nimbus Roman No9 L"/>
          <w:sz w:val="24"/>
          <w:szCs w:val="22"/>
          <w:highlight w:val="none"/>
          <w:lang w:val="en-US" w:eastAsia="zh-CN" w:bidi="zh-CN"/>
        </w:rPr>
        <w:t>备注</w:t>
      </w:r>
      <w:r>
        <w:rPr>
          <w:rFonts w:hint="default" w:ascii="Nimbus Roman No9 L" w:hAnsi="Nimbus Roman No9 L" w:eastAsia="宋体" w:cs="Nimbus Roman No9 L"/>
          <w:sz w:val="24"/>
          <w:szCs w:val="22"/>
          <w:highlight w:val="none"/>
          <w:lang w:val="en-US" w:eastAsia="zh-CN" w:bidi="zh-CN"/>
        </w:rPr>
        <w:t>：</w:t>
      </w:r>
      <w:r>
        <w:rPr>
          <w:rFonts w:hint="default" w:ascii="Nimbus Roman No9 L" w:hAnsi="Nimbus Roman No9 L" w:eastAsia="宋体" w:cs="Nimbus Roman No9 L"/>
          <w:kern w:val="2"/>
          <w:sz w:val="24"/>
          <w:szCs w:val="22"/>
          <w:highlight w:val="none"/>
          <w:lang w:val="en-US" w:eastAsia="zh-CN" w:bidi="zh-CN"/>
        </w:rPr>
        <w:t>技术标评审要素包括以下内容</w:t>
      </w:r>
    </w:p>
    <w:p w14:paraId="50B9A12D">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p>
    <w:p w14:paraId="2A8B2494">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第一部分 工程概况及特点</w:t>
      </w:r>
    </w:p>
    <w:p w14:paraId="78F213C4">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1.1 工程概况要素：包括工程名称、规模（总造价，地上、地下层数）、基础、主体结构、工期、建设地点等内容。</w:t>
      </w:r>
    </w:p>
    <w:p w14:paraId="7028C7B4">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1.2 工程特点要素：一是建筑设计，包括新型材料、特殊功能（特殊防火、防水、防辐射、隔音、无菌要求，四代住宅，地缘热等）；二是结构设计，包括钢筋砼、大跨度、高大空间、高强砼、特殊钢材、膜壳结构、复杂异形结构、复杂大曲面结构、预应力结构、再生砼等新型结构材料。三是水电设备，包括非常规设备、运行环境特许要求（粉尘、静电、防爆等）。四是特殊地理环境因素，毗邻地铁等重大地下构筑物、文物景点景区内施工，特许气候地理环境（不同一般冬歇期、严寒、沙漠地区、高海拔地区等）。</w:t>
      </w:r>
    </w:p>
    <w:p w14:paraId="6030A657">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第二部分 施工准备计划</w:t>
      </w:r>
    </w:p>
    <w:p w14:paraId="3B5993CB">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2.1 施工技术准备要素：技术岗位人员配备齐全；工程涉及技术方案措施齐全；工程特点所涉及施工技术齐全、适用可行；技术工具、信息化应用（测量仪器、工作软硬件应用等）；针对本工程的“四新”技术应用措施符合项目需要。</w:t>
      </w:r>
    </w:p>
    <w:p w14:paraId="141F8E51">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2.2 人力资源要素：项目组织机构齐全。组织机构人员资格符合要求。</w:t>
      </w:r>
    </w:p>
    <w:p w14:paraId="52266328">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2.3 物资、机械要素：分别列表统计所需物资、机械清单；物资品种规格品牌（如有）数量符合设计要求；机械种类、规格、数量基本满足工程所需；有满足工程特点所需特殊（种）机械。</w:t>
      </w:r>
    </w:p>
    <w:p w14:paraId="742E7C49">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2.4 劳动力准备计划要素：作业班组工种齐全；劳动力数量满足工程要求；特种作业人员资格及数量满足工程需要；建立农民工工资专项账户。</w:t>
      </w:r>
    </w:p>
    <w:p w14:paraId="479BA926">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第三部分 施工方案</w:t>
      </w:r>
    </w:p>
    <w:p w14:paraId="3F7E9DA6">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3.1 基本内容要素：施工方案编制齐全；施工方案编制符合要求；方案符合工程实际，应结合工程特点；引用强制性技术标准不得出现错误，或明显违反国家和自治区有关规定。</w:t>
      </w:r>
    </w:p>
    <w:p w14:paraId="10F44944">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3.2 工期保证要素：总进度计划、平面布置等施工部署合理；分项工程劳动力数量有保证；地库、安装、装饰、外装、室外工程结合工程实际合理穿插；塔吊、电梯等按施工合理安排时间；穿插作业现场布置的调整相呼应。</w:t>
      </w:r>
    </w:p>
    <w:p w14:paraId="38BF7AE4">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3.3 安全保证要素：安全管理目标明确；企业及项目部安全管理体系完善；安全保证措施、方案齐全；安全费用投入有保证；安全管理特点、亮点清晰明确；项目的重点、难点分析透彻，解决方案切实可行；市政基础设施项目，交通组织规划合理、可行，交通组织措施得力。</w:t>
      </w:r>
    </w:p>
    <w:p w14:paraId="67961CE1">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3.4 质量保证要素：质量管理目标明确；企业及项目部质量管理体系完善；质量保证措施、方案齐全；质量通病防治措施，底线管理符合项目实际；创优创奖部署、策划符合工程实际；质量创优、亮点做法清晰明确，符合工程实际。</w:t>
      </w:r>
    </w:p>
    <w:p w14:paraId="4E771C7D">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第四部分 施工进度计划</w:t>
      </w:r>
    </w:p>
    <w:p w14:paraId="1EA66357">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4.1 基本内容要素：总进度计划编制符合要求；开竣工日期明确，符合招标文件要求；关键线路清晰，合理；分段、分区合理，工序持续时间、流水节拍合理。</w:t>
      </w:r>
    </w:p>
    <w:p w14:paraId="3B031328">
      <w:pPr>
        <w:pStyle w:val="16"/>
        <w:keepNext w:val="0"/>
        <w:keepLines w:val="0"/>
        <w:pageBreakBefore w:val="0"/>
        <w:widowControl w:val="0"/>
        <w:kinsoku/>
        <w:wordWrap/>
        <w:overflowPunct/>
        <w:topLinePunct w:val="0"/>
        <w:autoSpaceDE/>
        <w:autoSpaceDN/>
        <w:bidi w:val="0"/>
        <w:adjustRightInd/>
        <w:snapToGrid/>
        <w:spacing w:before="42" w:line="400" w:lineRule="exact"/>
        <w:ind w:left="4" w:leftChars="0"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4.2 结合工程实际要素：地库、安装、装饰、外装、室外工程根据工程实际工序穿插合理；主体结构、砌体、安装与装修衔接时间等合理，无违背科学规律的现象；进度计划中分包专业工期明确；与施组部署、方案的时间节点一致。</w:t>
      </w:r>
    </w:p>
    <w:p w14:paraId="6339F6A4">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第五部分 施工平面布置</w:t>
      </w:r>
    </w:p>
    <w:p w14:paraId="39C138D6">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b w:val="0"/>
          <w:bCs w:val="0"/>
          <w:color w:val="000000"/>
          <w:kern w:val="0"/>
          <w:sz w:val="24"/>
          <w:szCs w:val="24"/>
          <w:highlight w:val="none"/>
          <w:lang w:val="en-US" w:eastAsia="zh-CN" w:bidi="ar-SA"/>
        </w:rPr>
        <w:t>5.1 基本内容要素：根据工程实</w:t>
      </w:r>
      <w:r>
        <w:rPr>
          <w:rFonts w:hint="default" w:ascii="Nimbus Roman No9 L" w:hAnsi="Nimbus Roman No9 L" w:eastAsia="宋体" w:cs="Nimbus Roman No9 L"/>
          <w:color w:val="000000"/>
          <w:kern w:val="0"/>
          <w:sz w:val="24"/>
          <w:szCs w:val="24"/>
          <w:highlight w:val="none"/>
          <w:lang w:val="en-US" w:eastAsia="zh-CN" w:bidi="ar-SA"/>
        </w:rPr>
        <w:t>际，平面图布置齐全；施工区、生活区、办公区划分明确合理，满足需求，场地利用合理；塔吊根据覆盖范围及施工需求布置合理，施工电梯布置合理；围挡形式、高度符合要求；平面图布置有图例、指北针、图纸会签栏；影响施工的毗邻高压、地下、地上管线、构筑物标示明确；机械、料场、加工厂等布置协调合理；水电驳接点，大门位置合理；图纸版面布局合理，文字、线型、分色清晰，美观。</w:t>
      </w:r>
    </w:p>
    <w:p w14:paraId="6A60812F">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5.2 特点、亮点要素：说明中机械型号、数量、水电线路材质，敷设方式、围墙形式等说明清晰易懂；场内施工道路规划合理，临时水电走向合理，标示正确。影响施工的毗邻高压、地下、地上管线、构筑物所采取的隔离、保护措施。对分包单位办公、生活及堆料、加工的规划。永临结合、对树木、绿化等需要保留物件的保护。临建满足生活办公需求。花园式施工现场布局合理。</w:t>
      </w:r>
    </w:p>
    <w:p w14:paraId="0187479E">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第六部分 劳动力需用量计划</w:t>
      </w:r>
    </w:p>
    <w:p w14:paraId="11CD9C0A">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6.1 基本内容要素：工程所需劳动力工种齐全；对应时间段数量与施工部署、方案呼应一致；劳动力满足施工进度要求；满足工程所需特殊工种。</w:t>
      </w:r>
    </w:p>
    <w:p w14:paraId="6052A6A2">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6.2 重点、难点要素：工种数人员量与工作量、进度计划匹配；具备工程特殊工艺的工种、工人数量；工人经过专业培训合格，取得相应上岗证书；农民工作业、生活管理措施制度齐全；农民工维权、夜校管理有实效。</w:t>
      </w:r>
    </w:p>
    <w:p w14:paraId="436F4D5E">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第七部分 材料需用量计划</w:t>
      </w:r>
    </w:p>
    <w:p w14:paraId="64196261">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7.1 基本内容要素：工程所需物资资源品种、规格齐全。对应时间段数量与施工部署、方案呼应一致；现场材料存放、码放合理，有效减小二次运距，提高工效；进场材料验收、计量措施有效。</w:t>
      </w:r>
    </w:p>
    <w:p w14:paraId="743A8D0E">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7.2 其他要素：满足工程所需特殊、特种材料；现场材料管理制度齐全；成品、半成品、设备存放保护措施得当；大宗材料、区域外购置材料有计划，考虑生产周期、运输周期；响应招标文件品牌要求；对甲供、分包材料的管理得当；产品符合环保、节能要求，未使用国家严禁淘汰的产品。</w:t>
      </w:r>
    </w:p>
    <w:p w14:paraId="216951DD">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第八部分 机械设备需用量计划</w:t>
      </w:r>
    </w:p>
    <w:p w14:paraId="2BF03413">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8.1 基本内容要素：机械种类、型号满足需要；机械数量、布置满足施工需要；机械验收、维保、操作，司机（司索工）教育培训等制度齐全；机械现场平面布置覆盖区域合理，有效</w:t>
      </w:r>
      <w:r>
        <w:rPr>
          <w:rFonts w:hint="eastAsia" w:ascii="Nimbus Roman No9 L" w:hAnsi="Nimbus Roman No9 L" w:cs="Nimbus Roman No9 L"/>
          <w:color w:val="000000"/>
          <w:kern w:val="0"/>
          <w:sz w:val="24"/>
          <w:szCs w:val="24"/>
          <w:highlight w:val="none"/>
          <w:lang w:val="en-US" w:eastAsia="zh-CN" w:bidi="ar-SA"/>
        </w:rPr>
        <w:t>减少</w:t>
      </w:r>
      <w:r>
        <w:rPr>
          <w:rFonts w:hint="default" w:ascii="Nimbus Roman No9 L" w:hAnsi="Nimbus Roman No9 L" w:eastAsia="宋体" w:cs="Nimbus Roman No9 L"/>
          <w:color w:val="000000"/>
          <w:kern w:val="0"/>
          <w:sz w:val="24"/>
          <w:szCs w:val="24"/>
          <w:highlight w:val="none"/>
          <w:lang w:val="en-US" w:eastAsia="zh-CN" w:bidi="ar-SA"/>
        </w:rPr>
        <w:t>人工搬运，提高工效；进场机械验收、计量措施有效。</w:t>
      </w:r>
    </w:p>
    <w:p w14:paraId="173215FE">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8.2 重点、特点要素：特种材料使用的机械满足工程需求；机械进退场计划、管理；特种机械需从区域外购置、租赁有计划，考虑生产周期、运输周期；机械产品符合环保、节能要求，未使用国家严令淘汰的产品。</w:t>
      </w:r>
    </w:p>
    <w:p w14:paraId="5D06BF8B">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第九部分：质量保证措施和体系</w:t>
      </w:r>
    </w:p>
    <w:p w14:paraId="054E40D6">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9.1 基本内容要素：质量目标满足招标要求；质量保证体系健全；质量培训教育、检查、考核奖罚制度健全；质量管理人员资格符合要求；引用强制性技术标准不得出现错误，或明显违反国家和自治区有关规定；质量通病防治措施适用工程实际、可行；质量底线管理措施适用工程实际、可行。</w:t>
      </w:r>
    </w:p>
    <w:p w14:paraId="4C8FC306">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9.2 特点、重点要素：质量目标优于招标要求，创优创奖目标措施清晰可行；“四新”技术应用切合工程实际；结合工程实际的创新点、亮点做法。</w:t>
      </w:r>
    </w:p>
    <w:p w14:paraId="59706F23">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第十部分 工期保证措施和体系</w:t>
      </w:r>
    </w:p>
    <w:p w14:paraId="017F9CC4">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10.1 基本内容要素：工期目标满足招标文件要求；工期保证体系健全；工期管理、考核奖罚制度健全；人员满足要求，与施组、方案呼应一致；总进度计划符合招标文件要求，关键节点、关键线路清晰。</w:t>
      </w:r>
    </w:p>
    <w:p w14:paraId="0571EE76">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10.2 其他要素：分段、流水划分合理，工序穿插衔接紧密，施工周期符合客观规律，无违背科学规律的情况；工期保证措施适用工程实际、可行。</w:t>
      </w:r>
    </w:p>
    <w:p w14:paraId="461710A7">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第十一部分 安全保证措施和体系</w:t>
      </w:r>
    </w:p>
    <w:p w14:paraId="002DEAF1">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11.1 基本内容要素：安全目标满足招标要求；安全保证体系健全；安全培训教育、管理、考核奖罚制度健全；安全管理人员资格符合要求；遵守国家和自治区有关规定。</w:t>
      </w:r>
    </w:p>
    <w:p w14:paraId="6839F400">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11.2 其他重点要素：安全风险防控和隐患排查“双控”适用工程实际、可行；危大工程管理符合国家和自治区相关规定；文明施工措施、标准化切实可行；安全目标高于招标要求，措施清晰可行；结合工程重点、特点的安全技术保证措施。</w:t>
      </w:r>
    </w:p>
    <w:p w14:paraId="14E87FF6">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第十二部分 现场文明施工措施</w:t>
      </w:r>
    </w:p>
    <w:p w14:paraId="0229A14B">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12.1 基本内容要素：文明施工目标满足或高于招标要求；文明施工体系健全；文明施工培训教育、管理、考核奖罚制度健全；遵守国家和自治区相关规定。</w:t>
      </w:r>
    </w:p>
    <w:p w14:paraId="406E78E0">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12.2 其他要素：文明施工措施、标准化切实可行；结合工程实际在文明施工方面的新举措。</w:t>
      </w:r>
    </w:p>
    <w:p w14:paraId="4FD40D8D">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十三部分 智慧工地</w:t>
      </w:r>
    </w:p>
    <w:p w14:paraId="4550C953">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13.1 智慧工地评审要素：智慧施工要求、目标满足或高于招标要求，且性价比较高；门禁、监控等智慧工地软硬件符合国家和自治区相关规定；智慧施工培训教育、考核总结奖罚制度健全；拟适用智慧化模块符合工程实际。</w:t>
      </w:r>
    </w:p>
    <w:p w14:paraId="337A1B14">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2" w:firstLineChars="200"/>
        <w:jc w:val="both"/>
        <w:textAlignment w:val="auto"/>
        <w:rPr>
          <w:rFonts w:hint="default" w:ascii="Nimbus Roman No9 L" w:hAnsi="Nimbus Roman No9 L" w:eastAsia="宋体" w:cs="Nimbus Roman No9 L"/>
          <w:b/>
          <w:bCs/>
          <w:color w:val="000000"/>
          <w:kern w:val="0"/>
          <w:sz w:val="24"/>
          <w:szCs w:val="24"/>
          <w:highlight w:val="none"/>
          <w:lang w:val="en-US" w:eastAsia="zh-CN" w:bidi="ar-SA"/>
        </w:rPr>
      </w:pPr>
      <w:r>
        <w:rPr>
          <w:rFonts w:hint="default" w:ascii="Nimbus Roman No9 L" w:hAnsi="Nimbus Roman No9 L" w:eastAsia="宋体" w:cs="Nimbus Roman No9 L"/>
          <w:b/>
          <w:bCs/>
          <w:color w:val="000000"/>
          <w:kern w:val="0"/>
          <w:sz w:val="24"/>
          <w:szCs w:val="24"/>
          <w:highlight w:val="none"/>
          <w:lang w:val="en-US" w:eastAsia="zh-CN" w:bidi="ar-SA"/>
        </w:rPr>
        <w:t>第十四部分：BIM技术应用（如有）</w:t>
      </w:r>
    </w:p>
    <w:p w14:paraId="0F0D5B2F">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14.1 基本内容要素：BIM技术应用目标满足或高于招标要求，实效性强；BIM人员配置、能力资格符合实际要求；BIM技术应用所需软、硬件满足需求；BIM工作分工明确、切实可行；BIM应用流程与计划完整、有效；重点工艺节点及施工流程BIM三维模型科学、合理。</w:t>
      </w:r>
    </w:p>
    <w:p w14:paraId="428AC598">
      <w:pPr>
        <w:pStyle w:val="16"/>
        <w:keepNext w:val="0"/>
        <w:keepLines w:val="0"/>
        <w:pageBreakBefore w:val="0"/>
        <w:widowControl w:val="0"/>
        <w:kinsoku/>
        <w:wordWrap/>
        <w:overflowPunct/>
        <w:topLinePunct w:val="0"/>
        <w:autoSpaceDE/>
        <w:autoSpaceDN/>
        <w:bidi w:val="0"/>
        <w:adjustRightInd/>
        <w:snapToGrid/>
        <w:spacing w:before="42" w:line="400" w:lineRule="exact"/>
        <w:ind w:right="0" w:rightChars="0" w:firstLine="480" w:firstLineChars="200"/>
        <w:jc w:val="both"/>
        <w:textAlignment w:val="auto"/>
        <w:rPr>
          <w:rFonts w:hint="default" w:ascii="Nimbus Roman No9 L" w:hAnsi="Nimbus Roman No9 L" w:eastAsia="仿宋" w:cs="Nimbus Roman No9 L"/>
          <w:sz w:val="32"/>
          <w:szCs w:val="32"/>
          <w:highlight w:val="none"/>
        </w:rPr>
      </w:pPr>
      <w:r>
        <w:rPr>
          <w:rFonts w:hint="default" w:ascii="Nimbus Roman No9 L" w:hAnsi="Nimbus Roman No9 L" w:eastAsia="宋体" w:cs="Nimbus Roman No9 L"/>
          <w:color w:val="000000"/>
          <w:kern w:val="0"/>
          <w:sz w:val="24"/>
          <w:szCs w:val="24"/>
          <w:highlight w:val="none"/>
          <w:lang w:val="en-US" w:eastAsia="zh-CN" w:bidi="ar-SA"/>
        </w:rPr>
        <w:t>14.2 其他要素：BIM创优创奖规划，符合工程实际；主体结构、安装、装饰工程之间协调配合得当。</w:t>
      </w:r>
    </w:p>
    <w:p w14:paraId="2397363D">
      <w:pPr>
        <w:pStyle w:val="11"/>
        <w:rPr>
          <w:rFonts w:hint="default" w:ascii="Nimbus Roman No9 L" w:hAnsi="Nimbus Roman No9 L" w:eastAsia="仿宋" w:cs="Nimbus Roman No9 L"/>
          <w:sz w:val="32"/>
          <w:szCs w:val="32"/>
          <w:highlight w:val="none"/>
        </w:rPr>
        <w:sectPr>
          <w:pgSz w:w="11906" w:h="16838"/>
          <w:pgMar w:top="2098" w:right="1531" w:bottom="1984" w:left="1531"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pPr>
    </w:p>
    <w:p w14:paraId="373EFD45">
      <w:pPr>
        <w:pStyle w:val="11"/>
        <w:spacing w:line="500" w:lineRule="exact"/>
        <w:ind w:left="0" w:leftChars="0" w:firstLine="0" w:firstLineChars="0"/>
        <w:rPr>
          <w:rFonts w:hint="default" w:ascii="Nimbus Roman No9 L" w:hAnsi="Nimbus Roman No9 L" w:eastAsia="仿宋" w:cs="Nimbus Roman No9 L"/>
          <w:b/>
          <w:bCs/>
          <w:sz w:val="32"/>
          <w:szCs w:val="32"/>
          <w:highlight w:val="none"/>
        </w:rPr>
      </w:pPr>
      <w:r>
        <w:rPr>
          <w:rFonts w:hint="default" w:ascii="Nimbus Roman No9 L" w:hAnsi="Nimbus Roman No9 L" w:eastAsia="仿宋" w:cs="Nimbus Roman No9 L"/>
          <w:b/>
          <w:bCs/>
          <w:kern w:val="2"/>
          <w:sz w:val="32"/>
          <w:szCs w:val="32"/>
          <w:highlight w:val="none"/>
          <w:lang w:val="en-US" w:eastAsia="zh-CN" w:bidi="ar-SA"/>
        </w:rPr>
        <w:t>附表1-6</w:t>
      </w:r>
    </w:p>
    <w:tbl>
      <w:tblPr>
        <w:tblStyle w:val="12"/>
        <w:tblpPr w:leftFromText="180" w:rightFromText="180" w:vertAnchor="text" w:horzAnchor="page" w:tblpX="1078" w:tblpY="329"/>
        <w:tblOverlap w:val="never"/>
        <w:tblW w:w="0" w:type="auto"/>
        <w:tblInd w:w="0" w:type="dxa"/>
        <w:tblLayout w:type="fixed"/>
        <w:tblCellMar>
          <w:top w:w="0" w:type="dxa"/>
          <w:left w:w="0" w:type="dxa"/>
          <w:bottom w:w="0" w:type="dxa"/>
          <w:right w:w="0" w:type="dxa"/>
        </w:tblCellMar>
      </w:tblPr>
      <w:tblGrid>
        <w:gridCol w:w="635"/>
        <w:gridCol w:w="1725"/>
        <w:gridCol w:w="5627"/>
        <w:gridCol w:w="942"/>
        <w:gridCol w:w="867"/>
      </w:tblGrid>
      <w:tr w14:paraId="1E1018FA">
        <w:tblPrEx>
          <w:tblCellMar>
            <w:top w:w="0" w:type="dxa"/>
            <w:left w:w="0" w:type="dxa"/>
            <w:bottom w:w="0" w:type="dxa"/>
            <w:right w:w="0" w:type="dxa"/>
          </w:tblCellMar>
        </w:tblPrEx>
        <w:trPr>
          <w:trHeight w:val="510" w:hRule="atLeast"/>
        </w:trPr>
        <w:tc>
          <w:tcPr>
            <w:tcW w:w="9796" w:type="dxa"/>
            <w:gridSpan w:val="5"/>
            <w:tcBorders>
              <w:top w:val="nil"/>
              <w:left w:val="nil"/>
              <w:bottom w:val="nil"/>
              <w:right w:val="nil"/>
            </w:tcBorders>
            <w:noWrap w:val="0"/>
            <w:tcMar>
              <w:top w:w="15" w:type="dxa"/>
              <w:left w:w="15" w:type="dxa"/>
              <w:right w:w="15" w:type="dxa"/>
            </w:tcMar>
            <w:vAlign w:val="center"/>
          </w:tcPr>
          <w:p w14:paraId="1D116EA6">
            <w:pPr>
              <w:spacing w:line="500" w:lineRule="exact"/>
              <w:jc w:val="center"/>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36"/>
                <w:szCs w:val="36"/>
                <w:highlight w:val="none"/>
                <w:lang w:bidi="ar"/>
              </w:rPr>
              <w:t>技术标</w:t>
            </w:r>
            <w:r>
              <w:rPr>
                <w:rFonts w:hint="default" w:ascii="Nimbus Roman No9 L" w:hAnsi="Nimbus Roman No9 L" w:eastAsia="宋体" w:cs="Nimbus Roman No9 L"/>
                <w:b/>
                <w:color w:val="000000"/>
                <w:kern w:val="0"/>
                <w:sz w:val="36"/>
                <w:szCs w:val="36"/>
                <w:highlight w:val="none"/>
                <w:lang w:val="en-US" w:eastAsia="zh-CN" w:bidi="ar"/>
              </w:rPr>
              <w:t>评审标准（合格制）</w:t>
            </w:r>
          </w:p>
        </w:tc>
      </w:tr>
      <w:tr w14:paraId="66B4A32E">
        <w:tblPrEx>
          <w:tblCellMar>
            <w:top w:w="0" w:type="dxa"/>
            <w:left w:w="0" w:type="dxa"/>
            <w:bottom w:w="0" w:type="dxa"/>
            <w:right w:w="0" w:type="dxa"/>
          </w:tblCellMar>
        </w:tblPrEx>
        <w:trPr>
          <w:trHeight w:val="405" w:hRule="atLeast"/>
        </w:trPr>
        <w:tc>
          <w:tcPr>
            <w:tcW w:w="9796" w:type="dxa"/>
            <w:gridSpan w:val="5"/>
            <w:tcBorders>
              <w:top w:val="nil"/>
              <w:left w:val="nil"/>
              <w:bottom w:val="nil"/>
              <w:right w:val="nil"/>
            </w:tcBorders>
            <w:noWrap w:val="0"/>
            <w:tcMar>
              <w:top w:w="15" w:type="dxa"/>
              <w:left w:w="15" w:type="dxa"/>
              <w:right w:w="15" w:type="dxa"/>
            </w:tcMar>
            <w:vAlign w:val="center"/>
          </w:tcPr>
          <w:p w14:paraId="6C2D7A26">
            <w:pPr>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24"/>
                <w:szCs w:val="24"/>
                <w:highlight w:val="none"/>
                <w:lang w:bidi="ar"/>
              </w:rPr>
              <w:t>项目名称：</w:t>
            </w:r>
          </w:p>
        </w:tc>
      </w:tr>
      <w:tr w14:paraId="74B92DFC">
        <w:tblPrEx>
          <w:tblCellMar>
            <w:top w:w="0" w:type="dxa"/>
            <w:left w:w="0" w:type="dxa"/>
            <w:bottom w:w="0" w:type="dxa"/>
            <w:right w:w="0" w:type="dxa"/>
          </w:tblCellMar>
        </w:tblPrEx>
        <w:trPr>
          <w:trHeight w:val="790" w:hRule="atLeast"/>
        </w:trPr>
        <w:tc>
          <w:tcPr>
            <w:tcW w:w="63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5C708AB">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序号</w:t>
            </w:r>
          </w:p>
        </w:tc>
        <w:tc>
          <w:tcPr>
            <w:tcW w:w="172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9463F25">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评审项目</w:t>
            </w:r>
          </w:p>
        </w:tc>
        <w:tc>
          <w:tcPr>
            <w:tcW w:w="562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37F73A66">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评审标准</w:t>
            </w:r>
          </w:p>
        </w:tc>
        <w:tc>
          <w:tcPr>
            <w:tcW w:w="180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3DB56">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评审意见</w:t>
            </w:r>
            <w:r>
              <w:rPr>
                <w:rFonts w:hint="default" w:ascii="Nimbus Roman No9 L" w:hAnsi="Nimbus Roman No9 L" w:eastAsia="宋体" w:cs="Nimbus Roman No9 L"/>
                <w:b/>
                <w:color w:val="000000"/>
                <w:kern w:val="0"/>
                <w:sz w:val="24"/>
                <w:highlight w:val="none"/>
                <w:lang w:val="en-US" w:eastAsia="zh-CN" w:bidi="ar"/>
              </w:rPr>
              <w:br w:type="textWrapping"/>
            </w:r>
            <w:r>
              <w:rPr>
                <w:rFonts w:hint="default" w:ascii="Nimbus Roman No9 L" w:hAnsi="Nimbus Roman No9 L" w:eastAsia="宋体" w:cs="Nimbus Roman No9 L"/>
                <w:b/>
                <w:color w:val="000000"/>
                <w:kern w:val="0"/>
                <w:sz w:val="24"/>
                <w:highlight w:val="none"/>
                <w:lang w:val="en-US" w:eastAsia="zh-CN" w:bidi="ar"/>
              </w:rPr>
              <w:t>（是否通过）</w:t>
            </w:r>
          </w:p>
        </w:tc>
      </w:tr>
      <w:tr w14:paraId="18B46FA0">
        <w:tblPrEx>
          <w:tblCellMar>
            <w:top w:w="0" w:type="dxa"/>
            <w:left w:w="0" w:type="dxa"/>
            <w:bottom w:w="0" w:type="dxa"/>
            <w:right w:w="0" w:type="dxa"/>
          </w:tblCellMar>
        </w:tblPrEx>
        <w:trPr>
          <w:trHeight w:val="552" w:hRule="atLeast"/>
        </w:trPr>
        <w:tc>
          <w:tcPr>
            <w:tcW w:w="63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794A30B">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p>
        </w:tc>
        <w:tc>
          <w:tcPr>
            <w:tcW w:w="172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08B2AC0">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p>
        </w:tc>
        <w:tc>
          <w:tcPr>
            <w:tcW w:w="562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51D08F5">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76549">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通过</w:t>
            </w: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332E8">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不通过</w:t>
            </w:r>
          </w:p>
        </w:tc>
      </w:tr>
      <w:tr w14:paraId="7B3BC670">
        <w:tblPrEx>
          <w:tblCellMar>
            <w:top w:w="0" w:type="dxa"/>
            <w:left w:w="0" w:type="dxa"/>
            <w:bottom w:w="0" w:type="dxa"/>
            <w:right w:w="0" w:type="dxa"/>
          </w:tblCellMar>
        </w:tblPrEx>
        <w:trPr>
          <w:trHeight w:val="41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838CA">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FB646">
            <w:pPr>
              <w:pStyle w:val="16"/>
              <w:keepNext w:val="0"/>
              <w:keepLines w:val="0"/>
              <w:pageBreakBefore w:val="0"/>
              <w:widowControl/>
              <w:kinsoku/>
              <w:wordWrap/>
              <w:overflowPunct/>
              <w:topLinePunct w:val="0"/>
              <w:autoSpaceDE/>
              <w:autoSpaceDN/>
              <w:bidi w:val="0"/>
              <w:adjustRightInd/>
              <w:snapToGrid/>
              <w:spacing w:before="42" w:line="460" w:lineRule="exact"/>
              <w:ind w:left="4" w:leftChars="0" w:right="0" w:righ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工程概况</w:t>
            </w:r>
          </w:p>
          <w:p w14:paraId="08484B09">
            <w:pPr>
              <w:pStyle w:val="16"/>
              <w:keepNext w:val="0"/>
              <w:keepLines w:val="0"/>
              <w:pageBreakBefore w:val="0"/>
              <w:widowControl/>
              <w:kinsoku/>
              <w:wordWrap/>
              <w:overflowPunct/>
              <w:topLinePunct w:val="0"/>
              <w:autoSpaceDE/>
              <w:autoSpaceDN/>
              <w:bidi w:val="0"/>
              <w:adjustRightInd/>
              <w:snapToGrid/>
              <w:spacing w:before="42" w:line="460" w:lineRule="exact"/>
              <w:ind w:left="4" w:leftChars="0" w:right="0" w:righ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及特点</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EFFD5">
            <w:pPr>
              <w:pStyle w:val="16"/>
              <w:keepNext w:val="0"/>
              <w:keepLines w:val="0"/>
              <w:pageBreakBefore w:val="0"/>
              <w:widowControl/>
              <w:kinsoku/>
              <w:wordWrap/>
              <w:overflowPunct/>
              <w:topLinePunct w:val="0"/>
              <w:autoSpaceDE/>
              <w:autoSpaceDN/>
              <w:bidi w:val="0"/>
              <w:adjustRightInd/>
              <w:snapToGrid/>
              <w:spacing w:before="42" w:line="460" w:lineRule="exact"/>
              <w:ind w:left="4" w:leftChars="0" w:right="0" w:righ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对工程总体概况及特点表述清晰、完整、符合实际</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2ECB01">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582A1">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1E301390">
        <w:tblPrEx>
          <w:tblCellMar>
            <w:top w:w="0" w:type="dxa"/>
            <w:left w:w="0" w:type="dxa"/>
            <w:bottom w:w="0" w:type="dxa"/>
            <w:right w:w="0" w:type="dxa"/>
          </w:tblCellMar>
        </w:tblPrEx>
        <w:trPr>
          <w:trHeight w:val="41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2FB0E">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2</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8D91F">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施工准备计划</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3558C">
            <w:pPr>
              <w:keepNext w:val="0"/>
              <w:keepLines w:val="0"/>
              <w:pageBreakBefore w:val="0"/>
              <w:widowControl/>
              <w:kinsoku/>
              <w:wordWrap/>
              <w:overflowPunct/>
              <w:topLinePunct w:val="0"/>
              <w:autoSpaceDE/>
              <w:autoSpaceDN/>
              <w:bidi w:val="0"/>
              <w:adjustRightInd/>
              <w:snapToGrid/>
              <w:spacing w:line="4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施工技术、现场、物资与机械、队伍准备计划充分保证工程需要</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C70DBB">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A94DE">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560BE5A3">
        <w:tblPrEx>
          <w:tblCellMar>
            <w:top w:w="0" w:type="dxa"/>
            <w:left w:w="0" w:type="dxa"/>
            <w:bottom w:w="0" w:type="dxa"/>
            <w:right w:w="0" w:type="dxa"/>
          </w:tblCellMar>
        </w:tblPrEx>
        <w:trPr>
          <w:trHeight w:val="475"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B46B70">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3</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7F59C">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施工方案</w:t>
            </w:r>
          </w:p>
          <w:p w14:paraId="4B51F1D8">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与技术措施</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B5086A">
            <w:pPr>
              <w:pStyle w:val="16"/>
              <w:keepNext w:val="0"/>
              <w:keepLines w:val="0"/>
              <w:pageBreakBefore w:val="0"/>
              <w:widowControl/>
              <w:kinsoku/>
              <w:wordWrap/>
              <w:overflowPunct/>
              <w:topLinePunct w:val="0"/>
              <w:autoSpaceDE/>
              <w:autoSpaceDN/>
              <w:bidi w:val="0"/>
              <w:adjustRightInd/>
              <w:snapToGrid/>
              <w:spacing w:before="42" w:line="460" w:lineRule="exact"/>
              <w:ind w:left="4"/>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施工方案符合工程实际情况，部署及措施先进、可靠；针对项目的重点、难点分析应透彻，解决方案切实可行；</w:t>
            </w:r>
          </w:p>
          <w:p w14:paraId="052113AE">
            <w:pPr>
              <w:keepNext w:val="0"/>
              <w:keepLines w:val="0"/>
              <w:pageBreakBefore w:val="0"/>
              <w:widowControl/>
              <w:kinsoku/>
              <w:wordWrap/>
              <w:overflowPunct/>
              <w:topLinePunct w:val="0"/>
              <w:autoSpaceDE/>
              <w:autoSpaceDN/>
              <w:bidi w:val="0"/>
              <w:adjustRightInd/>
              <w:snapToGrid/>
              <w:spacing w:line="46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市政基础设施项目，交通组织规划合理、可行，交通组织措施得力。</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D9A4BD">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9DDCC">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0D622ECF">
        <w:tblPrEx>
          <w:tblCellMar>
            <w:top w:w="0" w:type="dxa"/>
            <w:left w:w="0" w:type="dxa"/>
            <w:bottom w:w="0" w:type="dxa"/>
            <w:right w:w="0" w:type="dxa"/>
          </w:tblCellMar>
        </w:tblPrEx>
        <w:trPr>
          <w:trHeight w:val="379"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973E3">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4</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A8B72">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施工进度计划</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1D6743">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进度计划应在空间和时间上做合理的统筹安排且符合施工的科学规律</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A0B89">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89B59">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7DDE76FD">
        <w:tblPrEx>
          <w:tblCellMar>
            <w:top w:w="0" w:type="dxa"/>
            <w:left w:w="0" w:type="dxa"/>
            <w:bottom w:w="0" w:type="dxa"/>
            <w:right w:w="0" w:type="dxa"/>
          </w:tblCellMar>
        </w:tblPrEx>
        <w:trPr>
          <w:trHeight w:val="346"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00497">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5</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D1AA7">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施工平面布置</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E558C0">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施工平面布置应符合工程实际，有针对性、布置合理，满足施工需要，便于施工和管理并符合安全、文明生产要求。</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81F6FB">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3FB9D">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24165844">
        <w:tblPrEx>
          <w:tblCellMar>
            <w:top w:w="0" w:type="dxa"/>
            <w:left w:w="0" w:type="dxa"/>
            <w:bottom w:w="0" w:type="dxa"/>
            <w:right w:w="0" w:type="dxa"/>
          </w:tblCellMar>
        </w:tblPrEx>
        <w:trPr>
          <w:trHeight w:val="40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B2AE9">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6</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DAA14">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劳动力</w:t>
            </w:r>
          </w:p>
          <w:p w14:paraId="6E8516F6">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B86D4A">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劳动力投入计划与施工部署、施工方法及进度计划能够相互呼应并较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56400">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35CD26">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06366231">
        <w:tblPrEx>
          <w:tblCellMar>
            <w:top w:w="0" w:type="dxa"/>
            <w:left w:w="0" w:type="dxa"/>
            <w:bottom w:w="0" w:type="dxa"/>
            <w:right w:w="0" w:type="dxa"/>
          </w:tblCellMar>
        </w:tblPrEx>
        <w:trPr>
          <w:trHeight w:val="1066"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3A060">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7</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C1672">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材料</w:t>
            </w:r>
          </w:p>
          <w:p w14:paraId="0F6806E7">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6FFC2">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材料投入计划与施工部署、施工方法及进度计划能够相互呼应并较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8817D">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618BE">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2FF36DFB">
        <w:tblPrEx>
          <w:tblCellMar>
            <w:top w:w="0" w:type="dxa"/>
            <w:left w:w="0" w:type="dxa"/>
            <w:bottom w:w="0" w:type="dxa"/>
            <w:right w:w="0" w:type="dxa"/>
          </w:tblCellMar>
        </w:tblPrEx>
        <w:trPr>
          <w:trHeight w:val="371"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900F74">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8</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3D118">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机械设备</w:t>
            </w:r>
          </w:p>
          <w:p w14:paraId="57127EE7">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D2832">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机械投入计划与施工部署、施工方法及进度计划能够相互呼应并较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BEFE47">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B89A7">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4FF869A1">
        <w:tblPrEx>
          <w:tblCellMar>
            <w:top w:w="0" w:type="dxa"/>
            <w:left w:w="0" w:type="dxa"/>
            <w:bottom w:w="0" w:type="dxa"/>
            <w:right w:w="0" w:type="dxa"/>
          </w:tblCellMar>
        </w:tblPrEx>
        <w:trPr>
          <w:trHeight w:val="349"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6C3BF">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9</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65B364">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质量保证</w:t>
            </w:r>
          </w:p>
          <w:p w14:paraId="03D2E951">
            <w:pPr>
              <w:pStyle w:val="16"/>
              <w:keepNext w:val="0"/>
              <w:keepLines w:val="0"/>
              <w:pageBreakBefore w:val="0"/>
              <w:widowControl/>
              <w:kinsoku/>
              <w:wordWrap/>
              <w:overflowPunct/>
              <w:topLinePunct w:val="0"/>
              <w:autoSpaceDE/>
              <w:autoSpaceDN/>
              <w:bidi w:val="0"/>
              <w:adjustRightInd/>
              <w:snapToGrid/>
              <w:spacing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措施和体系</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CA83B">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保证措施应符合科学的施工规律、国家规定的强制性标准并有针对性，同时要符合实际情况，切实可行。质量目标明确，管理机构健全，职责分工明确；管理制度齐全；实施措施全面、有效。</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7DCD5">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33D93">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28A0722D">
        <w:tblPrEx>
          <w:tblCellMar>
            <w:top w:w="0" w:type="dxa"/>
            <w:left w:w="0" w:type="dxa"/>
            <w:bottom w:w="0" w:type="dxa"/>
            <w:right w:w="0" w:type="dxa"/>
          </w:tblCellMar>
        </w:tblPrEx>
        <w:trPr>
          <w:trHeight w:val="427"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BD4F5">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10</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B1E1D">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工期保证</w:t>
            </w:r>
          </w:p>
          <w:p w14:paraId="666D72AC">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措施和体系</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47D1B8">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总工期及节点工期满足招标文件要求；施工进度计划内容全面，线路清晰、准确、完整，计划编制合理、可行；措施有力、合理、可行。</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278E14">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67C81">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6E7C1E4B">
        <w:tblPrEx>
          <w:tblCellMar>
            <w:top w:w="0" w:type="dxa"/>
            <w:left w:w="0" w:type="dxa"/>
            <w:bottom w:w="0" w:type="dxa"/>
            <w:right w:w="0" w:type="dxa"/>
          </w:tblCellMar>
        </w:tblPrEx>
        <w:trPr>
          <w:trHeight w:val="62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54732">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11</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77B845">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zh-CN" w:eastAsia="zh-CN" w:bidi="ar-SA"/>
              </w:rPr>
              <w:t>安全保证</w:t>
            </w:r>
          </w:p>
          <w:p w14:paraId="4210874F">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zh-CN" w:eastAsia="zh-CN" w:bidi="ar-SA"/>
              </w:rPr>
              <w:t>措施和体系</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B91AB5">
            <w:pPr>
              <w:pStyle w:val="16"/>
              <w:keepNext w:val="0"/>
              <w:keepLines w:val="0"/>
              <w:pageBreakBefore w:val="0"/>
              <w:widowControl/>
              <w:kinsoku/>
              <w:wordWrap/>
              <w:overflowPunct/>
              <w:topLinePunct w:val="0"/>
              <w:autoSpaceDE/>
              <w:autoSpaceDN/>
              <w:bidi w:val="0"/>
              <w:adjustRightInd/>
              <w:snapToGrid/>
              <w:spacing w:before="32" w:line="460" w:lineRule="exact"/>
              <w:ind w:left="4"/>
              <w:jc w:val="both"/>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保证措施应符合国家及自治区规定的强制性标准并有针对性，同时要符合实际情况，切实可行。</w:t>
            </w:r>
          </w:p>
          <w:p w14:paraId="67B6DF77">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安全目标明确，优于招标文件要求；管理机构健全，职责分工明确；管理制度齐全；实施与监控措施全面、有效。</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C415E1">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48F72">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67F9C262">
        <w:tblPrEx>
          <w:tblCellMar>
            <w:top w:w="0" w:type="dxa"/>
            <w:left w:w="0" w:type="dxa"/>
            <w:bottom w:w="0" w:type="dxa"/>
            <w:right w:w="0" w:type="dxa"/>
          </w:tblCellMar>
        </w:tblPrEx>
        <w:trPr>
          <w:trHeight w:val="62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B8D91">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12</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335F8">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zh-CN" w:eastAsia="zh-CN" w:bidi="ar-SA"/>
              </w:rPr>
              <w:t>现场文明</w:t>
            </w:r>
          </w:p>
          <w:p w14:paraId="7F912A3F">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zh-CN" w:eastAsia="zh-CN" w:bidi="ar-SA"/>
              </w:rPr>
              <w:t>施工措施</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C96BC">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管理措施目标明确，符合工程实际情况，切实可行；管理机构健全，职责分工明确；管理制度齐全；</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5E18B">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95F81E">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49F11DE9">
        <w:tblPrEx>
          <w:tblCellMar>
            <w:top w:w="0" w:type="dxa"/>
            <w:left w:w="0" w:type="dxa"/>
            <w:bottom w:w="0" w:type="dxa"/>
            <w:right w:w="0" w:type="dxa"/>
          </w:tblCellMar>
        </w:tblPrEx>
        <w:trPr>
          <w:trHeight w:val="62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92360">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13</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ED75C5">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智慧工地</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BAA8B">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智慧工地系统应用实施方案切实可行。</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F6D7B">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17BC8">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34759EAD">
        <w:tblPrEx>
          <w:tblCellMar>
            <w:top w:w="0" w:type="dxa"/>
            <w:left w:w="0" w:type="dxa"/>
            <w:bottom w:w="0" w:type="dxa"/>
            <w:right w:w="0" w:type="dxa"/>
          </w:tblCellMar>
        </w:tblPrEx>
        <w:trPr>
          <w:trHeight w:val="62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F9504">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14</w:t>
            </w: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014B3">
            <w:pPr>
              <w:pStyle w:val="16"/>
              <w:keepNext w:val="0"/>
              <w:keepLines w:val="0"/>
              <w:pageBreakBefore w:val="0"/>
              <w:widowControl/>
              <w:kinsoku/>
              <w:wordWrap/>
              <w:overflowPunct/>
              <w:topLinePunct w:val="0"/>
              <w:autoSpaceDE/>
              <w:autoSpaceDN/>
              <w:bidi w:val="0"/>
              <w:adjustRightInd/>
              <w:snapToGrid/>
              <w:spacing w:before="32" w:line="460" w:lineRule="exact"/>
              <w:ind w:left="4"/>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BIM技术应用</w:t>
            </w:r>
          </w:p>
          <w:p w14:paraId="24638E81">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（如有）</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1E577B">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BIM技术应用管理体系健全，管理制度、保障措施齐全；BIM应用流程与计划完整、有效；重点工艺节点及施工流程BIM三维模型科学、合理等。</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5EB1DA">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03F6B">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4CA6F484">
        <w:tblPrEx>
          <w:tblCellMar>
            <w:top w:w="0" w:type="dxa"/>
            <w:left w:w="0" w:type="dxa"/>
            <w:bottom w:w="0" w:type="dxa"/>
            <w:right w:w="0" w:type="dxa"/>
          </w:tblCellMar>
        </w:tblPrEx>
        <w:trPr>
          <w:trHeight w:val="620" w:hRule="atLeast"/>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446DA">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default" w:ascii="Nimbus Roman No9 L" w:hAnsi="Nimbus Roman No9 L" w:eastAsia="宋体" w:cs="Nimbus Roman No9 L"/>
                <w:color w:val="000000"/>
                <w:kern w:val="0"/>
                <w:sz w:val="24"/>
                <w:highlight w:val="none"/>
                <w:lang w:val="en-US" w:eastAsia="zh-CN"/>
              </w:rPr>
            </w:pPr>
          </w:p>
        </w:tc>
        <w:tc>
          <w:tcPr>
            <w:tcW w:w="1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C90533">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highlight w:val="none"/>
                <w:lang w:val="en-US" w:eastAsia="zh-CN"/>
              </w:rPr>
              <w:t>……</w:t>
            </w:r>
          </w:p>
        </w:tc>
        <w:tc>
          <w:tcPr>
            <w:tcW w:w="5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7FDB7">
            <w:pPr>
              <w:pStyle w:val="16"/>
              <w:keepNext w:val="0"/>
              <w:keepLines w:val="0"/>
              <w:pageBreakBefore w:val="0"/>
              <w:widowControl/>
              <w:kinsoku/>
              <w:wordWrap/>
              <w:overflowPunct/>
              <w:topLinePunct w:val="0"/>
              <w:autoSpaceDE/>
              <w:autoSpaceDN/>
              <w:bidi w:val="0"/>
              <w:adjustRightInd/>
              <w:snapToGrid/>
              <w:spacing w:before="32" w:line="46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FECF3">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D970B">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r w14:paraId="016BB660">
        <w:tblPrEx>
          <w:tblCellMar>
            <w:top w:w="0" w:type="dxa"/>
            <w:left w:w="0" w:type="dxa"/>
            <w:bottom w:w="0" w:type="dxa"/>
            <w:right w:w="0" w:type="dxa"/>
          </w:tblCellMar>
        </w:tblPrEx>
        <w:trPr>
          <w:trHeight w:val="620" w:hRule="atLeast"/>
        </w:trPr>
        <w:tc>
          <w:tcPr>
            <w:tcW w:w="798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1F329">
            <w:pPr>
              <w:keepNext w:val="0"/>
              <w:keepLines w:val="0"/>
              <w:pageBreakBefore w:val="0"/>
              <w:widowControl/>
              <w:kinsoku/>
              <w:wordWrap/>
              <w:overflowPunct/>
              <w:topLinePunct w:val="0"/>
              <w:autoSpaceDE/>
              <w:autoSpaceDN/>
              <w:bidi w:val="0"/>
              <w:adjustRightInd/>
              <w:snapToGrid/>
              <w:spacing w:line="460" w:lineRule="exact"/>
              <w:jc w:val="both"/>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结论：是否通过评审</w:t>
            </w:r>
          </w:p>
        </w:tc>
        <w:tc>
          <w:tcPr>
            <w:tcW w:w="9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227B8">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c>
          <w:tcPr>
            <w:tcW w:w="8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F3831D">
            <w:pPr>
              <w:keepNext w:val="0"/>
              <w:keepLines w:val="0"/>
              <w:pageBreakBefore w:val="0"/>
              <w:widowControl/>
              <w:kinsoku/>
              <w:wordWrap/>
              <w:overflowPunct/>
              <w:topLinePunct w:val="0"/>
              <w:autoSpaceDE/>
              <w:autoSpaceDN/>
              <w:bidi w:val="0"/>
              <w:adjustRightInd/>
              <w:snapToGrid/>
              <w:spacing w:line="460" w:lineRule="exact"/>
              <w:jc w:val="center"/>
              <w:rPr>
                <w:rFonts w:hint="default" w:ascii="Nimbus Roman No9 L" w:hAnsi="Nimbus Roman No9 L" w:eastAsia="宋体" w:cs="Nimbus Roman No9 L"/>
                <w:color w:val="000000"/>
                <w:sz w:val="22"/>
                <w:szCs w:val="22"/>
                <w:highlight w:val="none"/>
              </w:rPr>
            </w:pPr>
          </w:p>
        </w:tc>
      </w:tr>
    </w:tbl>
    <w:p w14:paraId="776B39BC">
      <w:pPr>
        <w:pStyle w:val="11"/>
        <w:ind w:left="0" w:leftChars="0" w:firstLine="0" w:firstLineChars="0"/>
        <w:rPr>
          <w:rFonts w:hint="default" w:ascii="Nimbus Roman No9 L" w:hAnsi="Nimbus Roman No9 L" w:eastAsia="仿宋" w:cs="Nimbus Roman No9 L"/>
          <w:b/>
          <w:bCs/>
          <w:sz w:val="32"/>
          <w:szCs w:val="32"/>
          <w:highlight w:val="none"/>
        </w:rPr>
        <w:sectPr>
          <w:pgSz w:w="11906" w:h="16838"/>
          <w:pgMar w:top="2098" w:right="1531" w:bottom="1984" w:left="1531"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pPr>
    </w:p>
    <w:p w14:paraId="5D892A4F">
      <w:pPr>
        <w:spacing w:line="440" w:lineRule="exact"/>
        <w:jc w:val="left"/>
        <w:rPr>
          <w:rFonts w:hint="default" w:ascii="Nimbus Roman No9 L" w:hAnsi="Nimbus Roman No9 L" w:eastAsia="仿宋" w:cs="Nimbus Roman No9 L"/>
          <w:highlight w:val="none"/>
          <w:lang w:eastAsia="zh-CN"/>
        </w:rPr>
      </w:pPr>
      <w:r>
        <w:rPr>
          <w:rFonts w:hint="default" w:ascii="Nimbus Roman No9 L" w:hAnsi="Nimbus Roman No9 L" w:eastAsia="仿宋" w:cs="Nimbus Roman No9 L"/>
          <w:b/>
          <w:bCs/>
          <w:sz w:val="32"/>
          <w:szCs w:val="32"/>
          <w:highlight w:val="none"/>
        </w:rPr>
        <w:t>附表1-</w:t>
      </w:r>
      <w:r>
        <w:rPr>
          <w:rFonts w:hint="default" w:ascii="Nimbus Roman No9 L" w:hAnsi="Nimbus Roman No9 L" w:eastAsia="仿宋" w:cs="Nimbus Roman No9 L"/>
          <w:b/>
          <w:bCs/>
          <w:sz w:val="32"/>
          <w:szCs w:val="32"/>
          <w:highlight w:val="none"/>
          <w:lang w:val="en-US" w:eastAsia="zh-CN"/>
        </w:rPr>
        <w:t>7</w:t>
      </w:r>
    </w:p>
    <w:tbl>
      <w:tblPr>
        <w:tblStyle w:val="12"/>
        <w:tblW w:w="0" w:type="auto"/>
        <w:tblInd w:w="0" w:type="dxa"/>
        <w:tblLayout w:type="fixed"/>
        <w:tblCellMar>
          <w:top w:w="0" w:type="dxa"/>
          <w:left w:w="0" w:type="dxa"/>
          <w:bottom w:w="0" w:type="dxa"/>
          <w:right w:w="0" w:type="dxa"/>
        </w:tblCellMar>
      </w:tblPr>
      <w:tblGrid>
        <w:gridCol w:w="1072"/>
        <w:gridCol w:w="1146"/>
        <w:gridCol w:w="1077"/>
        <w:gridCol w:w="1145"/>
        <w:gridCol w:w="1050"/>
        <w:gridCol w:w="117"/>
        <w:gridCol w:w="1138"/>
        <w:gridCol w:w="1014"/>
        <w:gridCol w:w="1016"/>
      </w:tblGrid>
      <w:tr w14:paraId="2813548D">
        <w:tblPrEx>
          <w:tblCellMar>
            <w:top w:w="0" w:type="dxa"/>
            <w:left w:w="0" w:type="dxa"/>
            <w:bottom w:w="0" w:type="dxa"/>
            <w:right w:w="0" w:type="dxa"/>
          </w:tblCellMar>
        </w:tblPrEx>
        <w:trPr>
          <w:trHeight w:val="780" w:hRule="atLeast"/>
        </w:trPr>
        <w:tc>
          <w:tcPr>
            <w:tcW w:w="8775" w:type="dxa"/>
            <w:gridSpan w:val="9"/>
            <w:tcBorders>
              <w:top w:val="nil"/>
              <w:left w:val="nil"/>
              <w:bottom w:val="nil"/>
              <w:right w:val="nil"/>
            </w:tcBorders>
            <w:noWrap w:val="0"/>
            <w:tcMar>
              <w:top w:w="15" w:type="dxa"/>
              <w:left w:w="15" w:type="dxa"/>
              <w:right w:w="15" w:type="dxa"/>
            </w:tcMar>
            <w:vAlign w:val="center"/>
          </w:tcPr>
          <w:p w14:paraId="5D7942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40"/>
                <w:szCs w:val="40"/>
                <w:highlight w:val="none"/>
              </w:rPr>
            </w:pPr>
            <w:r>
              <w:rPr>
                <w:rFonts w:hint="default" w:ascii="Nimbus Roman No9 L" w:hAnsi="Nimbus Roman No9 L" w:eastAsia="宋体" w:cs="Nimbus Roman No9 L"/>
                <w:b/>
                <w:color w:val="000000"/>
                <w:kern w:val="0"/>
                <w:sz w:val="36"/>
                <w:szCs w:val="36"/>
                <w:highlight w:val="none"/>
                <w:lang w:bidi="ar"/>
              </w:rPr>
              <w:t>综合评估法经济标</w:t>
            </w:r>
            <w:r>
              <w:rPr>
                <w:rFonts w:hint="default" w:ascii="Nimbus Roman No9 L" w:hAnsi="Nimbus Roman No9 L" w:eastAsia="微软雅黑" w:cs="Nimbus Roman No9 L"/>
                <w:b/>
                <w:color w:val="000000"/>
                <w:kern w:val="0"/>
                <w:sz w:val="36"/>
                <w:szCs w:val="36"/>
                <w:highlight w:val="none"/>
                <w:lang w:eastAsia="zh-CN" w:bidi="ar"/>
              </w:rPr>
              <w:t>—</w:t>
            </w:r>
            <w:r>
              <w:rPr>
                <w:rFonts w:hint="default" w:ascii="Nimbus Roman No9 L" w:hAnsi="Nimbus Roman No9 L" w:eastAsia="宋体" w:cs="Nimbus Roman No9 L"/>
                <w:b/>
                <w:color w:val="000000"/>
                <w:kern w:val="0"/>
                <w:sz w:val="36"/>
                <w:szCs w:val="36"/>
                <w:highlight w:val="none"/>
                <w:lang w:val="en-US" w:eastAsia="zh-CN" w:bidi="ar"/>
              </w:rPr>
              <w:t>合理</w:t>
            </w:r>
            <w:r>
              <w:rPr>
                <w:rFonts w:hint="default" w:ascii="Nimbus Roman No9 L" w:hAnsi="Nimbus Roman No9 L" w:eastAsia="宋体" w:cs="Nimbus Roman No9 L"/>
                <w:b/>
                <w:color w:val="000000"/>
                <w:kern w:val="0"/>
                <w:sz w:val="36"/>
                <w:szCs w:val="36"/>
                <w:highlight w:val="none"/>
                <w:lang w:bidi="ar"/>
              </w:rPr>
              <w:t>基准价计算表</w:t>
            </w:r>
          </w:p>
        </w:tc>
      </w:tr>
      <w:tr w14:paraId="0DBAF159">
        <w:tblPrEx>
          <w:tblCellMar>
            <w:top w:w="0" w:type="dxa"/>
            <w:left w:w="0" w:type="dxa"/>
            <w:bottom w:w="0" w:type="dxa"/>
            <w:right w:w="0" w:type="dxa"/>
          </w:tblCellMar>
        </w:tblPrEx>
        <w:trPr>
          <w:trHeight w:val="270" w:hRule="atLeast"/>
        </w:trPr>
        <w:tc>
          <w:tcPr>
            <w:tcW w:w="8775" w:type="dxa"/>
            <w:gridSpan w:val="9"/>
            <w:tcBorders>
              <w:top w:val="nil"/>
              <w:left w:val="nil"/>
              <w:bottom w:val="nil"/>
              <w:right w:val="nil"/>
            </w:tcBorders>
            <w:noWrap w:val="0"/>
            <w:tcMar>
              <w:top w:w="15" w:type="dxa"/>
              <w:left w:w="15" w:type="dxa"/>
              <w:right w:w="15" w:type="dxa"/>
            </w:tcMar>
            <w:vAlign w:val="center"/>
          </w:tcPr>
          <w:p w14:paraId="7C6BEA02">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24"/>
                <w:szCs w:val="24"/>
                <w:highlight w:val="none"/>
                <w:lang w:bidi="ar"/>
              </w:rPr>
              <w:t>项目名称：</w:t>
            </w:r>
          </w:p>
        </w:tc>
      </w:tr>
      <w:tr w14:paraId="3207329F">
        <w:tblPrEx>
          <w:tblCellMar>
            <w:top w:w="0" w:type="dxa"/>
            <w:left w:w="0" w:type="dxa"/>
            <w:bottom w:w="0" w:type="dxa"/>
            <w:right w:w="0" w:type="dxa"/>
          </w:tblCellMar>
        </w:tblPrEx>
        <w:trPr>
          <w:trHeight w:val="285" w:hRule="atLeast"/>
        </w:trPr>
        <w:tc>
          <w:tcPr>
            <w:tcW w:w="8775"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2692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招标控制价部分</w:t>
            </w:r>
          </w:p>
        </w:tc>
      </w:tr>
      <w:tr w14:paraId="2B018094">
        <w:tblPrEx>
          <w:tblCellMar>
            <w:top w:w="0" w:type="dxa"/>
            <w:left w:w="0" w:type="dxa"/>
            <w:bottom w:w="0" w:type="dxa"/>
            <w:right w:w="0" w:type="dxa"/>
          </w:tblCellMar>
        </w:tblPrEx>
        <w:trPr>
          <w:trHeight w:val="289"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D35A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122D0">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0E671BD2">
        <w:tblPrEx>
          <w:tblCellMar>
            <w:top w:w="0" w:type="dxa"/>
            <w:left w:w="0" w:type="dxa"/>
            <w:bottom w:w="0" w:type="dxa"/>
            <w:right w:w="0" w:type="dxa"/>
          </w:tblCellMar>
        </w:tblPrEx>
        <w:trPr>
          <w:trHeight w:val="365" w:hRule="atLeast"/>
        </w:trPr>
        <w:tc>
          <w:tcPr>
            <w:tcW w:w="2218" w:type="dxa"/>
            <w:gridSpan w:val="2"/>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8227D0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其中：</w:t>
            </w:r>
          </w:p>
        </w:tc>
        <w:tc>
          <w:tcPr>
            <w:tcW w:w="338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65AA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暂列金</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FD6D5">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7DE6A4D9">
        <w:tblPrEx>
          <w:tblCellMar>
            <w:top w:w="0" w:type="dxa"/>
            <w:left w:w="0" w:type="dxa"/>
            <w:bottom w:w="0" w:type="dxa"/>
            <w:right w:w="0" w:type="dxa"/>
          </w:tblCellMar>
        </w:tblPrEx>
        <w:trPr>
          <w:trHeight w:val="325"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49B5DE0B">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AFB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kern w:val="0"/>
                <w:sz w:val="24"/>
                <w:highlight w:val="none"/>
                <w:lang w:bidi="ar"/>
              </w:rPr>
              <w:t>专业工程暂估</w:t>
            </w:r>
            <w:r>
              <w:rPr>
                <w:rFonts w:hint="default" w:ascii="Nimbus Roman No9 L" w:hAnsi="Nimbus Roman No9 L" w:eastAsia="宋体" w:cs="Nimbus Roman No9 L"/>
                <w:color w:val="000000"/>
                <w:kern w:val="0"/>
                <w:sz w:val="24"/>
                <w:highlight w:val="none"/>
                <w:lang w:val="en-US" w:eastAsia="zh-CN" w:bidi="ar"/>
              </w:rPr>
              <w:t>价</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F6AD0">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0FB1AA62">
        <w:tblPrEx>
          <w:tblCellMar>
            <w:top w:w="0" w:type="dxa"/>
            <w:left w:w="0" w:type="dxa"/>
            <w:bottom w:w="0" w:type="dxa"/>
            <w:right w:w="0" w:type="dxa"/>
          </w:tblCellMar>
        </w:tblPrEx>
        <w:trPr>
          <w:trHeight w:val="225"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50FA7620">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169C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eastAsia="宋体" w:cs="Nimbus Roman No9 L"/>
                <w:color w:val="000000"/>
                <w:kern w:val="0"/>
                <w:sz w:val="24"/>
                <w:highlight w:val="none"/>
                <w:lang w:val="en-US" w:eastAsia="zh-CN" w:bidi="ar"/>
              </w:rPr>
              <w:t>施工技术专项措施项目暂估价</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AF7306">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5A2DE0DE">
        <w:tblPrEx>
          <w:tblCellMar>
            <w:top w:w="0" w:type="dxa"/>
            <w:left w:w="0" w:type="dxa"/>
            <w:bottom w:w="0" w:type="dxa"/>
            <w:right w:w="0" w:type="dxa"/>
          </w:tblCellMar>
        </w:tblPrEx>
        <w:trPr>
          <w:trHeight w:val="408"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52C68311">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B98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Nimbus Roman No9 L" w:hAnsi="Nimbus Roman No9 L" w:eastAsia="宋体" w:cs="Nimbus Roman No9 L"/>
                <w:color w:val="000000"/>
                <w:kern w:val="0"/>
                <w:sz w:val="24"/>
                <w:highlight w:val="none"/>
                <w:lang w:val="en-US" w:eastAsia="zh-CN" w:bidi="ar"/>
              </w:rPr>
            </w:pPr>
            <w:r>
              <w:rPr>
                <w:rFonts w:hint="eastAsia" w:ascii="Nimbus Roman No9 L" w:hAnsi="Nimbus Roman No9 L" w:cs="Nimbus Roman No9 L"/>
                <w:color w:val="000000"/>
                <w:kern w:val="0"/>
                <w:sz w:val="24"/>
                <w:highlight w:val="none"/>
                <w:lang w:val="en-US" w:eastAsia="zh-CN" w:bidi="ar"/>
              </w:rPr>
              <w:t>增值税</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9ACEA">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0AB51FBA">
        <w:tblPrEx>
          <w:tblCellMar>
            <w:top w:w="0" w:type="dxa"/>
            <w:left w:w="0" w:type="dxa"/>
            <w:bottom w:w="0" w:type="dxa"/>
            <w:right w:w="0" w:type="dxa"/>
          </w:tblCellMar>
        </w:tblPrEx>
        <w:trPr>
          <w:trHeight w:val="438"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769F6838">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79C79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val="en-US" w:bidi="ar"/>
              </w:rPr>
            </w:pPr>
            <w:r>
              <w:rPr>
                <w:rFonts w:hint="eastAsia" w:ascii="Nimbus Roman No9 L" w:hAnsi="Nimbus Roman No9 L" w:cs="Nimbus Roman No9 L"/>
                <w:color w:val="000000"/>
                <w:kern w:val="0"/>
                <w:sz w:val="24"/>
                <w:highlight w:val="none"/>
                <w:lang w:val="en-US" w:eastAsia="zh-CN" w:bidi="ar"/>
              </w:rPr>
              <w:t>安全生产措施费</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0678E">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6D8BF93E">
        <w:tblPrEx>
          <w:tblCellMar>
            <w:top w:w="0" w:type="dxa"/>
            <w:left w:w="0" w:type="dxa"/>
            <w:bottom w:w="0" w:type="dxa"/>
            <w:right w:w="0" w:type="dxa"/>
          </w:tblCellMar>
        </w:tblPrEx>
        <w:trPr>
          <w:trHeight w:val="275"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0FFFBE96">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2650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智慧工地基础配置费用</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E1DFBA">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12A14EC4">
        <w:tblPrEx>
          <w:tblCellMar>
            <w:top w:w="0" w:type="dxa"/>
            <w:left w:w="0" w:type="dxa"/>
            <w:bottom w:w="0" w:type="dxa"/>
            <w:right w:w="0" w:type="dxa"/>
          </w:tblCellMar>
        </w:tblPrEx>
        <w:trPr>
          <w:trHeight w:val="241"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33AC84D7">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1E1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8B13B">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5BF60DAA">
        <w:tblPrEx>
          <w:tblCellMar>
            <w:top w:w="0" w:type="dxa"/>
            <w:left w:w="0" w:type="dxa"/>
            <w:bottom w:w="0" w:type="dxa"/>
            <w:right w:w="0" w:type="dxa"/>
          </w:tblCellMar>
        </w:tblPrEx>
        <w:trPr>
          <w:trHeight w:val="608"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9797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eastAsia="zh-CN" w:bidi="ar"/>
              </w:rPr>
              <w:t>招标控制价（不含P值）的下浮率K</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EAB0D">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5D2E8C04">
        <w:tblPrEx>
          <w:tblCellMar>
            <w:top w:w="0" w:type="dxa"/>
            <w:left w:w="0" w:type="dxa"/>
            <w:bottom w:w="0" w:type="dxa"/>
            <w:right w:w="0" w:type="dxa"/>
          </w:tblCellMar>
        </w:tblPrEx>
        <w:trPr>
          <w:trHeight w:val="423"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64D77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3C226">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2C95FFDE">
        <w:tblPrEx>
          <w:tblCellMar>
            <w:top w:w="0" w:type="dxa"/>
            <w:left w:w="0" w:type="dxa"/>
            <w:bottom w:w="0" w:type="dxa"/>
            <w:right w:w="0" w:type="dxa"/>
          </w:tblCellMar>
        </w:tblPrEx>
        <w:trPr>
          <w:trHeight w:val="209" w:hRule="atLeast"/>
        </w:trPr>
        <w:tc>
          <w:tcPr>
            <w:tcW w:w="8775"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F511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投标报价部分</w:t>
            </w:r>
          </w:p>
        </w:tc>
      </w:tr>
      <w:tr w14:paraId="347F60D4">
        <w:tblPrEx>
          <w:tblCellMar>
            <w:top w:w="0" w:type="dxa"/>
            <w:left w:w="0" w:type="dxa"/>
            <w:bottom w:w="0" w:type="dxa"/>
            <w:right w:w="0" w:type="dxa"/>
          </w:tblCellMar>
        </w:tblPrEx>
        <w:trPr>
          <w:trHeight w:val="381"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CC4E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有效投标人家数</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F8CAC">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1ED1F008">
        <w:tblPrEx>
          <w:tblCellMar>
            <w:top w:w="0" w:type="dxa"/>
            <w:left w:w="0" w:type="dxa"/>
            <w:bottom w:w="0" w:type="dxa"/>
            <w:right w:w="0" w:type="dxa"/>
          </w:tblCellMar>
        </w:tblPrEx>
        <w:trPr>
          <w:trHeight w:val="266"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C2D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是否大于5家</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823416">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是</w:t>
            </w:r>
            <w:r>
              <w:rPr>
                <w:rFonts w:hint="default" w:ascii="Nimbus Roman No9 L" w:hAnsi="Nimbus Roman No9 L" w:eastAsia="宋体" w:cs="Nimbus Roman No9 L"/>
                <w:color w:val="000000"/>
                <w:sz w:val="24"/>
                <w:highlight w:val="none"/>
                <w:lang w:eastAsia="zh-CN"/>
              </w:rPr>
              <w:sym w:font="Wingdings" w:char="00A8"/>
            </w:r>
            <w:r>
              <w:rPr>
                <w:rFonts w:hint="default" w:ascii="Nimbus Roman No9 L" w:hAnsi="Nimbus Roman No9 L" w:eastAsia="宋体" w:cs="Nimbus Roman No9 L"/>
                <w:color w:val="000000"/>
                <w:sz w:val="24"/>
                <w:highlight w:val="none"/>
                <w:lang w:val="en-US" w:eastAsia="zh-CN"/>
              </w:rPr>
              <w:t xml:space="preserve">             </w:t>
            </w:r>
            <w:r>
              <w:rPr>
                <w:rFonts w:hint="default" w:ascii="Nimbus Roman No9 L" w:hAnsi="Nimbus Roman No9 L" w:eastAsia="宋体" w:cs="Nimbus Roman No9 L"/>
                <w:color w:val="000000"/>
                <w:sz w:val="24"/>
                <w:highlight w:val="none"/>
                <w:lang w:eastAsia="zh-CN"/>
              </w:rPr>
              <w:t>否</w:t>
            </w:r>
            <w:r>
              <w:rPr>
                <w:rFonts w:hint="default" w:ascii="Nimbus Roman No9 L" w:hAnsi="Nimbus Roman No9 L" w:eastAsia="宋体" w:cs="Nimbus Roman No9 L"/>
                <w:color w:val="000000"/>
                <w:sz w:val="24"/>
                <w:highlight w:val="none"/>
                <w:lang w:eastAsia="zh-CN"/>
              </w:rPr>
              <w:sym w:font="Wingdings" w:char="00A8"/>
            </w:r>
          </w:p>
        </w:tc>
      </w:tr>
      <w:tr w14:paraId="6EBFB675">
        <w:tblPrEx>
          <w:tblCellMar>
            <w:top w:w="0" w:type="dxa"/>
            <w:left w:w="0" w:type="dxa"/>
            <w:bottom w:w="0" w:type="dxa"/>
            <w:right w:w="0" w:type="dxa"/>
          </w:tblCellMar>
        </w:tblPrEx>
        <w:trPr>
          <w:trHeight w:val="668" w:hRule="atLeast"/>
        </w:trPr>
        <w:tc>
          <w:tcPr>
            <w:tcW w:w="1072"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14:paraId="57CBA8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bidi="ar"/>
              </w:rPr>
              <w:t>投标报价</w:t>
            </w:r>
          </w:p>
          <w:p w14:paraId="7F3AE06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部分</w:t>
            </w:r>
          </w:p>
        </w:tc>
        <w:tc>
          <w:tcPr>
            <w:tcW w:w="1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C461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少于5家</w:t>
            </w:r>
          </w:p>
          <w:p w14:paraId="62CEAF0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val="en-US" w:eastAsia="zh-CN" w:bidi="ar"/>
              </w:rPr>
              <w:t>（不含）</w:t>
            </w:r>
          </w:p>
        </w:tc>
        <w:tc>
          <w:tcPr>
            <w:tcW w:w="6557" w:type="dxa"/>
            <w:gridSpan w:val="7"/>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6782860">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67B0FB7B">
        <w:tblPrEx>
          <w:tblCellMar>
            <w:top w:w="0" w:type="dxa"/>
            <w:left w:w="0" w:type="dxa"/>
            <w:bottom w:w="0" w:type="dxa"/>
            <w:right w:w="0" w:type="dxa"/>
          </w:tblCellMar>
        </w:tblPrEx>
        <w:trPr>
          <w:trHeight w:val="400" w:hRule="atLeast"/>
        </w:trPr>
        <w:tc>
          <w:tcPr>
            <w:tcW w:w="1072"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14:paraId="68E37D0A">
            <w:pPr>
              <w:keepNext w:val="0"/>
              <w:keepLines w:val="0"/>
              <w:pageBreakBefore w:val="0"/>
              <w:widowControl/>
              <w:kinsoku/>
              <w:wordWrap/>
              <w:overflowPunct/>
              <w:topLinePunct w:val="0"/>
              <w:autoSpaceDE/>
              <w:autoSpaceDN/>
              <w:bidi w:val="0"/>
              <w:adjustRightInd/>
              <w:snapToGrid/>
              <w:spacing w:line="360" w:lineRule="exact"/>
              <w:textAlignment w:val="center"/>
              <w:rPr>
                <w:rFonts w:hint="default" w:ascii="Nimbus Roman No9 L" w:hAnsi="Nimbus Roman No9 L" w:eastAsia="宋体" w:cs="Nimbus Roman No9 L"/>
                <w:color w:val="000000"/>
                <w:sz w:val="24"/>
                <w:highlight w:val="none"/>
              </w:rPr>
            </w:pPr>
          </w:p>
        </w:tc>
        <w:tc>
          <w:tcPr>
            <w:tcW w:w="1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EA7E2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val="en-US" w:eastAsia="zh-CN" w:bidi="ar"/>
              </w:rPr>
              <w:t>大于5家（含）</w:t>
            </w:r>
          </w:p>
        </w:tc>
        <w:tc>
          <w:tcPr>
            <w:tcW w:w="6557" w:type="dxa"/>
            <w:gridSpan w:val="7"/>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C852456">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477B600C">
        <w:tblPrEx>
          <w:tblCellMar>
            <w:top w:w="0" w:type="dxa"/>
            <w:left w:w="0" w:type="dxa"/>
            <w:bottom w:w="0" w:type="dxa"/>
            <w:right w:w="0" w:type="dxa"/>
          </w:tblCellMar>
        </w:tblPrEx>
        <w:trPr>
          <w:trHeight w:val="332" w:hRule="atLeast"/>
        </w:trPr>
        <w:tc>
          <w:tcPr>
            <w:tcW w:w="8775"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AE484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val="en-US" w:eastAsia="zh-CN" w:bidi="ar"/>
              </w:rPr>
              <w:t>合理</w:t>
            </w:r>
            <w:r>
              <w:rPr>
                <w:rFonts w:hint="default" w:ascii="Nimbus Roman No9 L" w:hAnsi="Nimbus Roman No9 L" w:eastAsia="宋体" w:cs="Nimbus Roman No9 L"/>
                <w:b/>
                <w:color w:val="000000"/>
                <w:kern w:val="0"/>
                <w:sz w:val="24"/>
                <w:highlight w:val="none"/>
                <w:lang w:bidi="ar"/>
              </w:rPr>
              <w:t>基准价计算</w:t>
            </w:r>
          </w:p>
        </w:tc>
      </w:tr>
      <w:tr w14:paraId="4808DB6F">
        <w:tblPrEx>
          <w:tblCellMar>
            <w:top w:w="0" w:type="dxa"/>
            <w:left w:w="0" w:type="dxa"/>
            <w:bottom w:w="0" w:type="dxa"/>
            <w:right w:w="0" w:type="dxa"/>
          </w:tblCellMar>
        </w:tblPrEx>
        <w:trPr>
          <w:trHeight w:val="269"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00F0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33F2AA">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41C1E445">
        <w:tblPrEx>
          <w:tblCellMar>
            <w:top w:w="0" w:type="dxa"/>
            <w:left w:w="0" w:type="dxa"/>
            <w:bottom w:w="0" w:type="dxa"/>
            <w:right w:w="0" w:type="dxa"/>
          </w:tblCellMar>
        </w:tblPrEx>
        <w:trPr>
          <w:trHeight w:val="335" w:hRule="atLeast"/>
        </w:trPr>
        <w:tc>
          <w:tcPr>
            <w:tcW w:w="2218"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F0B977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投标报价部分</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2B72D">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2C0E8C43">
        <w:tblPrEx>
          <w:tblCellMar>
            <w:top w:w="0" w:type="dxa"/>
            <w:left w:w="0" w:type="dxa"/>
            <w:bottom w:w="0" w:type="dxa"/>
            <w:right w:w="0" w:type="dxa"/>
          </w:tblCellMar>
        </w:tblPrEx>
        <w:trPr>
          <w:trHeight w:val="495" w:hRule="atLeast"/>
        </w:trPr>
        <w:tc>
          <w:tcPr>
            <w:tcW w:w="2218" w:type="dxa"/>
            <w:gridSpan w:val="2"/>
            <w:tcBorders>
              <w:top w:val="nil"/>
              <w:left w:val="single" w:color="auto" w:sz="4" w:space="0"/>
              <w:bottom w:val="nil"/>
              <w:right w:val="nil"/>
            </w:tcBorders>
            <w:noWrap w:val="0"/>
            <w:tcMar>
              <w:top w:w="15" w:type="dxa"/>
              <w:left w:w="15" w:type="dxa"/>
              <w:right w:w="15" w:type="dxa"/>
            </w:tcMar>
            <w:vAlign w:val="center"/>
          </w:tcPr>
          <w:p w14:paraId="59CAD0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eastAsia="zh-CN" w:bidi="ar"/>
              </w:rPr>
            </w:pPr>
            <w:r>
              <w:rPr>
                <w:rFonts w:hint="default" w:ascii="Nimbus Roman No9 L" w:hAnsi="Nimbus Roman No9 L" w:eastAsia="宋体" w:cs="Nimbus Roman No9 L"/>
                <w:color w:val="000000"/>
                <w:kern w:val="0"/>
                <w:sz w:val="24"/>
                <w:highlight w:val="none"/>
                <w:lang w:bidi="ar"/>
              </w:rPr>
              <w:t>评标基准价中</w:t>
            </w:r>
            <w:r>
              <w:rPr>
                <w:rFonts w:hint="default" w:ascii="Nimbus Roman No9 L" w:hAnsi="Nimbus Roman No9 L" w:eastAsia="宋体" w:cs="Nimbus Roman No9 L"/>
                <w:color w:val="000000"/>
                <w:kern w:val="0"/>
                <w:sz w:val="24"/>
                <w:highlight w:val="none"/>
                <w:lang w:eastAsia="zh-CN" w:bidi="ar"/>
              </w:rPr>
              <w:t>招标</w:t>
            </w:r>
          </w:p>
          <w:p w14:paraId="1499A41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控制价权重K1</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8DDCF">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2E26299D">
        <w:tblPrEx>
          <w:tblCellMar>
            <w:top w:w="0" w:type="dxa"/>
            <w:left w:w="0" w:type="dxa"/>
            <w:bottom w:w="0" w:type="dxa"/>
            <w:right w:w="0" w:type="dxa"/>
          </w:tblCellMar>
        </w:tblPrEx>
        <w:trPr>
          <w:trHeight w:val="408" w:hRule="atLeast"/>
        </w:trPr>
        <w:tc>
          <w:tcPr>
            <w:tcW w:w="2218"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E91D96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工程类型</w:t>
            </w:r>
          </w:p>
        </w:tc>
        <w:tc>
          <w:tcPr>
            <w:tcW w:w="10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CBF856">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房屋建筑</w:t>
            </w:r>
          </w:p>
        </w:tc>
        <w:tc>
          <w:tcPr>
            <w:tcW w:w="11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5561A2">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市政公用</w:t>
            </w: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1476B">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轨道交通</w:t>
            </w:r>
          </w:p>
        </w:tc>
        <w:tc>
          <w:tcPr>
            <w:tcW w:w="12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5BA0A">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装饰装修</w:t>
            </w: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A5263">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园林、仿古</w:t>
            </w:r>
          </w:p>
        </w:tc>
        <w:tc>
          <w:tcPr>
            <w:tcW w:w="10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0C6F2B">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安装</w:t>
            </w:r>
          </w:p>
        </w:tc>
      </w:tr>
      <w:tr w14:paraId="43C705F0">
        <w:tblPrEx>
          <w:tblCellMar>
            <w:top w:w="0" w:type="dxa"/>
            <w:left w:w="0" w:type="dxa"/>
            <w:bottom w:w="0" w:type="dxa"/>
            <w:right w:w="0" w:type="dxa"/>
          </w:tblCellMar>
        </w:tblPrEx>
        <w:trPr>
          <w:trHeight w:val="363" w:hRule="atLeast"/>
        </w:trPr>
        <w:tc>
          <w:tcPr>
            <w:tcW w:w="2218"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1B7FEB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K2</w:t>
            </w:r>
          </w:p>
        </w:tc>
        <w:tc>
          <w:tcPr>
            <w:tcW w:w="10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58DA45">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0.9</w:t>
            </w:r>
          </w:p>
        </w:tc>
        <w:tc>
          <w:tcPr>
            <w:tcW w:w="11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70F112">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0.85</w:t>
            </w: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32DCE">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0.88</w:t>
            </w:r>
          </w:p>
        </w:tc>
        <w:tc>
          <w:tcPr>
            <w:tcW w:w="12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F0D06">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0.92</w:t>
            </w: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12DB3">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0.88</w:t>
            </w:r>
          </w:p>
        </w:tc>
        <w:tc>
          <w:tcPr>
            <w:tcW w:w="10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B2034">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0.9</w:t>
            </w:r>
          </w:p>
        </w:tc>
      </w:tr>
      <w:tr w14:paraId="18ED1AD2">
        <w:tblPrEx>
          <w:tblCellMar>
            <w:top w:w="0" w:type="dxa"/>
            <w:left w:w="0" w:type="dxa"/>
            <w:bottom w:w="0" w:type="dxa"/>
            <w:right w:w="0" w:type="dxa"/>
          </w:tblCellMar>
        </w:tblPrEx>
        <w:trPr>
          <w:trHeight w:val="400" w:hRule="atLeast"/>
        </w:trPr>
        <w:tc>
          <w:tcPr>
            <w:tcW w:w="2218"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DAF6DE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val="en-US" w:eastAsia="zh-CN" w:bidi="ar"/>
              </w:rPr>
              <w:t>合理</w:t>
            </w:r>
            <w:r>
              <w:rPr>
                <w:rFonts w:hint="default" w:ascii="Nimbus Roman No9 L" w:hAnsi="Nimbus Roman No9 L" w:eastAsia="宋体" w:cs="Nimbus Roman No9 L"/>
                <w:color w:val="000000"/>
                <w:kern w:val="0"/>
                <w:sz w:val="24"/>
                <w:highlight w:val="none"/>
                <w:lang w:bidi="ar"/>
              </w:rPr>
              <w:t>基准价</w:t>
            </w:r>
          </w:p>
        </w:tc>
        <w:tc>
          <w:tcPr>
            <w:tcW w:w="6557"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F72F8">
            <w:pPr>
              <w:keepNext w:val="0"/>
              <w:keepLines w:val="0"/>
              <w:pageBreakBefore w:val="0"/>
              <w:widowControl/>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bl>
    <w:p w14:paraId="652C5024">
      <w:pPr>
        <w:spacing w:line="440" w:lineRule="exact"/>
        <w:jc w:val="left"/>
        <w:rPr>
          <w:rFonts w:hint="default" w:ascii="Nimbus Roman No9 L" w:hAnsi="Nimbus Roman No9 L" w:eastAsia="仿宋" w:cs="Nimbus Roman No9 L"/>
          <w:highlight w:val="none"/>
          <w:lang w:eastAsia="zh-CN"/>
        </w:rPr>
      </w:pPr>
      <w:r>
        <w:rPr>
          <w:rFonts w:hint="default" w:ascii="Nimbus Roman No9 L" w:hAnsi="Nimbus Roman No9 L" w:eastAsia="仿宋" w:cs="Nimbus Roman No9 L"/>
          <w:b/>
          <w:bCs/>
          <w:sz w:val="32"/>
          <w:szCs w:val="32"/>
          <w:highlight w:val="none"/>
        </w:rPr>
        <w:t>附表1-</w:t>
      </w:r>
      <w:r>
        <w:rPr>
          <w:rFonts w:hint="default" w:ascii="Nimbus Roman No9 L" w:hAnsi="Nimbus Roman No9 L" w:eastAsia="仿宋" w:cs="Nimbus Roman No9 L"/>
          <w:b/>
          <w:bCs/>
          <w:sz w:val="32"/>
          <w:szCs w:val="32"/>
          <w:highlight w:val="none"/>
          <w:lang w:val="en-US" w:eastAsia="zh-CN"/>
        </w:rPr>
        <w:t>8</w:t>
      </w:r>
    </w:p>
    <w:tbl>
      <w:tblPr>
        <w:tblStyle w:val="12"/>
        <w:tblW w:w="0" w:type="auto"/>
        <w:tblInd w:w="0" w:type="dxa"/>
        <w:tblLayout w:type="fixed"/>
        <w:tblCellMar>
          <w:top w:w="0" w:type="dxa"/>
          <w:left w:w="0" w:type="dxa"/>
          <w:bottom w:w="0" w:type="dxa"/>
          <w:right w:w="0" w:type="dxa"/>
        </w:tblCellMar>
      </w:tblPr>
      <w:tblGrid>
        <w:gridCol w:w="1109"/>
        <w:gridCol w:w="1109"/>
        <w:gridCol w:w="3389"/>
        <w:gridCol w:w="3168"/>
      </w:tblGrid>
      <w:tr w14:paraId="2F318231">
        <w:tblPrEx>
          <w:tblCellMar>
            <w:top w:w="0" w:type="dxa"/>
            <w:left w:w="0" w:type="dxa"/>
            <w:bottom w:w="0" w:type="dxa"/>
            <w:right w:w="0" w:type="dxa"/>
          </w:tblCellMar>
        </w:tblPrEx>
        <w:trPr>
          <w:trHeight w:val="780" w:hRule="atLeast"/>
        </w:trPr>
        <w:tc>
          <w:tcPr>
            <w:tcW w:w="8775" w:type="dxa"/>
            <w:gridSpan w:val="4"/>
            <w:tcBorders>
              <w:top w:val="nil"/>
              <w:left w:val="nil"/>
              <w:bottom w:val="nil"/>
              <w:right w:val="nil"/>
            </w:tcBorders>
            <w:noWrap w:val="0"/>
            <w:tcMar>
              <w:top w:w="15" w:type="dxa"/>
              <w:left w:w="15" w:type="dxa"/>
              <w:right w:w="15" w:type="dxa"/>
            </w:tcMar>
            <w:vAlign w:val="center"/>
          </w:tcPr>
          <w:p w14:paraId="40392F0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40"/>
                <w:szCs w:val="40"/>
                <w:highlight w:val="none"/>
              </w:rPr>
            </w:pPr>
            <w:r>
              <w:rPr>
                <w:rFonts w:hint="default" w:ascii="Nimbus Roman No9 L" w:hAnsi="Nimbus Roman No9 L" w:eastAsia="宋体" w:cs="Nimbus Roman No9 L"/>
                <w:b/>
                <w:color w:val="000000"/>
                <w:kern w:val="0"/>
                <w:sz w:val="36"/>
                <w:szCs w:val="36"/>
                <w:highlight w:val="none"/>
                <w:lang w:bidi="ar"/>
              </w:rPr>
              <w:t>综合评估法经济标</w:t>
            </w:r>
            <w:r>
              <w:rPr>
                <w:rFonts w:hint="default" w:ascii="Nimbus Roman No9 L" w:hAnsi="Nimbus Roman No9 L" w:eastAsia="微软雅黑" w:cs="Nimbus Roman No9 L"/>
                <w:b/>
                <w:color w:val="000000"/>
                <w:kern w:val="0"/>
                <w:sz w:val="36"/>
                <w:szCs w:val="36"/>
                <w:highlight w:val="none"/>
                <w:lang w:eastAsia="zh-CN" w:bidi="ar"/>
              </w:rPr>
              <w:t>—</w:t>
            </w:r>
            <w:r>
              <w:rPr>
                <w:rFonts w:hint="default" w:ascii="Nimbus Roman No9 L" w:hAnsi="Nimbus Roman No9 L" w:eastAsia="宋体" w:cs="Nimbus Roman No9 L"/>
                <w:b/>
                <w:color w:val="000000"/>
                <w:kern w:val="0"/>
                <w:sz w:val="36"/>
                <w:szCs w:val="36"/>
                <w:highlight w:val="none"/>
                <w:lang w:eastAsia="zh-CN" w:bidi="ar"/>
              </w:rPr>
              <w:t>评标</w:t>
            </w:r>
            <w:r>
              <w:rPr>
                <w:rFonts w:hint="default" w:ascii="Nimbus Roman No9 L" w:hAnsi="Nimbus Roman No9 L" w:eastAsia="宋体" w:cs="Nimbus Roman No9 L"/>
                <w:b/>
                <w:color w:val="000000"/>
                <w:kern w:val="0"/>
                <w:sz w:val="36"/>
                <w:szCs w:val="36"/>
                <w:highlight w:val="none"/>
                <w:lang w:bidi="ar"/>
              </w:rPr>
              <w:t>基准价计算表</w:t>
            </w:r>
          </w:p>
        </w:tc>
      </w:tr>
      <w:tr w14:paraId="0B4A2CBA">
        <w:tblPrEx>
          <w:tblCellMar>
            <w:top w:w="0" w:type="dxa"/>
            <w:left w:w="0" w:type="dxa"/>
            <w:bottom w:w="0" w:type="dxa"/>
            <w:right w:w="0" w:type="dxa"/>
          </w:tblCellMar>
        </w:tblPrEx>
        <w:trPr>
          <w:trHeight w:val="270" w:hRule="atLeast"/>
        </w:trPr>
        <w:tc>
          <w:tcPr>
            <w:tcW w:w="8775" w:type="dxa"/>
            <w:gridSpan w:val="4"/>
            <w:tcBorders>
              <w:top w:val="nil"/>
              <w:left w:val="nil"/>
              <w:bottom w:val="nil"/>
              <w:right w:val="nil"/>
            </w:tcBorders>
            <w:noWrap w:val="0"/>
            <w:tcMar>
              <w:top w:w="15" w:type="dxa"/>
              <w:left w:w="15" w:type="dxa"/>
              <w:right w:w="15" w:type="dxa"/>
            </w:tcMar>
            <w:vAlign w:val="center"/>
          </w:tcPr>
          <w:p w14:paraId="6F6EC080">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24"/>
                <w:szCs w:val="24"/>
                <w:highlight w:val="none"/>
                <w:lang w:bidi="ar"/>
              </w:rPr>
              <w:t>项目名称：</w:t>
            </w:r>
          </w:p>
        </w:tc>
      </w:tr>
      <w:tr w14:paraId="6E0F94B1">
        <w:tblPrEx>
          <w:tblCellMar>
            <w:top w:w="0" w:type="dxa"/>
            <w:left w:w="0" w:type="dxa"/>
            <w:bottom w:w="0" w:type="dxa"/>
            <w:right w:w="0" w:type="dxa"/>
          </w:tblCellMar>
        </w:tblPrEx>
        <w:trPr>
          <w:trHeight w:val="274" w:hRule="atLeast"/>
        </w:trPr>
        <w:tc>
          <w:tcPr>
            <w:tcW w:w="877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FAE7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招标控制价部分</w:t>
            </w:r>
          </w:p>
        </w:tc>
      </w:tr>
      <w:tr w14:paraId="4AC86F11">
        <w:tblPrEx>
          <w:tblCellMar>
            <w:top w:w="0" w:type="dxa"/>
            <w:left w:w="0" w:type="dxa"/>
            <w:bottom w:w="0" w:type="dxa"/>
            <w:right w:w="0" w:type="dxa"/>
          </w:tblCellMar>
        </w:tblPrEx>
        <w:trPr>
          <w:trHeight w:val="172"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C6C77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83ACF">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2A855ED4">
        <w:tblPrEx>
          <w:tblCellMar>
            <w:top w:w="0" w:type="dxa"/>
            <w:left w:w="0" w:type="dxa"/>
            <w:bottom w:w="0" w:type="dxa"/>
            <w:right w:w="0" w:type="dxa"/>
          </w:tblCellMar>
        </w:tblPrEx>
        <w:trPr>
          <w:trHeight w:val="198" w:hRule="atLeast"/>
        </w:trPr>
        <w:tc>
          <w:tcPr>
            <w:tcW w:w="2218" w:type="dxa"/>
            <w:gridSpan w:val="2"/>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542FBE2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其中：</w:t>
            </w:r>
          </w:p>
        </w:tc>
        <w:tc>
          <w:tcPr>
            <w:tcW w:w="3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1D7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暂列金</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F2416">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2A370DBF">
        <w:tblPrEx>
          <w:tblCellMar>
            <w:top w:w="0" w:type="dxa"/>
            <w:left w:w="0" w:type="dxa"/>
            <w:bottom w:w="0" w:type="dxa"/>
            <w:right w:w="0" w:type="dxa"/>
          </w:tblCellMar>
        </w:tblPrEx>
        <w:trPr>
          <w:trHeight w:val="242"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5196A2E7">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3A20C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kern w:val="0"/>
                <w:sz w:val="24"/>
                <w:highlight w:val="none"/>
                <w:lang w:bidi="ar"/>
              </w:rPr>
              <w:t>专业工程暂估</w:t>
            </w:r>
            <w:r>
              <w:rPr>
                <w:rFonts w:hint="default" w:ascii="Nimbus Roman No9 L" w:hAnsi="Nimbus Roman No9 L" w:eastAsia="宋体" w:cs="Nimbus Roman No9 L"/>
                <w:color w:val="000000"/>
                <w:kern w:val="0"/>
                <w:sz w:val="24"/>
                <w:highlight w:val="none"/>
                <w:lang w:val="en-US" w:eastAsia="zh-CN" w:bidi="ar"/>
              </w:rPr>
              <w:t>价</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D0AED">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00FFDB94">
        <w:tblPrEx>
          <w:tblCellMar>
            <w:top w:w="0" w:type="dxa"/>
            <w:left w:w="0" w:type="dxa"/>
            <w:bottom w:w="0" w:type="dxa"/>
            <w:right w:w="0" w:type="dxa"/>
          </w:tblCellMar>
        </w:tblPrEx>
        <w:trPr>
          <w:trHeight w:val="175"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00BB7E82">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3DE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eastAsia="宋体" w:cs="Nimbus Roman No9 L"/>
                <w:color w:val="000000"/>
                <w:kern w:val="0"/>
                <w:sz w:val="24"/>
                <w:highlight w:val="none"/>
                <w:lang w:val="en-US" w:eastAsia="zh-CN" w:bidi="ar"/>
              </w:rPr>
              <w:t>施工技术专项措施项目暂估价</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7AAFF">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606A4CCD">
        <w:tblPrEx>
          <w:tblCellMar>
            <w:top w:w="0" w:type="dxa"/>
            <w:left w:w="0" w:type="dxa"/>
            <w:bottom w:w="0" w:type="dxa"/>
            <w:right w:w="0" w:type="dxa"/>
          </w:tblCellMar>
        </w:tblPrEx>
        <w:trPr>
          <w:trHeight w:val="125"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6A557294">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B159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cs="Nimbus Roman No9 L"/>
                <w:color w:val="000000"/>
                <w:kern w:val="0"/>
                <w:sz w:val="24"/>
                <w:highlight w:val="none"/>
                <w:lang w:val="en-US" w:eastAsia="zh-CN" w:bidi="ar"/>
              </w:rPr>
              <w:t>增值税</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E10E0">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1C5C54AD">
        <w:tblPrEx>
          <w:tblCellMar>
            <w:top w:w="0" w:type="dxa"/>
            <w:left w:w="0" w:type="dxa"/>
            <w:bottom w:w="0" w:type="dxa"/>
            <w:right w:w="0" w:type="dxa"/>
          </w:tblCellMar>
        </w:tblPrEx>
        <w:trPr>
          <w:trHeight w:val="378"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449AE738">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5F0BF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cs="Nimbus Roman No9 L"/>
                <w:color w:val="000000"/>
                <w:kern w:val="0"/>
                <w:sz w:val="24"/>
                <w:highlight w:val="none"/>
                <w:lang w:val="en-US" w:eastAsia="zh-CN" w:bidi="ar"/>
              </w:rPr>
              <w:t>安全生产措施费</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3061A">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38E2D641">
        <w:tblPrEx>
          <w:tblCellMar>
            <w:top w:w="0" w:type="dxa"/>
            <w:left w:w="0" w:type="dxa"/>
            <w:bottom w:w="0" w:type="dxa"/>
            <w:right w:w="0" w:type="dxa"/>
          </w:tblCellMar>
        </w:tblPrEx>
        <w:trPr>
          <w:trHeight w:val="225"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35D2368A">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812E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智慧工地基础配置费用</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E8167">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54B8B456">
        <w:tblPrEx>
          <w:tblCellMar>
            <w:top w:w="0" w:type="dxa"/>
            <w:left w:w="0" w:type="dxa"/>
            <w:bottom w:w="0" w:type="dxa"/>
            <w:right w:w="0" w:type="dxa"/>
          </w:tblCellMar>
        </w:tblPrEx>
        <w:trPr>
          <w:trHeight w:val="92" w:hRule="atLeast"/>
        </w:trPr>
        <w:tc>
          <w:tcPr>
            <w:tcW w:w="2218"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62F787B9">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c>
          <w:tcPr>
            <w:tcW w:w="33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6174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BBCA8">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r w14:paraId="74198339">
        <w:tblPrEx>
          <w:tblCellMar>
            <w:top w:w="0" w:type="dxa"/>
            <w:left w:w="0" w:type="dxa"/>
            <w:bottom w:w="0" w:type="dxa"/>
            <w:right w:w="0" w:type="dxa"/>
          </w:tblCellMar>
        </w:tblPrEx>
        <w:trPr>
          <w:trHeight w:val="275"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58AE7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eastAsia="zh-CN" w:bidi="ar"/>
              </w:rPr>
              <w:t>招标控制价（不含P值）的下浮率K</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F0876">
            <w:pPr>
              <w:keepNext w:val="0"/>
              <w:keepLines w:val="0"/>
              <w:pageBreakBefore w:val="0"/>
              <w:kinsoku/>
              <w:wordWrap/>
              <w:overflowPunct/>
              <w:topLinePunct w:val="0"/>
              <w:autoSpaceDE/>
              <w:autoSpaceDN/>
              <w:bidi w:val="0"/>
              <w:adjustRightInd/>
              <w:snapToGrid/>
              <w:spacing w:line="360" w:lineRule="exact"/>
              <w:jc w:val="both"/>
              <w:rPr>
                <w:rFonts w:hint="default" w:ascii="Nimbus Roman No9 L" w:hAnsi="Nimbus Roman No9 L" w:eastAsia="宋体" w:cs="Nimbus Roman No9 L"/>
                <w:color w:val="000000"/>
                <w:sz w:val="24"/>
                <w:highlight w:val="none"/>
              </w:rPr>
            </w:pPr>
          </w:p>
        </w:tc>
      </w:tr>
      <w:tr w14:paraId="2637EF91">
        <w:tblPrEx>
          <w:tblCellMar>
            <w:top w:w="0" w:type="dxa"/>
            <w:left w:w="0" w:type="dxa"/>
            <w:bottom w:w="0" w:type="dxa"/>
            <w:right w:w="0" w:type="dxa"/>
          </w:tblCellMar>
        </w:tblPrEx>
        <w:trPr>
          <w:trHeight w:val="241"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86E2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DEEA8">
            <w:pPr>
              <w:pStyle w:val="11"/>
              <w:keepNext w:val="0"/>
              <w:keepLines w:val="0"/>
              <w:pageBreakBefore w:val="0"/>
              <w:kinsoku/>
              <w:wordWrap/>
              <w:overflowPunct/>
              <w:topLinePunct w:val="0"/>
              <w:autoSpaceDE/>
              <w:autoSpaceDN/>
              <w:bidi w:val="0"/>
              <w:adjustRightInd/>
              <w:snapToGrid/>
              <w:spacing w:line="360" w:lineRule="exact"/>
              <w:ind w:left="0" w:leftChars="0" w:firstLine="0" w:firstLineChars="0"/>
              <w:rPr>
                <w:rFonts w:hint="default" w:ascii="Nimbus Roman No9 L" w:hAnsi="Nimbus Roman No9 L" w:cs="Nimbus Roman No9 L"/>
                <w:highlight w:val="none"/>
              </w:rPr>
            </w:pPr>
          </w:p>
        </w:tc>
      </w:tr>
      <w:tr w14:paraId="018D1EC2">
        <w:tblPrEx>
          <w:tblCellMar>
            <w:top w:w="0" w:type="dxa"/>
            <w:left w:w="0" w:type="dxa"/>
            <w:bottom w:w="0" w:type="dxa"/>
            <w:right w:w="0" w:type="dxa"/>
          </w:tblCellMar>
        </w:tblPrEx>
        <w:trPr>
          <w:trHeight w:val="226" w:hRule="atLeast"/>
        </w:trPr>
        <w:tc>
          <w:tcPr>
            <w:tcW w:w="877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031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投标报价部分</w:t>
            </w:r>
          </w:p>
        </w:tc>
      </w:tr>
      <w:tr w14:paraId="2767D37F">
        <w:tblPrEx>
          <w:tblCellMar>
            <w:top w:w="0" w:type="dxa"/>
            <w:left w:w="0" w:type="dxa"/>
            <w:bottom w:w="0" w:type="dxa"/>
            <w:right w:w="0" w:type="dxa"/>
          </w:tblCellMar>
        </w:tblPrEx>
        <w:trPr>
          <w:trHeight w:val="166"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2528E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有效投标人家数</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ADB82">
            <w:pPr>
              <w:keepNext w:val="0"/>
              <w:keepLines w:val="0"/>
              <w:pageBreakBefore w:val="0"/>
              <w:kinsoku/>
              <w:wordWrap/>
              <w:overflowPunct/>
              <w:topLinePunct w:val="0"/>
              <w:autoSpaceDE/>
              <w:autoSpaceDN/>
              <w:bidi w:val="0"/>
              <w:adjustRightInd/>
              <w:snapToGrid/>
              <w:spacing w:line="360" w:lineRule="exact"/>
              <w:jc w:val="both"/>
              <w:rPr>
                <w:rFonts w:hint="default" w:ascii="Nimbus Roman No9 L" w:hAnsi="Nimbus Roman No9 L" w:eastAsia="宋体" w:cs="Nimbus Roman No9 L"/>
                <w:color w:val="000000"/>
                <w:sz w:val="24"/>
                <w:highlight w:val="none"/>
              </w:rPr>
            </w:pPr>
          </w:p>
        </w:tc>
      </w:tr>
      <w:tr w14:paraId="3B3AE977">
        <w:tblPrEx>
          <w:tblCellMar>
            <w:top w:w="0" w:type="dxa"/>
            <w:left w:w="0" w:type="dxa"/>
            <w:bottom w:w="0" w:type="dxa"/>
            <w:right w:w="0" w:type="dxa"/>
          </w:tblCellMar>
        </w:tblPrEx>
        <w:trPr>
          <w:trHeight w:val="255"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F76E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是否大于5家</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ECEAD">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sz w:val="24"/>
                <w:highlight w:val="none"/>
                <w:lang w:eastAsia="zh-CN"/>
              </w:rPr>
              <w:t>是</w:t>
            </w:r>
            <w:r>
              <w:rPr>
                <w:rFonts w:hint="default" w:ascii="Nimbus Roman No9 L" w:hAnsi="Nimbus Roman No9 L" w:eastAsia="宋体" w:cs="Nimbus Roman No9 L"/>
                <w:color w:val="000000"/>
                <w:sz w:val="24"/>
                <w:highlight w:val="none"/>
                <w:lang w:eastAsia="zh-CN"/>
              </w:rPr>
              <w:sym w:font="Wingdings" w:char="00A8"/>
            </w:r>
            <w:r>
              <w:rPr>
                <w:rFonts w:hint="default" w:ascii="Nimbus Roman No9 L" w:hAnsi="Nimbus Roman No9 L" w:eastAsia="宋体" w:cs="Nimbus Roman No9 L"/>
                <w:color w:val="000000"/>
                <w:sz w:val="24"/>
                <w:highlight w:val="none"/>
                <w:lang w:val="en-US" w:eastAsia="zh-CN"/>
              </w:rPr>
              <w:t xml:space="preserve">             </w:t>
            </w:r>
            <w:r>
              <w:rPr>
                <w:rFonts w:hint="default" w:ascii="Nimbus Roman No9 L" w:hAnsi="Nimbus Roman No9 L" w:eastAsia="宋体" w:cs="Nimbus Roman No9 L"/>
                <w:color w:val="000000"/>
                <w:sz w:val="24"/>
                <w:highlight w:val="none"/>
                <w:lang w:eastAsia="zh-CN"/>
              </w:rPr>
              <w:t>否</w:t>
            </w:r>
            <w:r>
              <w:rPr>
                <w:rFonts w:hint="default" w:ascii="Nimbus Roman No9 L" w:hAnsi="Nimbus Roman No9 L" w:eastAsia="宋体" w:cs="Nimbus Roman No9 L"/>
                <w:color w:val="000000"/>
                <w:sz w:val="24"/>
                <w:highlight w:val="none"/>
                <w:lang w:eastAsia="zh-CN"/>
              </w:rPr>
              <w:sym w:font="Wingdings" w:char="00A8"/>
            </w:r>
          </w:p>
        </w:tc>
      </w:tr>
      <w:tr w14:paraId="6902A67D">
        <w:tblPrEx>
          <w:tblCellMar>
            <w:top w:w="0" w:type="dxa"/>
            <w:left w:w="0" w:type="dxa"/>
            <w:bottom w:w="0" w:type="dxa"/>
            <w:right w:w="0" w:type="dxa"/>
          </w:tblCellMar>
        </w:tblPrEx>
        <w:trPr>
          <w:trHeight w:val="341" w:hRule="atLeast"/>
        </w:trPr>
        <w:tc>
          <w:tcPr>
            <w:tcW w:w="110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C6331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bidi="ar"/>
              </w:rPr>
              <w:t>投标报价</w:t>
            </w:r>
          </w:p>
          <w:p w14:paraId="7006A4E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部分</w:t>
            </w:r>
          </w:p>
        </w:tc>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2899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少于5家</w:t>
            </w:r>
          </w:p>
          <w:p w14:paraId="38484B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val="en-US" w:eastAsia="zh-CN" w:bidi="ar"/>
              </w:rPr>
              <w:t>（不含）</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259344">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sz w:val="24"/>
                <w:highlight w:val="none"/>
              </w:rPr>
            </w:pPr>
          </w:p>
        </w:tc>
      </w:tr>
      <w:tr w14:paraId="7AF58178">
        <w:tblPrEx>
          <w:tblCellMar>
            <w:top w:w="0" w:type="dxa"/>
            <w:left w:w="0" w:type="dxa"/>
            <w:bottom w:w="0" w:type="dxa"/>
            <w:right w:w="0" w:type="dxa"/>
          </w:tblCellMar>
        </w:tblPrEx>
        <w:trPr>
          <w:trHeight w:val="358" w:hRule="atLeast"/>
        </w:trPr>
        <w:tc>
          <w:tcPr>
            <w:tcW w:w="110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255B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p>
        </w:tc>
        <w:tc>
          <w:tcPr>
            <w:tcW w:w="11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80BC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val="en-US" w:eastAsia="zh-CN" w:bidi="ar"/>
              </w:rPr>
              <w:t>大于5家（含）</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57DE2">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default" w:ascii="Nimbus Roman No9 L" w:hAnsi="Nimbus Roman No9 L" w:eastAsia="宋体" w:cs="Nimbus Roman No9 L"/>
                <w:color w:val="000000"/>
                <w:sz w:val="24"/>
                <w:highlight w:val="none"/>
              </w:rPr>
            </w:pPr>
          </w:p>
        </w:tc>
      </w:tr>
      <w:tr w14:paraId="0FAD3BB6">
        <w:tblPrEx>
          <w:tblCellMar>
            <w:top w:w="0" w:type="dxa"/>
            <w:left w:w="0" w:type="dxa"/>
            <w:bottom w:w="0" w:type="dxa"/>
            <w:right w:w="0" w:type="dxa"/>
          </w:tblCellMar>
        </w:tblPrEx>
        <w:trPr>
          <w:trHeight w:val="302" w:hRule="atLeast"/>
        </w:trPr>
        <w:tc>
          <w:tcPr>
            <w:tcW w:w="877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1370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评标基准价计算</w:t>
            </w:r>
          </w:p>
        </w:tc>
      </w:tr>
      <w:tr w14:paraId="60F3C40C">
        <w:tblPrEx>
          <w:tblCellMar>
            <w:top w:w="0" w:type="dxa"/>
            <w:left w:w="0" w:type="dxa"/>
            <w:bottom w:w="0" w:type="dxa"/>
            <w:right w:w="0" w:type="dxa"/>
          </w:tblCellMar>
        </w:tblPrEx>
        <w:trPr>
          <w:trHeight w:val="328" w:hRule="atLeast"/>
        </w:trPr>
        <w:tc>
          <w:tcPr>
            <w:tcW w:w="22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B8745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C1041E">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0D872858">
        <w:tblPrEx>
          <w:tblCellMar>
            <w:top w:w="0" w:type="dxa"/>
            <w:left w:w="0" w:type="dxa"/>
            <w:bottom w:w="0" w:type="dxa"/>
            <w:right w:w="0" w:type="dxa"/>
          </w:tblCellMar>
        </w:tblPrEx>
        <w:trPr>
          <w:trHeight w:val="590" w:hRule="atLeast"/>
        </w:trPr>
        <w:tc>
          <w:tcPr>
            <w:tcW w:w="2218"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7973C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投标报价部分</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519F0D">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3254DF8D">
        <w:tblPrEx>
          <w:tblCellMar>
            <w:top w:w="0" w:type="dxa"/>
            <w:left w:w="0" w:type="dxa"/>
            <w:bottom w:w="0" w:type="dxa"/>
            <w:right w:w="0" w:type="dxa"/>
          </w:tblCellMar>
        </w:tblPrEx>
        <w:trPr>
          <w:trHeight w:val="400" w:hRule="atLeast"/>
        </w:trPr>
        <w:tc>
          <w:tcPr>
            <w:tcW w:w="2218" w:type="dxa"/>
            <w:gridSpan w:val="2"/>
            <w:tcBorders>
              <w:top w:val="nil"/>
              <w:left w:val="single" w:color="auto" w:sz="4" w:space="0"/>
              <w:bottom w:val="nil"/>
              <w:right w:val="nil"/>
            </w:tcBorders>
            <w:noWrap w:val="0"/>
            <w:tcMar>
              <w:top w:w="15" w:type="dxa"/>
              <w:left w:w="15" w:type="dxa"/>
              <w:right w:w="15" w:type="dxa"/>
            </w:tcMar>
            <w:vAlign w:val="center"/>
          </w:tcPr>
          <w:p w14:paraId="7A7B251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评标基准价中控制价权重K1</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44D33">
            <w:pPr>
              <w:keepNext w:val="0"/>
              <w:keepLines w:val="0"/>
              <w:pageBreakBefore w:val="0"/>
              <w:kinsoku/>
              <w:wordWrap/>
              <w:overflowPunct/>
              <w:topLinePunct w:val="0"/>
              <w:autoSpaceDE/>
              <w:autoSpaceDN/>
              <w:bidi w:val="0"/>
              <w:adjustRightInd/>
              <w:snapToGrid/>
              <w:spacing w:line="360" w:lineRule="exact"/>
              <w:jc w:val="center"/>
              <w:rPr>
                <w:rFonts w:hint="default" w:ascii="Nimbus Roman No9 L" w:hAnsi="Nimbus Roman No9 L" w:eastAsia="宋体" w:cs="Nimbus Roman No9 L"/>
                <w:color w:val="000000"/>
                <w:sz w:val="24"/>
                <w:highlight w:val="none"/>
              </w:rPr>
            </w:pPr>
          </w:p>
        </w:tc>
      </w:tr>
      <w:tr w14:paraId="2ED1C536">
        <w:tblPrEx>
          <w:tblCellMar>
            <w:top w:w="0" w:type="dxa"/>
            <w:left w:w="0" w:type="dxa"/>
            <w:bottom w:w="0" w:type="dxa"/>
            <w:right w:w="0" w:type="dxa"/>
          </w:tblCellMar>
        </w:tblPrEx>
        <w:trPr>
          <w:trHeight w:val="738" w:hRule="atLeast"/>
        </w:trPr>
        <w:tc>
          <w:tcPr>
            <w:tcW w:w="2218"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22DB31A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评标基准价</w:t>
            </w:r>
          </w:p>
        </w:tc>
        <w:tc>
          <w:tcPr>
            <w:tcW w:w="65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74681">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color w:val="000000"/>
                <w:sz w:val="24"/>
                <w:highlight w:val="none"/>
              </w:rPr>
            </w:pPr>
          </w:p>
        </w:tc>
      </w:tr>
    </w:tbl>
    <w:p w14:paraId="0936498D">
      <w:pPr>
        <w:rPr>
          <w:rFonts w:hint="default" w:ascii="Nimbus Roman No9 L" w:hAnsi="Nimbus Roman No9 L" w:eastAsia="仿宋_GB2312" w:cs="Nimbus Roman No9 L"/>
          <w:sz w:val="24"/>
          <w:szCs w:val="22"/>
          <w:highlight w:val="none"/>
        </w:rPr>
      </w:pPr>
      <w:r>
        <w:rPr>
          <w:rFonts w:hint="default" w:ascii="Nimbus Roman No9 L" w:hAnsi="Nimbus Roman No9 L" w:eastAsia="仿宋_GB2312" w:cs="Nimbus Roman No9 L"/>
          <w:sz w:val="24"/>
          <w:szCs w:val="22"/>
          <w:highlight w:val="none"/>
        </w:rPr>
        <w:br w:type="page"/>
      </w:r>
    </w:p>
    <w:p w14:paraId="309E33CA">
      <w:pPr>
        <w:spacing w:line="440" w:lineRule="exact"/>
        <w:jc w:val="left"/>
        <w:rPr>
          <w:rFonts w:hint="default" w:ascii="Nimbus Roman No9 L" w:hAnsi="Nimbus Roman No9 L" w:eastAsia="仿宋" w:cs="Nimbus Roman No9 L"/>
          <w:b/>
          <w:bCs/>
          <w:sz w:val="32"/>
          <w:szCs w:val="32"/>
          <w:highlight w:val="none"/>
          <w:lang w:eastAsia="zh-CN"/>
        </w:rPr>
      </w:pPr>
      <w:r>
        <w:rPr>
          <w:rFonts w:hint="default" w:ascii="Nimbus Roman No9 L" w:hAnsi="Nimbus Roman No9 L" w:eastAsia="仿宋" w:cs="Nimbus Roman No9 L"/>
          <w:b/>
          <w:bCs/>
          <w:sz w:val="32"/>
          <w:szCs w:val="32"/>
          <w:highlight w:val="none"/>
        </w:rPr>
        <w:t>附表1-</w:t>
      </w:r>
      <w:r>
        <w:rPr>
          <w:rFonts w:hint="default" w:ascii="Nimbus Roman No9 L" w:hAnsi="Nimbus Roman No9 L" w:eastAsia="仿宋" w:cs="Nimbus Roman No9 L"/>
          <w:b/>
          <w:bCs/>
          <w:sz w:val="32"/>
          <w:szCs w:val="32"/>
          <w:highlight w:val="none"/>
          <w:lang w:val="en-US" w:eastAsia="zh-CN"/>
        </w:rPr>
        <w:t>9</w:t>
      </w:r>
    </w:p>
    <w:tbl>
      <w:tblPr>
        <w:tblStyle w:val="12"/>
        <w:tblpPr w:leftFromText="180" w:rightFromText="180" w:vertAnchor="text" w:horzAnchor="page" w:tblpX="1053" w:tblpY="648"/>
        <w:tblOverlap w:val="never"/>
        <w:tblW w:w="0" w:type="auto"/>
        <w:tblInd w:w="0" w:type="dxa"/>
        <w:tblLayout w:type="fixed"/>
        <w:tblCellMar>
          <w:top w:w="0" w:type="dxa"/>
          <w:left w:w="0" w:type="dxa"/>
          <w:bottom w:w="0" w:type="dxa"/>
          <w:right w:w="0" w:type="dxa"/>
        </w:tblCellMar>
      </w:tblPr>
      <w:tblGrid>
        <w:gridCol w:w="1800"/>
        <w:gridCol w:w="1678"/>
        <w:gridCol w:w="1609"/>
        <w:gridCol w:w="1582"/>
        <w:gridCol w:w="1609"/>
        <w:gridCol w:w="1649"/>
      </w:tblGrid>
      <w:tr w14:paraId="336EF253">
        <w:tblPrEx>
          <w:tblCellMar>
            <w:top w:w="0" w:type="dxa"/>
            <w:left w:w="0" w:type="dxa"/>
            <w:bottom w:w="0" w:type="dxa"/>
            <w:right w:w="0" w:type="dxa"/>
          </w:tblCellMar>
        </w:tblPrEx>
        <w:trPr>
          <w:trHeight w:val="660" w:hRule="atLeast"/>
        </w:trPr>
        <w:tc>
          <w:tcPr>
            <w:tcW w:w="9927" w:type="dxa"/>
            <w:gridSpan w:val="6"/>
            <w:tcBorders>
              <w:top w:val="nil"/>
              <w:left w:val="nil"/>
              <w:bottom w:val="nil"/>
              <w:right w:val="nil"/>
            </w:tcBorders>
            <w:noWrap w:val="0"/>
            <w:tcMar>
              <w:top w:w="15" w:type="dxa"/>
              <w:left w:w="15" w:type="dxa"/>
              <w:right w:w="15" w:type="dxa"/>
            </w:tcMar>
            <w:vAlign w:val="center"/>
          </w:tcPr>
          <w:p w14:paraId="1334B1CC">
            <w:pPr>
              <w:widowControl/>
              <w:jc w:val="center"/>
              <w:textAlignment w:val="center"/>
              <w:rPr>
                <w:rFonts w:hint="default" w:ascii="Nimbus Roman No9 L" w:hAnsi="Nimbus Roman No9 L" w:eastAsia="宋体" w:cs="Nimbus Roman No9 L"/>
                <w:b/>
                <w:color w:val="000000"/>
                <w:sz w:val="40"/>
                <w:szCs w:val="40"/>
                <w:highlight w:val="none"/>
              </w:rPr>
            </w:pPr>
            <w:r>
              <w:rPr>
                <w:rFonts w:hint="default" w:ascii="Nimbus Roman No9 L" w:hAnsi="Nimbus Roman No9 L" w:eastAsia="宋体" w:cs="Nimbus Roman No9 L"/>
                <w:b/>
                <w:color w:val="000000"/>
                <w:kern w:val="0"/>
                <w:sz w:val="36"/>
                <w:szCs w:val="36"/>
                <w:highlight w:val="none"/>
                <w:lang w:bidi="ar"/>
              </w:rPr>
              <w:t>综合评估法</w:t>
            </w:r>
            <w:r>
              <w:rPr>
                <w:rFonts w:hint="default" w:ascii="Nimbus Roman No9 L" w:hAnsi="Nimbus Roman No9 L" w:eastAsia="微软雅黑" w:cs="Nimbus Roman No9 L"/>
                <w:b/>
                <w:color w:val="000000"/>
                <w:kern w:val="0"/>
                <w:sz w:val="36"/>
                <w:szCs w:val="36"/>
                <w:highlight w:val="none"/>
                <w:lang w:eastAsia="zh-CN" w:bidi="ar"/>
              </w:rPr>
              <w:t>—</w:t>
            </w:r>
            <w:r>
              <w:rPr>
                <w:rFonts w:hint="default" w:ascii="Nimbus Roman No9 L" w:hAnsi="Nimbus Roman No9 L" w:eastAsia="宋体" w:cs="Nimbus Roman No9 L"/>
                <w:b/>
                <w:color w:val="000000"/>
                <w:kern w:val="0"/>
                <w:sz w:val="36"/>
                <w:szCs w:val="36"/>
                <w:highlight w:val="none"/>
                <w:lang w:bidi="ar"/>
              </w:rPr>
              <w:t>经济标计分表</w:t>
            </w:r>
          </w:p>
        </w:tc>
      </w:tr>
      <w:tr w14:paraId="20CDD75D">
        <w:tblPrEx>
          <w:tblCellMar>
            <w:top w:w="0" w:type="dxa"/>
            <w:left w:w="0" w:type="dxa"/>
            <w:bottom w:w="0" w:type="dxa"/>
            <w:right w:w="0" w:type="dxa"/>
          </w:tblCellMar>
        </w:tblPrEx>
        <w:trPr>
          <w:trHeight w:val="380" w:hRule="atLeast"/>
        </w:trPr>
        <w:tc>
          <w:tcPr>
            <w:tcW w:w="9927" w:type="dxa"/>
            <w:gridSpan w:val="6"/>
            <w:tcBorders>
              <w:top w:val="nil"/>
              <w:left w:val="nil"/>
              <w:bottom w:val="nil"/>
              <w:right w:val="nil"/>
            </w:tcBorders>
            <w:noWrap w:val="0"/>
            <w:tcMar>
              <w:top w:w="15" w:type="dxa"/>
              <w:left w:w="15" w:type="dxa"/>
              <w:right w:w="15" w:type="dxa"/>
            </w:tcMar>
            <w:vAlign w:val="center"/>
          </w:tcPr>
          <w:p w14:paraId="5B5A95CB">
            <w:pPr>
              <w:widowControl/>
              <w:jc w:val="left"/>
              <w:textAlignment w:val="center"/>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24"/>
                <w:szCs w:val="24"/>
                <w:highlight w:val="none"/>
                <w:lang w:bidi="ar"/>
              </w:rPr>
              <w:t>项目名称：</w:t>
            </w:r>
          </w:p>
        </w:tc>
      </w:tr>
      <w:tr w14:paraId="69BC93C6">
        <w:tblPrEx>
          <w:tblCellMar>
            <w:top w:w="0" w:type="dxa"/>
            <w:left w:w="0" w:type="dxa"/>
            <w:bottom w:w="0" w:type="dxa"/>
            <w:right w:w="0" w:type="dxa"/>
          </w:tblCellMar>
        </w:tblPrEx>
        <w:trPr>
          <w:trHeight w:val="600" w:hRule="atLeast"/>
        </w:trPr>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96AB86">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单位名称</w:t>
            </w:r>
          </w:p>
        </w:tc>
        <w:tc>
          <w:tcPr>
            <w:tcW w:w="16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E536C">
            <w:pPr>
              <w:jc w:val="cente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D827DC">
            <w:pPr>
              <w:jc w:val="center"/>
              <w:rPr>
                <w:rFonts w:hint="default" w:ascii="Nimbus Roman No9 L" w:hAnsi="Nimbus Roman No9 L" w:eastAsia="宋体" w:cs="Nimbus Roman No9 L"/>
                <w:color w:val="000000"/>
                <w:sz w:val="24"/>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388E0B">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71C69E">
            <w:pPr>
              <w:rPr>
                <w:rFonts w:hint="default" w:ascii="Nimbus Roman No9 L" w:hAnsi="Nimbus Roman No9 L" w:eastAsia="宋体" w:cs="Nimbus Roman No9 L"/>
                <w:color w:val="000000"/>
                <w:sz w:val="24"/>
                <w:highlight w:val="none"/>
              </w:rPr>
            </w:pPr>
          </w:p>
        </w:tc>
        <w:tc>
          <w:tcPr>
            <w:tcW w:w="16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8195D">
            <w:pPr>
              <w:rPr>
                <w:rFonts w:hint="default" w:ascii="Nimbus Roman No9 L" w:hAnsi="Nimbus Roman No9 L" w:eastAsia="宋体" w:cs="Nimbus Roman No9 L"/>
                <w:color w:val="000000"/>
                <w:sz w:val="24"/>
                <w:highlight w:val="none"/>
              </w:rPr>
            </w:pPr>
          </w:p>
        </w:tc>
      </w:tr>
      <w:tr w14:paraId="735B9F02">
        <w:tblPrEx>
          <w:tblCellMar>
            <w:top w:w="0" w:type="dxa"/>
            <w:left w:w="0" w:type="dxa"/>
            <w:bottom w:w="0" w:type="dxa"/>
            <w:right w:w="0" w:type="dxa"/>
          </w:tblCellMar>
        </w:tblPrEx>
        <w:trPr>
          <w:trHeight w:val="600" w:hRule="atLeast"/>
        </w:trPr>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ED0A61">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投标报价</w:t>
            </w:r>
          </w:p>
        </w:tc>
        <w:tc>
          <w:tcPr>
            <w:tcW w:w="16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2FF72">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6281D">
            <w:pPr>
              <w:rPr>
                <w:rFonts w:hint="default" w:ascii="Nimbus Roman No9 L" w:hAnsi="Nimbus Roman No9 L" w:eastAsia="宋体" w:cs="Nimbus Roman No9 L"/>
                <w:color w:val="000000"/>
                <w:sz w:val="24"/>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0AA2B0">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F7B67">
            <w:pPr>
              <w:rPr>
                <w:rFonts w:hint="default" w:ascii="Nimbus Roman No9 L" w:hAnsi="Nimbus Roman No9 L" w:eastAsia="宋体" w:cs="Nimbus Roman No9 L"/>
                <w:color w:val="000000"/>
                <w:sz w:val="24"/>
                <w:highlight w:val="none"/>
              </w:rPr>
            </w:pPr>
          </w:p>
        </w:tc>
        <w:tc>
          <w:tcPr>
            <w:tcW w:w="16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72288">
            <w:pPr>
              <w:rPr>
                <w:rFonts w:hint="default" w:ascii="Nimbus Roman No9 L" w:hAnsi="Nimbus Roman No9 L" w:eastAsia="宋体" w:cs="Nimbus Roman No9 L"/>
                <w:color w:val="000000"/>
                <w:sz w:val="24"/>
                <w:highlight w:val="none"/>
              </w:rPr>
            </w:pPr>
          </w:p>
        </w:tc>
      </w:tr>
      <w:tr w14:paraId="5853634F">
        <w:tblPrEx>
          <w:tblCellMar>
            <w:top w:w="0" w:type="dxa"/>
            <w:left w:w="0" w:type="dxa"/>
            <w:bottom w:w="0" w:type="dxa"/>
            <w:right w:w="0" w:type="dxa"/>
          </w:tblCellMar>
        </w:tblPrEx>
        <w:trPr>
          <w:trHeight w:val="600" w:hRule="atLeast"/>
        </w:trPr>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E0BE50">
            <w:pPr>
              <w:widowControl/>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修正报价</w:t>
            </w:r>
          </w:p>
        </w:tc>
        <w:tc>
          <w:tcPr>
            <w:tcW w:w="16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DA7AA">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818FD2">
            <w:pPr>
              <w:rPr>
                <w:rFonts w:hint="default" w:ascii="Nimbus Roman No9 L" w:hAnsi="Nimbus Roman No9 L" w:eastAsia="宋体" w:cs="Nimbus Roman No9 L"/>
                <w:color w:val="000000"/>
                <w:sz w:val="24"/>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6C55D3">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ADCFC">
            <w:pPr>
              <w:rPr>
                <w:rFonts w:hint="default" w:ascii="Nimbus Roman No9 L" w:hAnsi="Nimbus Roman No9 L" w:eastAsia="宋体" w:cs="Nimbus Roman No9 L"/>
                <w:color w:val="000000"/>
                <w:sz w:val="24"/>
                <w:highlight w:val="none"/>
              </w:rPr>
            </w:pPr>
          </w:p>
        </w:tc>
        <w:tc>
          <w:tcPr>
            <w:tcW w:w="16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65AA4A">
            <w:pPr>
              <w:rPr>
                <w:rFonts w:hint="default" w:ascii="Nimbus Roman No9 L" w:hAnsi="Nimbus Roman No9 L" w:eastAsia="宋体" w:cs="Nimbus Roman No9 L"/>
                <w:color w:val="000000"/>
                <w:sz w:val="24"/>
                <w:highlight w:val="none"/>
              </w:rPr>
            </w:pPr>
          </w:p>
        </w:tc>
      </w:tr>
      <w:tr w14:paraId="466F4230">
        <w:tblPrEx>
          <w:tblCellMar>
            <w:top w:w="0" w:type="dxa"/>
            <w:left w:w="0" w:type="dxa"/>
            <w:bottom w:w="0" w:type="dxa"/>
            <w:right w:w="0" w:type="dxa"/>
          </w:tblCellMar>
        </w:tblPrEx>
        <w:trPr>
          <w:trHeight w:val="600" w:hRule="atLeast"/>
        </w:trPr>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6C647">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评标基准价</w:t>
            </w:r>
          </w:p>
        </w:tc>
        <w:tc>
          <w:tcPr>
            <w:tcW w:w="16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DCFCDE">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0BFDD">
            <w:pPr>
              <w:rPr>
                <w:rFonts w:hint="default" w:ascii="Nimbus Roman No9 L" w:hAnsi="Nimbus Roman No9 L" w:eastAsia="宋体" w:cs="Nimbus Roman No9 L"/>
                <w:color w:val="000000"/>
                <w:sz w:val="24"/>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148A5">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9EB1E">
            <w:pPr>
              <w:rPr>
                <w:rFonts w:hint="default" w:ascii="Nimbus Roman No9 L" w:hAnsi="Nimbus Roman No9 L" w:eastAsia="宋体" w:cs="Nimbus Roman No9 L"/>
                <w:color w:val="000000"/>
                <w:sz w:val="24"/>
                <w:highlight w:val="none"/>
              </w:rPr>
            </w:pPr>
          </w:p>
        </w:tc>
        <w:tc>
          <w:tcPr>
            <w:tcW w:w="16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5213E">
            <w:pPr>
              <w:rPr>
                <w:rFonts w:hint="default" w:ascii="Nimbus Roman No9 L" w:hAnsi="Nimbus Roman No9 L" w:eastAsia="宋体" w:cs="Nimbus Roman No9 L"/>
                <w:color w:val="000000"/>
                <w:sz w:val="24"/>
                <w:highlight w:val="none"/>
              </w:rPr>
            </w:pPr>
          </w:p>
        </w:tc>
      </w:tr>
      <w:tr w14:paraId="273ECCD9">
        <w:tblPrEx>
          <w:tblCellMar>
            <w:top w:w="0" w:type="dxa"/>
            <w:left w:w="0" w:type="dxa"/>
            <w:bottom w:w="0" w:type="dxa"/>
            <w:right w:w="0" w:type="dxa"/>
          </w:tblCellMar>
        </w:tblPrEx>
        <w:trPr>
          <w:trHeight w:val="600" w:hRule="atLeast"/>
        </w:trPr>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CF343">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偏差率</w:t>
            </w:r>
          </w:p>
        </w:tc>
        <w:tc>
          <w:tcPr>
            <w:tcW w:w="16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1CA9A">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EFFAB">
            <w:pPr>
              <w:rPr>
                <w:rFonts w:hint="default" w:ascii="Nimbus Roman No9 L" w:hAnsi="Nimbus Roman No9 L" w:eastAsia="宋体" w:cs="Nimbus Roman No9 L"/>
                <w:color w:val="000000"/>
                <w:sz w:val="24"/>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C8AA5">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37B1A">
            <w:pPr>
              <w:rPr>
                <w:rFonts w:hint="default" w:ascii="Nimbus Roman No9 L" w:hAnsi="Nimbus Roman No9 L" w:eastAsia="宋体" w:cs="Nimbus Roman No9 L"/>
                <w:color w:val="000000"/>
                <w:sz w:val="24"/>
                <w:highlight w:val="none"/>
              </w:rPr>
            </w:pPr>
          </w:p>
        </w:tc>
        <w:tc>
          <w:tcPr>
            <w:tcW w:w="16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948A0">
            <w:pPr>
              <w:rPr>
                <w:rFonts w:hint="default" w:ascii="Nimbus Roman No9 L" w:hAnsi="Nimbus Roman No9 L" w:eastAsia="宋体" w:cs="Nimbus Roman No9 L"/>
                <w:color w:val="000000"/>
                <w:sz w:val="24"/>
                <w:highlight w:val="none"/>
              </w:rPr>
            </w:pPr>
          </w:p>
        </w:tc>
      </w:tr>
      <w:tr w14:paraId="63474DA8">
        <w:tblPrEx>
          <w:tblCellMar>
            <w:top w:w="0" w:type="dxa"/>
            <w:left w:w="0" w:type="dxa"/>
            <w:bottom w:w="0" w:type="dxa"/>
            <w:right w:w="0" w:type="dxa"/>
          </w:tblCellMar>
        </w:tblPrEx>
        <w:trPr>
          <w:trHeight w:val="600" w:hRule="atLeast"/>
        </w:trPr>
        <w:tc>
          <w:tcPr>
            <w:tcW w:w="18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B2628">
            <w:pPr>
              <w:widowControl/>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计算得分</w:t>
            </w:r>
          </w:p>
        </w:tc>
        <w:tc>
          <w:tcPr>
            <w:tcW w:w="167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5996B">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78DDA">
            <w:pPr>
              <w:rPr>
                <w:rFonts w:hint="default" w:ascii="Nimbus Roman No9 L" w:hAnsi="Nimbus Roman No9 L" w:eastAsia="宋体" w:cs="Nimbus Roman No9 L"/>
                <w:color w:val="000000"/>
                <w:sz w:val="24"/>
                <w:highlight w:val="none"/>
              </w:rPr>
            </w:pPr>
          </w:p>
        </w:tc>
        <w:tc>
          <w:tcPr>
            <w:tcW w:w="15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CBF72">
            <w:pPr>
              <w:rPr>
                <w:rFonts w:hint="default" w:ascii="Nimbus Roman No9 L" w:hAnsi="Nimbus Roman No9 L" w:eastAsia="宋体" w:cs="Nimbus Roman No9 L"/>
                <w:color w:val="000000"/>
                <w:sz w:val="24"/>
                <w:highlight w:val="none"/>
              </w:rPr>
            </w:pPr>
          </w:p>
        </w:tc>
        <w:tc>
          <w:tcPr>
            <w:tcW w:w="16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ABF00">
            <w:pPr>
              <w:rPr>
                <w:rFonts w:hint="default" w:ascii="Nimbus Roman No9 L" w:hAnsi="Nimbus Roman No9 L" w:eastAsia="宋体" w:cs="Nimbus Roman No9 L"/>
                <w:color w:val="000000"/>
                <w:sz w:val="24"/>
                <w:highlight w:val="none"/>
              </w:rPr>
            </w:pPr>
          </w:p>
        </w:tc>
        <w:tc>
          <w:tcPr>
            <w:tcW w:w="16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90230">
            <w:pPr>
              <w:rPr>
                <w:rFonts w:hint="default" w:ascii="Nimbus Roman No9 L" w:hAnsi="Nimbus Roman No9 L" w:eastAsia="宋体" w:cs="Nimbus Roman No9 L"/>
                <w:color w:val="000000"/>
                <w:sz w:val="24"/>
                <w:highlight w:val="none"/>
              </w:rPr>
            </w:pPr>
          </w:p>
        </w:tc>
      </w:tr>
      <w:tr w14:paraId="268D5BAB">
        <w:tblPrEx>
          <w:tblCellMar>
            <w:top w:w="0" w:type="dxa"/>
            <w:left w:w="0" w:type="dxa"/>
            <w:bottom w:w="0" w:type="dxa"/>
            <w:right w:w="0" w:type="dxa"/>
          </w:tblCellMar>
        </w:tblPrEx>
        <w:trPr>
          <w:trHeight w:val="270" w:hRule="atLeast"/>
        </w:trPr>
        <w:tc>
          <w:tcPr>
            <w:tcW w:w="1800" w:type="dxa"/>
            <w:tcBorders>
              <w:top w:val="nil"/>
              <w:left w:val="nil"/>
              <w:bottom w:val="nil"/>
              <w:right w:val="nil"/>
            </w:tcBorders>
            <w:noWrap w:val="0"/>
            <w:tcMar>
              <w:top w:w="15" w:type="dxa"/>
              <w:left w:w="15" w:type="dxa"/>
              <w:right w:w="15" w:type="dxa"/>
            </w:tcMar>
            <w:vAlign w:val="center"/>
          </w:tcPr>
          <w:p w14:paraId="2DB6894B">
            <w:pPr>
              <w:widowControl/>
              <w:jc w:val="left"/>
              <w:textAlignment w:val="center"/>
              <w:rPr>
                <w:rFonts w:hint="default" w:ascii="Nimbus Roman No9 L" w:hAnsi="Nimbus Roman No9 L" w:eastAsia="宋体" w:cs="Nimbus Roman No9 L"/>
                <w:color w:val="000000"/>
                <w:sz w:val="22"/>
                <w:szCs w:val="22"/>
                <w:highlight w:val="none"/>
              </w:rPr>
            </w:pPr>
          </w:p>
        </w:tc>
        <w:tc>
          <w:tcPr>
            <w:tcW w:w="1678" w:type="dxa"/>
            <w:tcBorders>
              <w:top w:val="nil"/>
              <w:left w:val="nil"/>
              <w:bottom w:val="nil"/>
              <w:right w:val="nil"/>
            </w:tcBorders>
            <w:noWrap w:val="0"/>
            <w:tcMar>
              <w:top w:w="15" w:type="dxa"/>
              <w:left w:w="15" w:type="dxa"/>
              <w:right w:w="15" w:type="dxa"/>
            </w:tcMar>
            <w:vAlign w:val="center"/>
          </w:tcPr>
          <w:p w14:paraId="01EF2A39">
            <w:pPr>
              <w:rPr>
                <w:rFonts w:hint="default" w:ascii="Nimbus Roman No9 L" w:hAnsi="Nimbus Roman No9 L" w:eastAsia="宋体" w:cs="Nimbus Roman No9 L"/>
                <w:color w:val="000000"/>
                <w:sz w:val="22"/>
                <w:szCs w:val="22"/>
                <w:highlight w:val="none"/>
              </w:rPr>
            </w:pPr>
          </w:p>
        </w:tc>
        <w:tc>
          <w:tcPr>
            <w:tcW w:w="1609" w:type="dxa"/>
            <w:tcBorders>
              <w:top w:val="nil"/>
              <w:left w:val="nil"/>
              <w:bottom w:val="nil"/>
              <w:right w:val="nil"/>
            </w:tcBorders>
            <w:noWrap w:val="0"/>
            <w:tcMar>
              <w:top w:w="15" w:type="dxa"/>
              <w:left w:w="15" w:type="dxa"/>
              <w:right w:w="15" w:type="dxa"/>
            </w:tcMar>
            <w:vAlign w:val="center"/>
          </w:tcPr>
          <w:p w14:paraId="7D24B591">
            <w:pPr>
              <w:rPr>
                <w:rFonts w:hint="default" w:ascii="Nimbus Roman No9 L" w:hAnsi="Nimbus Roman No9 L" w:eastAsia="宋体" w:cs="Nimbus Roman No9 L"/>
                <w:color w:val="000000"/>
                <w:sz w:val="22"/>
                <w:szCs w:val="22"/>
                <w:highlight w:val="none"/>
              </w:rPr>
            </w:pPr>
          </w:p>
        </w:tc>
        <w:tc>
          <w:tcPr>
            <w:tcW w:w="1582" w:type="dxa"/>
            <w:tcBorders>
              <w:top w:val="nil"/>
              <w:left w:val="nil"/>
              <w:bottom w:val="nil"/>
              <w:right w:val="nil"/>
            </w:tcBorders>
            <w:noWrap w:val="0"/>
            <w:tcMar>
              <w:top w:w="15" w:type="dxa"/>
              <w:left w:w="15" w:type="dxa"/>
              <w:right w:w="15" w:type="dxa"/>
            </w:tcMar>
            <w:vAlign w:val="center"/>
          </w:tcPr>
          <w:p w14:paraId="043518E6">
            <w:pPr>
              <w:rPr>
                <w:rFonts w:hint="default" w:ascii="Nimbus Roman No9 L" w:hAnsi="Nimbus Roman No9 L" w:eastAsia="宋体" w:cs="Nimbus Roman No9 L"/>
                <w:color w:val="000000"/>
                <w:sz w:val="22"/>
                <w:szCs w:val="22"/>
                <w:highlight w:val="none"/>
              </w:rPr>
            </w:pPr>
          </w:p>
        </w:tc>
        <w:tc>
          <w:tcPr>
            <w:tcW w:w="1609" w:type="dxa"/>
            <w:tcBorders>
              <w:top w:val="nil"/>
              <w:left w:val="nil"/>
              <w:bottom w:val="nil"/>
              <w:right w:val="nil"/>
            </w:tcBorders>
            <w:noWrap w:val="0"/>
            <w:tcMar>
              <w:top w:w="15" w:type="dxa"/>
              <w:left w:w="15" w:type="dxa"/>
              <w:right w:w="15" w:type="dxa"/>
            </w:tcMar>
            <w:vAlign w:val="center"/>
          </w:tcPr>
          <w:p w14:paraId="183B3F2D">
            <w:pPr>
              <w:rPr>
                <w:rFonts w:hint="default" w:ascii="Nimbus Roman No9 L" w:hAnsi="Nimbus Roman No9 L" w:eastAsia="宋体" w:cs="Nimbus Roman No9 L"/>
                <w:color w:val="000000"/>
                <w:sz w:val="22"/>
                <w:szCs w:val="22"/>
                <w:highlight w:val="none"/>
              </w:rPr>
            </w:pPr>
          </w:p>
        </w:tc>
        <w:tc>
          <w:tcPr>
            <w:tcW w:w="1649" w:type="dxa"/>
            <w:tcBorders>
              <w:top w:val="nil"/>
              <w:left w:val="nil"/>
              <w:bottom w:val="nil"/>
              <w:right w:val="nil"/>
            </w:tcBorders>
            <w:noWrap w:val="0"/>
            <w:tcMar>
              <w:top w:w="15" w:type="dxa"/>
              <w:left w:w="15" w:type="dxa"/>
              <w:right w:w="15" w:type="dxa"/>
            </w:tcMar>
            <w:vAlign w:val="center"/>
          </w:tcPr>
          <w:p w14:paraId="6486804A">
            <w:pPr>
              <w:rPr>
                <w:rFonts w:hint="default" w:ascii="Nimbus Roman No9 L" w:hAnsi="Nimbus Roman No9 L" w:eastAsia="宋体" w:cs="Nimbus Roman No9 L"/>
                <w:color w:val="000000"/>
                <w:sz w:val="22"/>
                <w:szCs w:val="22"/>
                <w:highlight w:val="none"/>
              </w:rPr>
            </w:pPr>
          </w:p>
        </w:tc>
      </w:tr>
    </w:tbl>
    <w:p w14:paraId="63AF7649">
      <w:pPr>
        <w:spacing w:line="540" w:lineRule="exact"/>
        <w:jc w:val="left"/>
        <w:rPr>
          <w:rFonts w:hint="eastAsia" w:ascii="黑体" w:hAnsi="黑体" w:eastAsia="黑体" w:cs="黑体"/>
          <w:b w:val="0"/>
          <w:bCs w:val="0"/>
          <w:sz w:val="32"/>
          <w:szCs w:val="32"/>
          <w:highlight w:val="none"/>
        </w:rPr>
      </w:pPr>
      <w:r>
        <w:rPr>
          <w:rFonts w:hint="default" w:ascii="Nimbus Roman No9 L" w:hAnsi="Nimbus Roman No9 L" w:eastAsia="仿宋_GB2312" w:cs="Nimbus Roman No9 L"/>
          <w:sz w:val="24"/>
          <w:szCs w:val="22"/>
          <w:highlight w:val="none"/>
        </w:rPr>
        <w:br w:type="page"/>
      </w:r>
      <w:r>
        <w:rPr>
          <w:rFonts w:hint="eastAsia" w:ascii="黑体" w:hAnsi="黑体" w:eastAsia="黑体" w:cs="黑体"/>
          <w:b w:val="0"/>
          <w:bCs w:val="0"/>
          <w:sz w:val="32"/>
          <w:szCs w:val="32"/>
          <w:highlight w:val="none"/>
          <w:lang w:eastAsia="zh-CN"/>
        </w:rPr>
        <w:t>附件</w:t>
      </w:r>
      <w:r>
        <w:rPr>
          <w:rFonts w:hint="eastAsia" w:ascii="黑体" w:hAnsi="黑体" w:eastAsia="黑体" w:cs="黑体"/>
          <w:b w:val="0"/>
          <w:bCs w:val="0"/>
          <w:sz w:val="32"/>
          <w:szCs w:val="32"/>
          <w:highlight w:val="none"/>
        </w:rPr>
        <w:t>2</w:t>
      </w:r>
    </w:p>
    <w:p w14:paraId="6A5572B5">
      <w:pPr>
        <w:spacing w:line="540" w:lineRule="exact"/>
        <w:jc w:val="left"/>
        <w:rPr>
          <w:rFonts w:hint="eastAsia" w:ascii="黑体" w:hAnsi="黑体" w:eastAsia="黑体" w:cs="黑体"/>
          <w:b w:val="0"/>
          <w:bCs w:val="0"/>
          <w:sz w:val="32"/>
          <w:szCs w:val="32"/>
          <w:highlight w:val="none"/>
        </w:rPr>
      </w:pPr>
    </w:p>
    <w:p w14:paraId="478B05C3">
      <w:pPr>
        <w:keepNext w:val="0"/>
        <w:keepLines w:val="0"/>
        <w:pageBreakBefore w:val="0"/>
        <w:widowControl/>
        <w:shd w:val="clear" w:color="auto" w:fill="FFFFFF"/>
        <w:kinsoku/>
        <w:wordWrap/>
        <w:overflowPunct/>
        <w:topLinePunct w:val="0"/>
        <w:autoSpaceDE/>
        <w:autoSpaceDN/>
        <w:bidi w:val="0"/>
        <w:adjustRightInd/>
        <w:snapToGrid/>
        <w:spacing w:line="540" w:lineRule="exact"/>
        <w:jc w:val="center"/>
        <w:textAlignment w:val="auto"/>
        <w:rPr>
          <w:rFonts w:hint="default" w:ascii="Nimbus Roman No9 L" w:hAnsi="Nimbus Roman No9 L" w:eastAsia="方正公文小标宋" w:cs="Nimbus Roman No9 L"/>
          <w:b w:val="0"/>
          <w:bCs w:val="0"/>
          <w:spacing w:val="-17"/>
          <w:kern w:val="0"/>
          <w:sz w:val="44"/>
          <w:szCs w:val="44"/>
          <w:highlight w:val="none"/>
        </w:rPr>
      </w:pPr>
      <w:r>
        <w:rPr>
          <w:rFonts w:hint="default" w:ascii="Nimbus Roman No9 L" w:hAnsi="Nimbus Roman No9 L" w:eastAsia="方正公文小标宋" w:cs="Nimbus Roman No9 L"/>
          <w:b w:val="0"/>
          <w:bCs w:val="0"/>
          <w:spacing w:val="-17"/>
          <w:kern w:val="0"/>
          <w:sz w:val="44"/>
          <w:szCs w:val="44"/>
          <w:highlight w:val="none"/>
        </w:rPr>
        <w:t>建筑工程施工评标标准</w:t>
      </w:r>
      <w:r>
        <w:rPr>
          <w:rFonts w:hint="eastAsia" w:ascii="Nimbus Roman No9 L" w:hAnsi="Nimbus Roman No9 L" w:eastAsia="方正公文小标宋" w:cs="Nimbus Roman No9 L"/>
          <w:b w:val="0"/>
          <w:bCs w:val="0"/>
          <w:spacing w:val="-17"/>
          <w:kern w:val="0"/>
          <w:sz w:val="44"/>
          <w:szCs w:val="44"/>
          <w:highlight w:val="none"/>
          <w:lang w:eastAsia="zh-CN"/>
        </w:rPr>
        <w:t>—</w:t>
      </w:r>
      <w:r>
        <w:rPr>
          <w:rFonts w:hint="default" w:ascii="Nimbus Roman No9 L" w:hAnsi="Nimbus Roman No9 L" w:eastAsia="方正公文小标宋" w:cs="Nimbus Roman No9 L"/>
          <w:b w:val="0"/>
          <w:bCs w:val="0"/>
          <w:spacing w:val="-17"/>
          <w:kern w:val="0"/>
          <w:sz w:val="44"/>
          <w:szCs w:val="44"/>
          <w:highlight w:val="none"/>
        </w:rPr>
        <w:t>经评审的最低投标价法</w:t>
      </w:r>
    </w:p>
    <w:p w14:paraId="61955719">
      <w:pPr>
        <w:pStyle w:val="11"/>
        <w:spacing w:line="540" w:lineRule="exact"/>
        <w:rPr>
          <w:rFonts w:hint="default"/>
          <w:lang w:val="en-US" w:eastAsia="zh-CN"/>
        </w:rPr>
      </w:pPr>
    </w:p>
    <w:p w14:paraId="67BA4B3F">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黑体" w:cs="Nimbus Roman No9 L"/>
          <w:b w:val="0"/>
          <w:bCs w:val="0"/>
          <w:kern w:val="2"/>
          <w:sz w:val="32"/>
          <w:szCs w:val="32"/>
          <w:highlight w:val="none"/>
          <w:lang w:val="en-US" w:eastAsia="zh-CN" w:bidi="ar-SA"/>
        </w:rPr>
      </w:pPr>
      <w:r>
        <w:rPr>
          <w:rFonts w:hint="default" w:ascii="Nimbus Roman No9 L" w:hAnsi="Nimbus Roman No9 L" w:eastAsia="黑体" w:cs="Nimbus Roman No9 L"/>
          <w:b w:val="0"/>
          <w:bCs w:val="0"/>
          <w:kern w:val="2"/>
          <w:sz w:val="32"/>
          <w:szCs w:val="32"/>
          <w:highlight w:val="none"/>
          <w:lang w:val="en-US" w:eastAsia="zh-CN" w:bidi="ar-SA"/>
        </w:rPr>
        <w:t>一、适用范围</w:t>
      </w:r>
    </w:p>
    <w:p w14:paraId="5E2F4A3B">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适用于具有通用技术、性能标准或招标人对其技术、性能没有特殊要求的建筑工程施工项目。</w:t>
      </w:r>
    </w:p>
    <w:p w14:paraId="0B73FE6F">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符合下列情形之一的，应当采用</w:t>
      </w:r>
      <w:r>
        <w:rPr>
          <w:rFonts w:hint="default" w:ascii="Nimbus Roman No9 L" w:hAnsi="Nimbus Roman No9 L" w:eastAsia="仿宋_GB2312" w:cs="Nimbus Roman No9 L"/>
          <w:sz w:val="32"/>
          <w:szCs w:val="32"/>
          <w:highlight w:val="none"/>
        </w:rPr>
        <w:t>经评审的最低投标价法</w:t>
      </w:r>
      <w:r>
        <w:rPr>
          <w:rFonts w:hint="default" w:ascii="Nimbus Roman No9 L" w:hAnsi="Nimbus Roman No9 L" w:eastAsia="仿宋_GB2312" w:cs="Nimbus Roman No9 L"/>
          <w:kern w:val="2"/>
          <w:sz w:val="32"/>
          <w:szCs w:val="32"/>
          <w:highlight w:val="none"/>
          <w:lang w:val="en-US" w:eastAsia="zh-CN" w:bidi="ar-SA"/>
        </w:rPr>
        <w:t>：</w:t>
      </w:r>
    </w:p>
    <w:p w14:paraId="600F18CA">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kern w:val="2"/>
          <w:sz w:val="32"/>
          <w:szCs w:val="32"/>
          <w:highlight w:val="none"/>
          <w:lang w:val="en-US" w:eastAsia="zh-CN" w:bidi="ar-SA"/>
        </w:rPr>
      </w:pPr>
      <w:r>
        <w:rPr>
          <w:rFonts w:hint="eastAsia" w:ascii="Nimbus Roman No9 L" w:hAnsi="Nimbus Roman No9 L" w:eastAsia="仿宋_GB2312" w:cs="Nimbus Roman No9 L"/>
          <w:kern w:val="2"/>
          <w:sz w:val="32"/>
          <w:szCs w:val="32"/>
          <w:highlight w:val="none"/>
          <w:lang w:val="en-US" w:eastAsia="zh-CN" w:bidi="ar-SA"/>
        </w:rPr>
        <w:t>1.</w:t>
      </w:r>
      <w:r>
        <w:rPr>
          <w:rFonts w:hint="default" w:ascii="Nimbus Roman No9 L" w:hAnsi="Nimbus Roman No9 L" w:eastAsia="仿宋_GB2312" w:cs="Nimbus Roman No9 L"/>
          <w:kern w:val="2"/>
          <w:sz w:val="32"/>
          <w:szCs w:val="32"/>
          <w:highlight w:val="none"/>
          <w:lang w:val="en-US" w:eastAsia="zh-CN" w:bidi="ar-SA"/>
        </w:rPr>
        <w:t>施工总承包工程招标控制价在2000万元（不含）以下的；</w:t>
      </w:r>
    </w:p>
    <w:p w14:paraId="4193B9E0">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kern w:val="2"/>
          <w:sz w:val="32"/>
          <w:szCs w:val="32"/>
          <w:highlight w:val="none"/>
          <w:lang w:val="en-US" w:eastAsia="zh-CN" w:bidi="ar-SA"/>
        </w:rPr>
      </w:pPr>
      <w:r>
        <w:rPr>
          <w:rFonts w:hint="eastAsia" w:ascii="Nimbus Roman No9 L" w:hAnsi="Nimbus Roman No9 L" w:eastAsia="仿宋_GB2312" w:cs="Nimbus Roman No9 L"/>
          <w:kern w:val="2"/>
          <w:sz w:val="32"/>
          <w:szCs w:val="32"/>
          <w:highlight w:val="none"/>
          <w:lang w:val="en-US" w:eastAsia="zh-CN" w:bidi="ar-SA"/>
        </w:rPr>
        <w:t>2.</w:t>
      </w:r>
      <w:r>
        <w:rPr>
          <w:rFonts w:hint="default" w:ascii="Nimbus Roman No9 L" w:hAnsi="Nimbus Roman No9 L" w:eastAsia="仿宋_GB2312" w:cs="Nimbus Roman No9 L"/>
          <w:kern w:val="2"/>
          <w:sz w:val="32"/>
          <w:szCs w:val="32"/>
          <w:highlight w:val="none"/>
          <w:lang w:val="en-US" w:eastAsia="zh-CN" w:bidi="ar-SA"/>
        </w:rPr>
        <w:t>专业承包工程招标控制价在800万元（不含）以下的。</w:t>
      </w:r>
    </w:p>
    <w:p w14:paraId="5C5A78A0">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cs="Nimbus Roman No9 L"/>
          <w:highlight w:val="none"/>
          <w:lang w:val="en-US" w:eastAsia="zh-CN"/>
        </w:rPr>
      </w:pPr>
      <w:r>
        <w:rPr>
          <w:rFonts w:hint="default" w:ascii="Nimbus Roman No9 L" w:hAnsi="Nimbus Roman No9 L" w:eastAsia="黑体" w:cs="Nimbus Roman No9 L"/>
          <w:sz w:val="32"/>
          <w:szCs w:val="32"/>
          <w:highlight w:val="none"/>
          <w:lang w:val="en-US" w:eastAsia="zh-CN"/>
        </w:rPr>
        <w:t>二、</w:t>
      </w:r>
      <w:r>
        <w:rPr>
          <w:rFonts w:hint="default" w:ascii="Nimbus Roman No9 L" w:hAnsi="Nimbus Roman No9 L" w:eastAsia="黑体" w:cs="Nimbus Roman No9 L"/>
          <w:sz w:val="32"/>
          <w:szCs w:val="32"/>
          <w:highlight w:val="none"/>
        </w:rPr>
        <w:t>评审程序与方法</w:t>
      </w:r>
    </w:p>
    <w:p w14:paraId="024CCFE1">
      <w:pPr>
        <w:pStyle w:val="2"/>
        <w:keepNext w:val="0"/>
        <w:keepLines w:val="0"/>
        <w:pageBreakBefore w:val="0"/>
        <w:kinsoku/>
        <w:wordWrap/>
        <w:overflowPunct/>
        <w:topLinePunct w:val="0"/>
        <w:autoSpaceDE/>
        <w:autoSpaceDN/>
        <w:bidi w:val="0"/>
        <w:snapToGrid/>
        <w:spacing w:line="540" w:lineRule="exact"/>
        <w:ind w:left="0" w:leftChars="0" w:firstLine="640" w:firstLineChars="200"/>
        <w:rPr>
          <w:rFonts w:hint="default" w:ascii="Nimbus Roman No9 L" w:hAnsi="Nimbus Roman No9 L" w:eastAsia="楷体" w:cs="Nimbus Roman No9 L"/>
          <w:sz w:val="32"/>
          <w:szCs w:val="32"/>
          <w:highlight w:val="none"/>
        </w:rPr>
      </w:pPr>
      <w:r>
        <w:rPr>
          <w:rFonts w:hint="default" w:ascii="Nimbus Roman No9 L" w:hAnsi="Nimbus Roman No9 L" w:eastAsia="楷体" w:cs="Nimbus Roman No9 L"/>
          <w:sz w:val="32"/>
          <w:szCs w:val="32"/>
          <w:highlight w:val="none"/>
          <w:lang w:eastAsia="zh-CN"/>
        </w:rPr>
        <w:t>（</w:t>
      </w:r>
      <w:r>
        <w:rPr>
          <w:rFonts w:hint="default" w:ascii="Nimbus Roman No9 L" w:hAnsi="Nimbus Roman No9 L" w:eastAsia="楷体" w:cs="Nimbus Roman No9 L"/>
          <w:sz w:val="32"/>
          <w:szCs w:val="32"/>
          <w:highlight w:val="none"/>
        </w:rPr>
        <w:t>一</w:t>
      </w:r>
      <w:r>
        <w:rPr>
          <w:rFonts w:hint="default" w:ascii="Nimbus Roman No9 L" w:hAnsi="Nimbus Roman No9 L" w:eastAsia="楷体" w:cs="Nimbus Roman No9 L"/>
          <w:sz w:val="32"/>
          <w:szCs w:val="32"/>
          <w:highlight w:val="none"/>
          <w:lang w:eastAsia="zh-CN"/>
        </w:rPr>
        <w:t>）</w:t>
      </w:r>
      <w:r>
        <w:rPr>
          <w:rFonts w:hint="default" w:ascii="Nimbus Roman No9 L" w:hAnsi="Nimbus Roman No9 L" w:eastAsia="楷体" w:cs="Nimbus Roman No9 L"/>
          <w:sz w:val="32"/>
          <w:szCs w:val="32"/>
          <w:highlight w:val="none"/>
        </w:rPr>
        <w:t>初步评审</w:t>
      </w:r>
    </w:p>
    <w:p w14:paraId="6F307987">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按照本办法第十八条至第二十条及形式、资格和重大偏差评审标准（附表1-1、1-2、1-3）规定，对投标文件进行评审，对不符合相关规定和要求的投标文件予以否决。</w:t>
      </w:r>
    </w:p>
    <w:p w14:paraId="6E93D666">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采取资格预审的，按照本办法第六条至第七条以及相关评审表格和招标文件的规定进行评审。</w:t>
      </w:r>
    </w:p>
    <w:p w14:paraId="09336520">
      <w:pPr>
        <w:pStyle w:val="2"/>
        <w:keepNext w:val="0"/>
        <w:keepLines w:val="0"/>
        <w:pageBreakBefore w:val="0"/>
        <w:kinsoku/>
        <w:wordWrap/>
        <w:overflowPunct/>
        <w:topLinePunct w:val="0"/>
        <w:autoSpaceDE/>
        <w:autoSpaceDN/>
        <w:bidi w:val="0"/>
        <w:snapToGrid/>
        <w:spacing w:line="540" w:lineRule="exact"/>
        <w:ind w:left="0" w:leftChars="0" w:firstLine="640" w:firstLineChars="200"/>
        <w:rPr>
          <w:rFonts w:hint="default" w:ascii="Nimbus Roman No9 L" w:hAnsi="Nimbus Roman No9 L" w:eastAsia="仿宋" w:cs="Nimbus Roman No9 L"/>
          <w:b/>
          <w:sz w:val="32"/>
          <w:szCs w:val="32"/>
          <w:highlight w:val="none"/>
        </w:rPr>
      </w:pPr>
      <w:r>
        <w:rPr>
          <w:rFonts w:hint="default" w:ascii="Nimbus Roman No9 L" w:hAnsi="Nimbus Roman No9 L" w:eastAsia="楷体" w:cs="Nimbus Roman No9 L"/>
          <w:b w:val="0"/>
          <w:bCs w:val="0"/>
          <w:sz w:val="32"/>
          <w:szCs w:val="32"/>
          <w:highlight w:val="none"/>
          <w:lang w:eastAsia="zh-CN"/>
        </w:rPr>
        <w:t>（</w:t>
      </w:r>
      <w:r>
        <w:rPr>
          <w:rFonts w:hint="default" w:ascii="Nimbus Roman No9 L" w:hAnsi="Nimbus Roman No9 L" w:eastAsia="楷体" w:cs="Nimbus Roman No9 L"/>
          <w:b w:val="0"/>
          <w:bCs w:val="0"/>
          <w:sz w:val="32"/>
          <w:szCs w:val="32"/>
          <w:highlight w:val="none"/>
          <w:lang w:val="en-US" w:eastAsia="zh-CN"/>
        </w:rPr>
        <w:t>二</w:t>
      </w:r>
      <w:r>
        <w:rPr>
          <w:rFonts w:hint="default" w:ascii="Nimbus Roman No9 L" w:hAnsi="Nimbus Roman No9 L" w:eastAsia="楷体" w:cs="Nimbus Roman No9 L"/>
          <w:b w:val="0"/>
          <w:bCs w:val="0"/>
          <w:sz w:val="32"/>
          <w:szCs w:val="32"/>
          <w:highlight w:val="none"/>
          <w:lang w:eastAsia="zh-CN"/>
        </w:rPr>
        <w:t>）</w:t>
      </w:r>
      <w:r>
        <w:rPr>
          <w:rFonts w:hint="default" w:ascii="Nimbus Roman No9 L" w:hAnsi="Nimbus Roman No9 L" w:eastAsia="楷体" w:cs="Nimbus Roman No9 L"/>
          <w:b w:val="0"/>
          <w:bCs w:val="0"/>
          <w:sz w:val="32"/>
          <w:szCs w:val="32"/>
          <w:highlight w:val="none"/>
        </w:rPr>
        <w:t>详细评审</w:t>
      </w:r>
    </w:p>
    <w:p w14:paraId="78C22E41">
      <w:pPr>
        <w:pStyle w:val="2"/>
        <w:keepNext w:val="0"/>
        <w:keepLines w:val="0"/>
        <w:pageBreakBefore w:val="0"/>
        <w:kinsoku/>
        <w:wordWrap/>
        <w:overflowPunct/>
        <w:topLinePunct w:val="0"/>
        <w:autoSpaceDE/>
        <w:autoSpaceDN/>
        <w:bidi w:val="0"/>
        <w:snapToGrid/>
        <w:spacing w:line="540" w:lineRule="exact"/>
        <w:ind w:left="638" w:leftChars="304" w:firstLine="0" w:firstLineChars="0"/>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通过初步评审的投标人进入详细评审，评审程序如下：</w:t>
      </w:r>
    </w:p>
    <w:p w14:paraId="0EE2BEBA">
      <w:pPr>
        <w:pStyle w:val="2"/>
        <w:keepNext w:val="0"/>
        <w:keepLines w:val="0"/>
        <w:pageBreakBefore w:val="0"/>
        <w:kinsoku/>
        <w:wordWrap/>
        <w:overflowPunct/>
        <w:topLinePunct w:val="0"/>
        <w:autoSpaceDE/>
        <w:autoSpaceDN/>
        <w:bidi w:val="0"/>
        <w:snapToGrid/>
        <w:spacing w:line="540" w:lineRule="exact"/>
        <w:ind w:left="638" w:leftChars="304" w:firstLine="0" w:firstLineChars="0"/>
        <w:rPr>
          <w:rFonts w:hint="default" w:ascii="Nimbus Roman No9 L" w:hAnsi="Nimbus Roman No9 L" w:eastAsia="仿宋_GB2312" w:cs="Nimbus Roman No9 L"/>
          <w:b/>
          <w:sz w:val="32"/>
          <w:szCs w:val="32"/>
          <w:highlight w:val="none"/>
        </w:rPr>
      </w:pPr>
      <w:r>
        <w:rPr>
          <w:rFonts w:hint="default" w:ascii="Nimbus Roman No9 L" w:hAnsi="Nimbus Roman No9 L" w:eastAsia="仿宋_GB2312" w:cs="Nimbus Roman No9 L"/>
          <w:b/>
          <w:sz w:val="32"/>
          <w:szCs w:val="32"/>
          <w:highlight w:val="none"/>
          <w:lang w:val="en-US" w:eastAsia="zh-CN"/>
        </w:rPr>
        <w:t>1</w:t>
      </w:r>
      <w:r>
        <w:rPr>
          <w:rFonts w:hint="eastAsia" w:ascii="Nimbus Roman No9 L" w:hAnsi="Nimbus Roman No9 L" w:eastAsia="仿宋_GB2312" w:cs="Nimbus Roman No9 L"/>
          <w:b/>
          <w:sz w:val="32"/>
          <w:szCs w:val="32"/>
          <w:highlight w:val="none"/>
          <w:lang w:val="en-US" w:eastAsia="zh-CN"/>
        </w:rPr>
        <w:t>.</w:t>
      </w:r>
      <w:r>
        <w:rPr>
          <w:rFonts w:hint="default" w:ascii="Nimbus Roman No9 L" w:hAnsi="Nimbus Roman No9 L" w:eastAsia="仿宋_GB2312" w:cs="Nimbus Roman No9 L"/>
          <w:b/>
          <w:sz w:val="32"/>
          <w:szCs w:val="32"/>
          <w:highlight w:val="none"/>
        </w:rPr>
        <w:t>技术标评审</w:t>
      </w:r>
    </w:p>
    <w:p w14:paraId="66A9640A">
      <w:pPr>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kern w:val="2"/>
          <w:sz w:val="32"/>
          <w:szCs w:val="32"/>
          <w:highlight w:val="none"/>
          <w:lang w:val="en-US" w:eastAsia="zh-CN" w:bidi="ar-SA"/>
        </w:rPr>
      </w:pPr>
      <w:r>
        <w:rPr>
          <w:rFonts w:hint="default" w:ascii="Nimbus Roman No9 L" w:hAnsi="Nimbus Roman No9 L" w:eastAsia="仿宋_GB2312" w:cs="Nimbus Roman No9 L"/>
          <w:kern w:val="2"/>
          <w:sz w:val="32"/>
          <w:szCs w:val="32"/>
          <w:highlight w:val="none"/>
          <w:lang w:val="en-US" w:eastAsia="zh-CN" w:bidi="ar-SA"/>
        </w:rPr>
        <w:t>由评标委员会按照本办法技术标评审标准（合格制）（附表1-6）规定进行评审。</w:t>
      </w:r>
    </w:p>
    <w:p w14:paraId="5B6A1B98">
      <w:pPr>
        <w:pStyle w:val="2"/>
        <w:keepNext w:val="0"/>
        <w:keepLines w:val="0"/>
        <w:pageBreakBefore w:val="0"/>
        <w:kinsoku/>
        <w:wordWrap/>
        <w:overflowPunct/>
        <w:topLinePunct w:val="0"/>
        <w:autoSpaceDE/>
        <w:autoSpaceDN/>
        <w:bidi w:val="0"/>
        <w:snapToGrid/>
        <w:spacing w:line="540" w:lineRule="exact"/>
        <w:ind w:firstLine="643" w:firstLineChars="200"/>
        <w:rPr>
          <w:rFonts w:hint="default" w:ascii="Nimbus Roman No9 L" w:hAnsi="Nimbus Roman No9 L" w:eastAsia="仿宋_GB2312" w:cs="Nimbus Roman No9 L"/>
          <w:b/>
          <w:sz w:val="32"/>
          <w:szCs w:val="32"/>
          <w:highlight w:val="none"/>
          <w:lang w:val="en-US" w:eastAsia="zh-CN"/>
        </w:rPr>
      </w:pPr>
      <w:r>
        <w:rPr>
          <w:rFonts w:hint="default" w:ascii="Nimbus Roman No9 L" w:hAnsi="Nimbus Roman No9 L" w:eastAsia="仿宋_GB2312" w:cs="Nimbus Roman No9 L"/>
          <w:b/>
          <w:sz w:val="32"/>
          <w:szCs w:val="32"/>
          <w:highlight w:val="none"/>
          <w:lang w:val="en-US" w:eastAsia="zh-CN"/>
        </w:rPr>
        <w:t>2</w:t>
      </w:r>
      <w:r>
        <w:rPr>
          <w:rFonts w:hint="eastAsia" w:ascii="Nimbus Roman No9 L" w:hAnsi="Nimbus Roman No9 L" w:eastAsia="仿宋_GB2312" w:cs="Nimbus Roman No9 L"/>
          <w:b/>
          <w:sz w:val="32"/>
          <w:szCs w:val="32"/>
          <w:highlight w:val="none"/>
          <w:lang w:val="en-US" w:eastAsia="zh-CN"/>
        </w:rPr>
        <w:t>.</w:t>
      </w:r>
      <w:r>
        <w:rPr>
          <w:rFonts w:hint="default" w:ascii="Nimbus Roman No9 L" w:hAnsi="Nimbus Roman No9 L" w:eastAsia="仿宋_GB2312" w:cs="Nimbus Roman No9 L"/>
          <w:b/>
          <w:sz w:val="32"/>
          <w:szCs w:val="32"/>
          <w:highlight w:val="none"/>
          <w:lang w:val="en-US" w:eastAsia="zh-CN"/>
        </w:rPr>
        <w:t>经济标评审</w:t>
      </w:r>
    </w:p>
    <w:p w14:paraId="7EDBAC49">
      <w:pPr>
        <w:pStyle w:val="2"/>
        <w:keepNext w:val="0"/>
        <w:keepLines w:val="0"/>
        <w:pageBreakBefore w:val="0"/>
        <w:kinsoku/>
        <w:wordWrap/>
        <w:overflowPunct/>
        <w:topLinePunct w:val="0"/>
        <w:autoSpaceDE/>
        <w:autoSpaceDN/>
        <w:bidi w:val="0"/>
        <w:snapToGrid/>
        <w:spacing w:line="540" w:lineRule="exact"/>
        <w:ind w:firstLine="729" w:firstLineChars="228"/>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 xml:space="preserve">2.1 </w:t>
      </w:r>
      <w:r>
        <w:rPr>
          <w:rFonts w:hint="default" w:ascii="Nimbus Roman No9 L" w:hAnsi="Nimbus Roman No9 L" w:eastAsia="仿宋_GB2312" w:cs="Nimbus Roman No9 L"/>
          <w:sz w:val="32"/>
          <w:szCs w:val="32"/>
          <w:highlight w:val="none"/>
        </w:rPr>
        <w:t>报价修正</w:t>
      </w:r>
    </w:p>
    <w:p w14:paraId="44AC1474">
      <w:pPr>
        <w:pStyle w:val="15"/>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评标委员会对清标中发现投标报价存在算术性错误的，应按以下原则对投标报价进行修正：</w:t>
      </w:r>
    </w:p>
    <w:p w14:paraId="3A0F294B">
      <w:pPr>
        <w:pStyle w:val="15"/>
        <w:keepNext w:val="0"/>
        <w:keepLines w:val="0"/>
        <w:pageBreakBefore w:val="0"/>
        <w:kinsoku/>
        <w:wordWrap/>
        <w:overflowPunct/>
        <w:topLinePunct w:val="0"/>
        <w:autoSpaceDE/>
        <w:autoSpaceDN/>
        <w:bidi w:val="0"/>
        <w:snapToGrid/>
        <w:spacing w:line="540" w:lineRule="exact"/>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 xml:space="preserve">    </w:t>
      </w:r>
      <w:r>
        <w:rPr>
          <w:rFonts w:hint="default" w:ascii="Nimbus Roman No9 L" w:hAnsi="Nimbus Roman No9 L" w:eastAsia="仿宋_GB2312" w:cs="Nimbus Roman No9 L"/>
          <w:sz w:val="32"/>
          <w:szCs w:val="32"/>
          <w:highlight w:val="none"/>
          <w:lang w:val="en-US" w:eastAsia="zh-CN"/>
        </w:rPr>
        <w:t>一是</w:t>
      </w:r>
      <w:r>
        <w:rPr>
          <w:rFonts w:hint="default" w:ascii="Nimbus Roman No9 L" w:hAnsi="Nimbus Roman No9 L" w:eastAsia="仿宋_GB2312" w:cs="Nimbus Roman No9 L"/>
          <w:sz w:val="32"/>
          <w:szCs w:val="32"/>
          <w:highlight w:val="none"/>
        </w:rPr>
        <w:t>当综合单价与工程量（或计算基础金额与费率）的乘积与合价不一致时，以综合单价（或费率）为准修正合价及总价；</w:t>
      </w:r>
    </w:p>
    <w:p w14:paraId="04627C41">
      <w:pPr>
        <w:pStyle w:val="15"/>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二是</w:t>
      </w:r>
      <w:r>
        <w:rPr>
          <w:rFonts w:hint="default" w:ascii="Nimbus Roman No9 L" w:hAnsi="Nimbus Roman No9 L" w:eastAsia="仿宋_GB2312" w:cs="Nimbus Roman No9 L"/>
          <w:sz w:val="32"/>
          <w:szCs w:val="32"/>
          <w:highlight w:val="none"/>
        </w:rPr>
        <w:t>当各单项金额相加与其合计金额不一致时，以各单项金额为准修正相应合计金额及总价。</w:t>
      </w:r>
    </w:p>
    <w:p w14:paraId="4BECA93F">
      <w:pPr>
        <w:pStyle w:val="2"/>
        <w:keepNext w:val="0"/>
        <w:keepLines w:val="0"/>
        <w:pageBreakBefore w:val="0"/>
        <w:kinsoku/>
        <w:wordWrap/>
        <w:overflowPunct/>
        <w:topLinePunct w:val="0"/>
        <w:autoSpaceDE/>
        <w:autoSpaceDN/>
        <w:bidi w:val="0"/>
        <w:snapToGrid/>
        <w:spacing w:line="540" w:lineRule="exact"/>
        <w:ind w:firstLine="729" w:firstLineChars="228"/>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rPr>
        <w:t>评标委员会修正后的价格经投标人书面确认后具有约束力</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合理低价评定计算以修正后的报价为准（以后所称投标报价均为修正后的报价）</w:t>
      </w:r>
      <w:r>
        <w:rPr>
          <w:rFonts w:hint="default" w:ascii="Nimbus Roman No9 L" w:hAnsi="Nimbus Roman No9 L" w:eastAsia="仿宋_GB2312" w:cs="Nimbus Roman No9 L"/>
          <w:sz w:val="32"/>
          <w:szCs w:val="32"/>
          <w:highlight w:val="none"/>
        </w:rPr>
        <w:t>。投标人不接受修正价格或修正后价格高于招标控制价的，评标委员会应否决其投标。</w:t>
      </w:r>
    </w:p>
    <w:p w14:paraId="7017BACE">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b w:val="0"/>
          <w:bCs/>
          <w:sz w:val="32"/>
          <w:szCs w:val="32"/>
          <w:highlight w:val="none"/>
          <w:lang w:eastAsia="zh-CN"/>
        </w:rPr>
      </w:pPr>
      <w:r>
        <w:rPr>
          <w:rFonts w:hint="default" w:ascii="Nimbus Roman No9 L" w:hAnsi="Nimbus Roman No9 L" w:eastAsia="仿宋_GB2312" w:cs="Nimbus Roman No9 L"/>
          <w:b w:val="0"/>
          <w:bCs/>
          <w:sz w:val="32"/>
          <w:szCs w:val="32"/>
          <w:highlight w:val="none"/>
          <w:lang w:val="en-US" w:eastAsia="zh-CN"/>
        </w:rPr>
        <w:t xml:space="preserve">2.2 </w:t>
      </w:r>
      <w:r>
        <w:rPr>
          <w:rFonts w:hint="default" w:ascii="Nimbus Roman No9 L" w:hAnsi="Nimbus Roman No9 L" w:eastAsia="仿宋_GB2312" w:cs="Nimbus Roman No9 L"/>
          <w:b w:val="0"/>
          <w:bCs/>
          <w:sz w:val="32"/>
          <w:szCs w:val="32"/>
          <w:highlight w:val="none"/>
        </w:rPr>
        <w:t>确定投标报价有效范围</w:t>
      </w:r>
      <w:r>
        <w:rPr>
          <w:rFonts w:hint="default" w:ascii="Nimbus Roman No9 L" w:hAnsi="Nimbus Roman No9 L" w:eastAsia="仿宋_GB2312" w:cs="Nimbus Roman No9 L"/>
          <w:b w:val="0"/>
          <w:bCs/>
          <w:sz w:val="32"/>
          <w:szCs w:val="32"/>
          <w:highlight w:val="none"/>
          <w:lang w:eastAsia="zh-CN"/>
        </w:rPr>
        <w:t>（附表</w:t>
      </w:r>
      <w:r>
        <w:rPr>
          <w:rFonts w:hint="default" w:ascii="Nimbus Roman No9 L" w:hAnsi="Nimbus Roman No9 L" w:eastAsia="仿宋_GB2312" w:cs="Nimbus Roman No9 L"/>
          <w:b w:val="0"/>
          <w:bCs/>
          <w:sz w:val="32"/>
          <w:szCs w:val="32"/>
          <w:highlight w:val="none"/>
          <w:lang w:val="en-US" w:eastAsia="zh-CN"/>
        </w:rPr>
        <w:t>2-1</w:t>
      </w:r>
      <w:r>
        <w:rPr>
          <w:rFonts w:hint="default" w:ascii="Nimbus Roman No9 L" w:hAnsi="Nimbus Roman No9 L" w:eastAsia="仿宋_GB2312" w:cs="Nimbus Roman No9 L"/>
          <w:b w:val="0"/>
          <w:bCs/>
          <w:sz w:val="32"/>
          <w:szCs w:val="32"/>
          <w:highlight w:val="none"/>
          <w:lang w:eastAsia="zh-CN"/>
        </w:rPr>
        <w:t>）</w:t>
      </w:r>
    </w:p>
    <w:p w14:paraId="7DEFE68B">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通过初步评审</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技术标</w:t>
      </w:r>
      <w:r>
        <w:rPr>
          <w:rFonts w:hint="default" w:ascii="Nimbus Roman No9 L" w:hAnsi="Nimbus Roman No9 L" w:eastAsia="仿宋_GB2312" w:cs="Nimbus Roman No9 L"/>
          <w:sz w:val="32"/>
          <w:szCs w:val="32"/>
          <w:highlight w:val="none"/>
        </w:rPr>
        <w:t>评审的投标</w:t>
      </w:r>
      <w:r>
        <w:rPr>
          <w:rFonts w:hint="default" w:ascii="Nimbus Roman No9 L" w:hAnsi="Nimbus Roman No9 L" w:eastAsia="仿宋_GB2312" w:cs="Nimbus Roman No9 L"/>
          <w:sz w:val="32"/>
          <w:szCs w:val="32"/>
          <w:highlight w:val="none"/>
          <w:lang w:val="en-US" w:eastAsia="zh-CN"/>
        </w:rPr>
        <w:t>人</w:t>
      </w:r>
      <w:r>
        <w:rPr>
          <w:rFonts w:hint="default" w:ascii="Nimbus Roman No9 L" w:hAnsi="Nimbus Roman No9 L" w:eastAsia="仿宋_GB2312" w:cs="Nimbus Roman No9 L"/>
          <w:sz w:val="32"/>
          <w:szCs w:val="32"/>
          <w:highlight w:val="none"/>
        </w:rPr>
        <w:t>报价参与确定投标报价有效范围。</w:t>
      </w:r>
    </w:p>
    <w:p w14:paraId="2CB391B0">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 xml:space="preserve">2.2.1 </w:t>
      </w:r>
      <w:r>
        <w:rPr>
          <w:rFonts w:hint="default" w:ascii="Nimbus Roman No9 L" w:hAnsi="Nimbus Roman No9 L" w:eastAsia="仿宋_GB2312" w:cs="Nimbus Roman No9 L"/>
          <w:sz w:val="32"/>
          <w:szCs w:val="32"/>
          <w:highlight w:val="none"/>
        </w:rPr>
        <w:t>计算报价均值：</w:t>
      </w:r>
    </w:p>
    <w:p w14:paraId="358ED6EA">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投标企业少于5家（不含）直接取算术平均值；</w:t>
      </w:r>
    </w:p>
    <w:p w14:paraId="30BB8587">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大于5家（含）时去掉总家数20%高价（四舍五入取整）和总家数20%低价（四舍五入取整）后的取算术平均值。</w:t>
      </w:r>
    </w:p>
    <w:p w14:paraId="30EA6852">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 xml:space="preserve">2.2.2 </w:t>
      </w:r>
      <w:r>
        <w:rPr>
          <w:rFonts w:hint="default" w:ascii="Nimbus Roman No9 L" w:hAnsi="Nimbus Roman No9 L" w:eastAsia="仿宋_GB2312" w:cs="Nimbus Roman No9 L"/>
          <w:sz w:val="32"/>
          <w:szCs w:val="32"/>
          <w:highlight w:val="none"/>
        </w:rPr>
        <w:t>基准价计算取值范围：</w:t>
      </w:r>
    </w:p>
    <w:p w14:paraId="1A23F477">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 xml:space="preserve">2.2.2.1 </w:t>
      </w:r>
      <w:r>
        <w:rPr>
          <w:rFonts w:hint="default" w:ascii="Nimbus Roman No9 L" w:hAnsi="Nimbus Roman No9 L" w:eastAsia="仿宋_GB2312" w:cs="Nimbus Roman No9 L"/>
          <w:sz w:val="32"/>
          <w:szCs w:val="32"/>
          <w:highlight w:val="none"/>
        </w:rPr>
        <w:t>房屋建筑工程（不包含单独招标的安装工程和装饰装修工程）的报价取值范围为报价均值的93％至103％</w:t>
      </w:r>
      <w:r>
        <w:rPr>
          <w:rFonts w:hint="eastAsia"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含</w:t>
      </w:r>
      <w:r>
        <w:rPr>
          <w:rFonts w:hint="eastAsia" w:ascii="Nimbus Roman No9 L" w:hAnsi="Nimbus Roman No9 L" w:eastAsia="仿宋_GB2312" w:cs="Nimbus Roman No9 L"/>
          <w:sz w:val="32"/>
          <w:szCs w:val="32"/>
          <w:highlight w:val="none"/>
          <w:lang w:eastAsia="zh-CN"/>
        </w:rPr>
        <w:t>）</w:t>
      </w:r>
    </w:p>
    <w:p w14:paraId="5E3B0193">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eastAsia" w:ascii="Nimbus Roman No9 L" w:hAnsi="Nimbus Roman No9 L" w:eastAsia="仿宋_GB2312" w:cs="Nimbus Roman No9 L"/>
          <w:sz w:val="32"/>
          <w:szCs w:val="32"/>
          <w:highlight w:val="none"/>
          <w:lang w:eastAsia="zh-CN"/>
        </w:rPr>
        <w:t>其他</w:t>
      </w:r>
      <w:r>
        <w:rPr>
          <w:rFonts w:hint="default" w:ascii="Nimbus Roman No9 L" w:hAnsi="Nimbus Roman No9 L" w:eastAsia="仿宋_GB2312" w:cs="Nimbus Roman No9 L"/>
          <w:sz w:val="32"/>
          <w:szCs w:val="32"/>
          <w:highlight w:val="none"/>
        </w:rPr>
        <w:t>工程投标报价取值范围为报价均值的90％至105％（含）。</w:t>
      </w:r>
    </w:p>
    <w:p w14:paraId="11688C95">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val="en-US" w:eastAsia="zh-CN"/>
        </w:rPr>
        <w:t xml:space="preserve">2.2.2.2 </w:t>
      </w:r>
      <w:r>
        <w:rPr>
          <w:rFonts w:hint="default" w:ascii="Nimbus Roman No9 L" w:hAnsi="Nimbus Roman No9 L" w:eastAsia="仿宋_GB2312" w:cs="Nimbus Roman No9 L"/>
          <w:sz w:val="32"/>
          <w:szCs w:val="32"/>
          <w:highlight w:val="none"/>
        </w:rPr>
        <w:t>超出报价取值范围的</w:t>
      </w:r>
      <w:r>
        <w:rPr>
          <w:rFonts w:hint="default" w:ascii="Nimbus Roman No9 L" w:hAnsi="Nimbus Roman No9 L" w:eastAsia="仿宋_GB2312" w:cs="Nimbus Roman No9 L"/>
          <w:sz w:val="32"/>
          <w:szCs w:val="32"/>
          <w:highlight w:val="none"/>
          <w:lang w:val="en-US" w:eastAsia="zh-CN"/>
        </w:rPr>
        <w:t>投标报价</w:t>
      </w:r>
      <w:r>
        <w:rPr>
          <w:rFonts w:hint="default" w:ascii="Nimbus Roman No9 L" w:hAnsi="Nimbus Roman No9 L" w:eastAsia="仿宋_GB2312" w:cs="Nimbus Roman No9 L"/>
          <w:sz w:val="32"/>
          <w:szCs w:val="32"/>
          <w:highlight w:val="none"/>
        </w:rPr>
        <w:t>不进入评标基准价计算，但</w:t>
      </w:r>
      <w:r>
        <w:rPr>
          <w:rFonts w:hint="default" w:ascii="Nimbus Roman No9 L" w:hAnsi="Nimbus Roman No9 L" w:eastAsia="仿宋_GB2312" w:cs="Nimbus Roman No9 L"/>
          <w:sz w:val="32"/>
          <w:szCs w:val="32"/>
          <w:highlight w:val="none"/>
          <w:lang w:val="en-US" w:eastAsia="zh-CN"/>
        </w:rPr>
        <w:t>对投标报价</w:t>
      </w:r>
      <w:r>
        <w:rPr>
          <w:rFonts w:hint="default" w:ascii="Nimbus Roman No9 L" w:hAnsi="Nimbus Roman No9 L" w:eastAsia="仿宋_GB2312" w:cs="Nimbus Roman No9 L"/>
          <w:sz w:val="32"/>
          <w:szCs w:val="32"/>
          <w:highlight w:val="none"/>
        </w:rPr>
        <w:t>进行排名。</w:t>
      </w:r>
    </w:p>
    <w:p w14:paraId="2BE7E9FE">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b w:val="0"/>
          <w:bCs/>
          <w:sz w:val="32"/>
          <w:szCs w:val="32"/>
          <w:highlight w:val="none"/>
          <w:lang w:eastAsia="zh-CN"/>
        </w:rPr>
      </w:pPr>
      <w:r>
        <w:rPr>
          <w:rFonts w:hint="default" w:ascii="Nimbus Roman No9 L" w:hAnsi="Nimbus Roman No9 L" w:eastAsia="仿宋_GB2312" w:cs="Nimbus Roman No9 L"/>
          <w:b w:val="0"/>
          <w:bCs/>
          <w:sz w:val="32"/>
          <w:szCs w:val="32"/>
          <w:highlight w:val="none"/>
          <w:lang w:val="en-US" w:eastAsia="zh-CN"/>
        </w:rPr>
        <w:t xml:space="preserve">2.2.3 </w:t>
      </w:r>
      <w:r>
        <w:rPr>
          <w:rFonts w:hint="default" w:ascii="Nimbus Roman No9 L" w:hAnsi="Nimbus Roman No9 L" w:eastAsia="仿宋_GB2312" w:cs="Nimbus Roman No9 L"/>
          <w:b w:val="0"/>
          <w:bCs/>
          <w:sz w:val="32"/>
          <w:szCs w:val="32"/>
          <w:highlight w:val="none"/>
        </w:rPr>
        <w:t>计算评标基准价</w:t>
      </w:r>
      <w:r>
        <w:rPr>
          <w:rFonts w:hint="default" w:ascii="Nimbus Roman No9 L" w:hAnsi="Nimbus Roman No9 L" w:eastAsia="仿宋_GB2312" w:cs="Nimbus Roman No9 L"/>
          <w:b w:val="0"/>
          <w:bCs/>
          <w:sz w:val="32"/>
          <w:szCs w:val="32"/>
          <w:highlight w:val="none"/>
          <w:lang w:eastAsia="zh-CN"/>
        </w:rPr>
        <w:t>（附表</w:t>
      </w:r>
      <w:r>
        <w:rPr>
          <w:rFonts w:hint="default" w:ascii="Nimbus Roman No9 L" w:hAnsi="Nimbus Roman No9 L" w:eastAsia="仿宋_GB2312" w:cs="Nimbus Roman No9 L"/>
          <w:b w:val="0"/>
          <w:bCs/>
          <w:sz w:val="32"/>
          <w:szCs w:val="32"/>
          <w:highlight w:val="none"/>
          <w:lang w:val="en-US" w:eastAsia="zh-CN"/>
        </w:rPr>
        <w:t>2-2</w:t>
      </w:r>
      <w:r>
        <w:rPr>
          <w:rFonts w:hint="default" w:ascii="Nimbus Roman No9 L" w:hAnsi="Nimbus Roman No9 L" w:eastAsia="仿宋_GB2312" w:cs="Nimbus Roman No9 L"/>
          <w:b w:val="0"/>
          <w:bCs/>
          <w:sz w:val="32"/>
          <w:szCs w:val="32"/>
          <w:highlight w:val="none"/>
          <w:lang w:eastAsia="zh-CN"/>
        </w:rPr>
        <w:t>）</w:t>
      </w:r>
    </w:p>
    <w:p w14:paraId="2F076C2B">
      <w:pPr>
        <w:pStyle w:val="2"/>
        <w:keepNext w:val="0"/>
        <w:keepLines w:val="0"/>
        <w:pageBreakBefore w:val="0"/>
        <w:kinsoku/>
        <w:wordWrap/>
        <w:overflowPunct/>
        <w:topLinePunct w:val="0"/>
        <w:autoSpaceDE/>
        <w:autoSpaceDN/>
        <w:bidi w:val="0"/>
        <w:snapToGrid/>
        <w:spacing w:line="540" w:lineRule="exact"/>
        <w:ind w:left="0" w:leftChars="0"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评标基准价=[（招标控制价-招标控制价中的P值）×（1-K）+招标控制价中的P值]×K1+投标报价有效范围内报价</w:t>
      </w:r>
      <w:r>
        <w:rPr>
          <w:rFonts w:hint="eastAsia" w:ascii="Nimbus Roman No9 L" w:hAnsi="Nimbus Roman No9 L" w:eastAsia="仿宋_GB2312" w:cs="Nimbus Roman No9 L"/>
          <w:sz w:val="32"/>
          <w:szCs w:val="32"/>
          <w:highlight w:val="none"/>
          <w:lang w:eastAsia="zh-CN"/>
        </w:rPr>
        <w:t>算术</w:t>
      </w:r>
      <w:r>
        <w:rPr>
          <w:rFonts w:hint="default" w:ascii="Nimbus Roman No9 L" w:hAnsi="Nimbus Roman No9 L" w:eastAsia="仿宋_GB2312" w:cs="Nimbus Roman No9 L"/>
          <w:sz w:val="32"/>
          <w:szCs w:val="32"/>
          <w:highlight w:val="none"/>
        </w:rPr>
        <w:t>平均值×（1-K1）×（1-K2）。</w:t>
      </w:r>
    </w:p>
    <w:p w14:paraId="2F6380EC">
      <w:pPr>
        <w:pStyle w:val="2"/>
        <w:keepNext w:val="0"/>
        <w:keepLines w:val="0"/>
        <w:pageBreakBefore w:val="0"/>
        <w:kinsoku/>
        <w:wordWrap/>
        <w:overflowPunct/>
        <w:topLinePunct w:val="0"/>
        <w:autoSpaceDE/>
        <w:autoSpaceDN/>
        <w:bidi w:val="0"/>
        <w:snapToGrid/>
        <w:spacing w:line="540" w:lineRule="exact"/>
        <w:ind w:left="0" w:leftChars="0"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招标控制价中的P值=暂列金+专业工程暂估价+施工技术专项措施项目暂估价+安全生产措施费+智慧工地基础配置费用。</w:t>
      </w:r>
    </w:p>
    <w:p w14:paraId="330796A4">
      <w:pPr>
        <w:pStyle w:val="2"/>
        <w:keepNext w:val="0"/>
        <w:keepLines w:val="0"/>
        <w:pageBreakBefore w:val="0"/>
        <w:kinsoku/>
        <w:wordWrap/>
        <w:overflowPunct/>
        <w:topLinePunct w:val="0"/>
        <w:autoSpaceDE/>
        <w:autoSpaceDN/>
        <w:bidi w:val="0"/>
        <w:snapToGrid/>
        <w:spacing w:line="540" w:lineRule="exact"/>
        <w:ind w:left="0" w:leftChars="0"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K为评标基准价中控制价（不含P值）的下浮率，由招标人在经济标评审前，随机抽取确定。</w:t>
      </w:r>
    </w:p>
    <w:p w14:paraId="0ABBA7B4">
      <w:pPr>
        <w:pStyle w:val="2"/>
        <w:keepNext w:val="0"/>
        <w:keepLines w:val="0"/>
        <w:pageBreakBefore w:val="0"/>
        <w:kinsoku/>
        <w:wordWrap/>
        <w:overflowPunct/>
        <w:topLinePunct w:val="0"/>
        <w:autoSpaceDE/>
        <w:autoSpaceDN/>
        <w:bidi w:val="0"/>
        <w:snapToGrid/>
        <w:spacing w:line="540" w:lineRule="exact"/>
        <w:ind w:left="0" w:leftChars="0"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K值取值建议：房屋建筑工程0%～5%</w:t>
      </w:r>
      <w:r>
        <w:rPr>
          <w:rFonts w:hint="eastAsia"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单独招标的安装工程和装饰装修工程0%～8%</w:t>
      </w:r>
      <w:r>
        <w:rPr>
          <w:rFonts w:hint="eastAsia"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rPr>
        <w:t>市政和园林绿化工程0%～10%。以上均以1%为间隔。</w:t>
      </w:r>
    </w:p>
    <w:p w14:paraId="26943A3D">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K1为评标基准价中</w:t>
      </w:r>
      <w:r>
        <w:rPr>
          <w:rFonts w:hint="default" w:ascii="Nimbus Roman No9 L" w:hAnsi="Nimbus Roman No9 L" w:eastAsia="仿宋_GB2312" w:cs="Nimbus Roman No9 L"/>
          <w:sz w:val="32"/>
          <w:szCs w:val="32"/>
          <w:highlight w:val="none"/>
          <w:lang w:val="en-US" w:eastAsia="zh-CN"/>
        </w:rPr>
        <w:t>招标</w:t>
      </w:r>
      <w:r>
        <w:rPr>
          <w:rFonts w:hint="default" w:ascii="Nimbus Roman No9 L" w:hAnsi="Nimbus Roman No9 L" w:eastAsia="仿宋_GB2312" w:cs="Nimbus Roman No9 L"/>
          <w:sz w:val="32"/>
          <w:szCs w:val="32"/>
          <w:highlight w:val="none"/>
        </w:rPr>
        <w:t>控制价权重，由招标人在经济标评审前，随机抽取确定。K1取值范围</w:t>
      </w:r>
      <w:r>
        <w:rPr>
          <w:rFonts w:hint="default" w:ascii="Nimbus Roman No9 L" w:hAnsi="Nimbus Roman No9 L" w:eastAsia="仿宋_GB2312" w:cs="Nimbus Roman No9 L"/>
          <w:sz w:val="32"/>
          <w:szCs w:val="32"/>
          <w:highlight w:val="none"/>
          <w:lang w:val="en-US" w:eastAsia="zh-CN"/>
        </w:rPr>
        <w:t>0</w:t>
      </w:r>
      <w:r>
        <w:rPr>
          <w:rFonts w:hint="default" w:ascii="Nimbus Roman No9 L" w:hAnsi="Nimbus Roman No9 L" w:eastAsia="仿宋_GB2312" w:cs="Nimbus Roman No9 L"/>
          <w:sz w:val="32"/>
          <w:szCs w:val="32"/>
          <w:highlight w:val="none"/>
        </w:rPr>
        <w:t>%～</w:t>
      </w:r>
      <w:r>
        <w:rPr>
          <w:rFonts w:hint="default" w:ascii="Nimbus Roman No9 L" w:hAnsi="Nimbus Roman No9 L" w:eastAsia="仿宋_GB2312" w:cs="Nimbus Roman No9 L"/>
          <w:sz w:val="32"/>
          <w:szCs w:val="32"/>
          <w:highlight w:val="none"/>
          <w:lang w:val="en-US" w:eastAsia="zh-CN"/>
        </w:rPr>
        <w:t>5</w:t>
      </w:r>
      <w:r>
        <w:rPr>
          <w:rFonts w:hint="default" w:ascii="Nimbus Roman No9 L" w:hAnsi="Nimbus Roman No9 L" w:eastAsia="仿宋_GB2312" w:cs="Nimbus Roman No9 L"/>
          <w:sz w:val="32"/>
          <w:szCs w:val="32"/>
          <w:highlight w:val="none"/>
        </w:rPr>
        <w:t>0%，以10%为间隔。</w:t>
      </w:r>
    </w:p>
    <w:p w14:paraId="114D1DD9">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rPr>
        <w:t>K2为随机下浮率，由招标人在经济标评审前，随机抽取确定。K2的取值范围1%～4%，以1%为间隔。</w:t>
      </w:r>
    </w:p>
    <w:p w14:paraId="1AEDC31B">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黑体" w:cs="Nimbus Roman No9 L"/>
          <w:sz w:val="32"/>
          <w:szCs w:val="32"/>
          <w:highlight w:val="none"/>
          <w:lang w:eastAsia="zh-CN"/>
        </w:rPr>
      </w:pPr>
      <w:r>
        <w:rPr>
          <w:rFonts w:hint="default" w:ascii="Nimbus Roman No9 L" w:hAnsi="Nimbus Roman No9 L" w:eastAsia="黑体" w:cs="Nimbus Roman No9 L"/>
          <w:sz w:val="32"/>
          <w:szCs w:val="32"/>
          <w:highlight w:val="none"/>
          <w:lang w:val="en-US" w:eastAsia="zh-CN"/>
        </w:rPr>
        <w:t>三、推荐中标候选</w:t>
      </w:r>
      <w:r>
        <w:rPr>
          <w:rFonts w:hint="default" w:ascii="Nimbus Roman No9 L" w:hAnsi="Nimbus Roman No9 L" w:eastAsia="黑体" w:cs="Nimbus Roman No9 L"/>
          <w:sz w:val="32"/>
          <w:szCs w:val="32"/>
          <w:highlight w:val="none"/>
        </w:rPr>
        <w:t>人</w:t>
      </w:r>
      <w:r>
        <w:rPr>
          <w:rFonts w:hint="default" w:ascii="Nimbus Roman No9 L" w:hAnsi="Nimbus Roman No9 L" w:eastAsia="黑体" w:cs="Nimbus Roman No9 L"/>
          <w:sz w:val="32"/>
          <w:szCs w:val="32"/>
          <w:highlight w:val="none"/>
          <w:lang w:eastAsia="zh-CN"/>
        </w:rPr>
        <w:t>（附表</w:t>
      </w:r>
      <w:r>
        <w:rPr>
          <w:rFonts w:hint="default" w:ascii="Nimbus Roman No9 L" w:hAnsi="Nimbus Roman No9 L" w:eastAsia="黑体" w:cs="Nimbus Roman No9 L"/>
          <w:sz w:val="32"/>
          <w:szCs w:val="32"/>
          <w:highlight w:val="none"/>
          <w:lang w:val="en-US" w:eastAsia="zh-CN"/>
        </w:rPr>
        <w:t>2-3</w:t>
      </w:r>
      <w:r>
        <w:rPr>
          <w:rFonts w:hint="default" w:ascii="Nimbus Roman No9 L" w:hAnsi="Nimbus Roman No9 L" w:eastAsia="黑体" w:cs="Nimbus Roman No9 L"/>
          <w:sz w:val="32"/>
          <w:szCs w:val="32"/>
          <w:highlight w:val="none"/>
          <w:lang w:eastAsia="zh-CN"/>
        </w:rPr>
        <w:t>）</w:t>
      </w:r>
    </w:p>
    <w:p w14:paraId="4488787A">
      <w:pPr>
        <w:pStyle w:val="2"/>
        <w:keepNext w:val="0"/>
        <w:keepLines w:val="0"/>
        <w:pageBreakBefore w:val="0"/>
        <w:kinsoku/>
        <w:wordWrap/>
        <w:overflowPunct/>
        <w:topLinePunct w:val="0"/>
        <w:autoSpaceDE/>
        <w:autoSpaceDN/>
        <w:bidi w:val="0"/>
        <w:snapToGrid/>
        <w:spacing w:line="540" w:lineRule="exact"/>
        <w:ind w:firstLine="640" w:firstLineChars="200"/>
        <w:rPr>
          <w:rFonts w:hint="default" w:ascii="Nimbus Roman No9 L" w:hAnsi="Nimbus Roman No9 L" w:eastAsia="仿宋_GB2312" w:cs="Nimbus Roman No9 L"/>
          <w:sz w:val="32"/>
          <w:szCs w:val="32"/>
          <w:highlight w:val="none"/>
          <w:lang w:val="en-US" w:eastAsia="zh-CN"/>
        </w:rPr>
      </w:pPr>
      <w:r>
        <w:rPr>
          <w:rFonts w:hint="default" w:ascii="Nimbus Roman No9 L" w:hAnsi="Nimbus Roman No9 L" w:eastAsia="仿宋_GB2312" w:cs="Nimbus Roman No9 L"/>
          <w:sz w:val="32"/>
          <w:szCs w:val="32"/>
          <w:highlight w:val="none"/>
        </w:rPr>
        <w:t>投标报价高于</w:t>
      </w:r>
      <w:r>
        <w:rPr>
          <w:rFonts w:hint="default" w:ascii="Nimbus Roman No9 L" w:hAnsi="Nimbus Roman No9 L" w:eastAsia="仿宋_GB2312" w:cs="Nimbus Roman No9 L"/>
          <w:b w:val="0"/>
          <w:bCs/>
          <w:sz w:val="32"/>
          <w:szCs w:val="32"/>
          <w:highlight w:val="none"/>
        </w:rPr>
        <w:t>评标基准价</w:t>
      </w:r>
      <w:r>
        <w:rPr>
          <w:rFonts w:hint="default" w:ascii="Nimbus Roman No9 L" w:hAnsi="Nimbus Roman No9 L" w:eastAsia="仿宋_GB2312" w:cs="Nimbus Roman No9 L"/>
          <w:sz w:val="32"/>
          <w:szCs w:val="32"/>
          <w:highlight w:val="none"/>
        </w:rPr>
        <w:t>的报价为有效报价。在此有效报价范围内，按照投标报价由低到高对投标</w:t>
      </w:r>
      <w:r>
        <w:rPr>
          <w:rFonts w:hint="default" w:ascii="Nimbus Roman No9 L" w:hAnsi="Nimbus Roman No9 L" w:eastAsia="仿宋_GB2312" w:cs="Nimbus Roman No9 L"/>
          <w:sz w:val="32"/>
          <w:szCs w:val="32"/>
          <w:highlight w:val="none"/>
          <w:lang w:val="en-US" w:eastAsia="zh-CN"/>
        </w:rPr>
        <w:t>人</w:t>
      </w:r>
      <w:r>
        <w:rPr>
          <w:rFonts w:hint="default" w:ascii="Nimbus Roman No9 L" w:hAnsi="Nimbus Roman No9 L" w:eastAsia="仿宋_GB2312" w:cs="Nimbus Roman No9 L"/>
          <w:sz w:val="32"/>
          <w:szCs w:val="32"/>
          <w:highlight w:val="none"/>
        </w:rPr>
        <w:t>进行排序</w:t>
      </w:r>
      <w:r>
        <w:rPr>
          <w:rFonts w:hint="default" w:ascii="Nimbus Roman No9 L" w:hAnsi="Nimbus Roman No9 L" w:eastAsia="仿宋_GB2312" w:cs="Nimbus Roman No9 L"/>
          <w:sz w:val="32"/>
          <w:szCs w:val="32"/>
          <w:highlight w:val="none"/>
          <w:lang w:eastAsia="zh-CN"/>
        </w:rPr>
        <w:t>。</w:t>
      </w:r>
      <w:r>
        <w:rPr>
          <w:rFonts w:hint="default" w:ascii="Nimbus Roman No9 L" w:hAnsi="Nimbus Roman No9 L" w:eastAsia="仿宋_GB2312" w:cs="Nimbus Roman No9 L"/>
          <w:sz w:val="32"/>
          <w:szCs w:val="32"/>
          <w:highlight w:val="none"/>
          <w:lang w:val="en-US" w:eastAsia="zh-CN"/>
        </w:rPr>
        <w:t>推荐不超过3个有排序的中标候选人，招标人按照中标候选人的排序确定中标人。</w:t>
      </w:r>
    </w:p>
    <w:p w14:paraId="176AEBCE">
      <w:pPr>
        <w:spacing w:line="540" w:lineRule="exact"/>
        <w:jc w:val="left"/>
        <w:rPr>
          <w:rFonts w:hint="default" w:ascii="Nimbus Roman No9 L" w:hAnsi="Nimbus Roman No9 L" w:eastAsia="仿宋" w:cs="Nimbus Roman No9 L"/>
          <w:b/>
          <w:bCs/>
          <w:sz w:val="32"/>
          <w:szCs w:val="32"/>
          <w:highlight w:val="none"/>
        </w:rPr>
        <w:sectPr>
          <w:pgSz w:w="11906" w:h="16838"/>
          <w:pgMar w:top="2098" w:right="1531" w:bottom="1984" w:left="1531" w:header="851" w:footer="992" w:gutter="0"/>
          <w:pgBorders>
            <w:top w:val="none" w:sz="0" w:space="0"/>
            <w:left w:val="none" w:sz="0" w:space="0"/>
            <w:bottom w:val="none" w:sz="0" w:space="0"/>
            <w:right w:val="none" w:sz="0" w:space="0"/>
          </w:pgBorders>
          <w:pgNumType w:fmt="numberInDash"/>
          <w:cols w:space="720" w:num="1"/>
          <w:rtlGutter w:val="0"/>
          <w:docGrid w:type="lines" w:linePitch="312" w:charSpace="0"/>
        </w:sectPr>
      </w:pPr>
    </w:p>
    <w:p w14:paraId="20085E5B">
      <w:pPr>
        <w:spacing w:line="440" w:lineRule="exact"/>
        <w:jc w:val="left"/>
        <w:rPr>
          <w:rFonts w:hint="default" w:ascii="Nimbus Roman No9 L" w:hAnsi="Nimbus Roman No9 L" w:eastAsia="仿宋" w:cs="Nimbus Roman No9 L"/>
          <w:b/>
          <w:bCs/>
          <w:sz w:val="32"/>
          <w:szCs w:val="32"/>
          <w:highlight w:val="none"/>
          <w:lang w:eastAsia="zh-CN"/>
        </w:rPr>
      </w:pPr>
      <w:r>
        <w:rPr>
          <w:rFonts w:hint="default" w:ascii="Nimbus Roman No9 L" w:hAnsi="Nimbus Roman No9 L" w:eastAsia="仿宋" w:cs="Nimbus Roman No9 L"/>
          <w:b/>
          <w:bCs/>
          <w:sz w:val="32"/>
          <w:szCs w:val="32"/>
          <w:highlight w:val="none"/>
        </w:rPr>
        <w:t>附表2-</w:t>
      </w:r>
      <w:r>
        <w:rPr>
          <w:rFonts w:hint="default" w:ascii="Nimbus Roman No9 L" w:hAnsi="Nimbus Roman No9 L" w:eastAsia="仿宋" w:cs="Nimbus Roman No9 L"/>
          <w:b/>
          <w:bCs/>
          <w:sz w:val="32"/>
          <w:szCs w:val="32"/>
          <w:highlight w:val="none"/>
          <w:lang w:val="en-US" w:eastAsia="zh-CN"/>
        </w:rPr>
        <w:t>1</w:t>
      </w:r>
    </w:p>
    <w:p w14:paraId="42B1939D">
      <w:pPr>
        <w:jc w:val="center"/>
        <w:rPr>
          <w:rFonts w:hint="default" w:ascii="Nimbus Roman No9 L" w:hAnsi="Nimbus Roman No9 L" w:cs="Nimbus Roman No9 L"/>
          <w:sz w:val="44"/>
          <w:szCs w:val="44"/>
          <w:highlight w:val="none"/>
        </w:rPr>
      </w:pPr>
      <w:r>
        <w:rPr>
          <w:rFonts w:hint="default" w:ascii="Nimbus Roman No9 L" w:hAnsi="Nimbus Roman No9 L" w:eastAsia="宋体" w:cs="Nimbus Roman No9 L"/>
          <w:b/>
          <w:bCs w:val="0"/>
          <w:sz w:val="44"/>
          <w:szCs w:val="44"/>
          <w:highlight w:val="none"/>
        </w:rPr>
        <w:t>投标报价有效范围计算表</w:t>
      </w:r>
    </w:p>
    <w:p w14:paraId="0E6B87D8">
      <w:pPr>
        <w:rPr>
          <w:rFonts w:hint="default" w:ascii="Nimbus Roman No9 L" w:hAnsi="Nimbus Roman No9 L" w:cs="Nimbus Roman No9 L"/>
          <w:sz w:val="24"/>
          <w:highlight w:val="none"/>
        </w:rPr>
      </w:pPr>
      <w:r>
        <w:rPr>
          <w:rFonts w:hint="default" w:ascii="Nimbus Roman No9 L" w:hAnsi="Nimbus Roman No9 L" w:eastAsia="宋体" w:cs="Nimbus Roman No9 L"/>
          <w:b/>
          <w:bCs/>
          <w:color w:val="000000"/>
          <w:kern w:val="0"/>
          <w:sz w:val="24"/>
          <w:highlight w:val="none"/>
          <w:lang w:val="en-US" w:eastAsia="zh-CN" w:bidi="ar"/>
        </w:rPr>
        <w:t>项目</w:t>
      </w:r>
      <w:r>
        <w:rPr>
          <w:rFonts w:hint="default" w:ascii="Nimbus Roman No9 L" w:hAnsi="Nimbus Roman No9 L" w:eastAsia="宋体" w:cs="Nimbus Roman No9 L"/>
          <w:b/>
          <w:bCs/>
          <w:color w:val="000000"/>
          <w:kern w:val="0"/>
          <w:sz w:val="24"/>
          <w:highlight w:val="none"/>
          <w:lang w:bidi="ar"/>
        </w:rPr>
        <w:t>名称：</w:t>
      </w:r>
    </w:p>
    <w:tbl>
      <w:tblPr>
        <w:tblStyle w:val="12"/>
        <w:tblW w:w="0" w:type="auto"/>
        <w:tblInd w:w="93" w:type="dxa"/>
        <w:tblLayout w:type="fixed"/>
        <w:tblCellMar>
          <w:top w:w="0" w:type="dxa"/>
          <w:left w:w="108" w:type="dxa"/>
          <w:bottom w:w="0" w:type="dxa"/>
          <w:right w:w="108" w:type="dxa"/>
        </w:tblCellMar>
      </w:tblPr>
      <w:tblGrid>
        <w:gridCol w:w="5576"/>
        <w:gridCol w:w="1287"/>
        <w:gridCol w:w="1200"/>
        <w:gridCol w:w="1163"/>
        <w:gridCol w:w="1125"/>
        <w:gridCol w:w="1112"/>
        <w:gridCol w:w="1075"/>
        <w:gridCol w:w="963"/>
        <w:gridCol w:w="1019"/>
      </w:tblGrid>
      <w:tr w14:paraId="7C42CDB3">
        <w:tblPrEx>
          <w:tblCellMar>
            <w:top w:w="0" w:type="dxa"/>
            <w:left w:w="108" w:type="dxa"/>
            <w:bottom w:w="0" w:type="dxa"/>
            <w:right w:w="108" w:type="dxa"/>
          </w:tblCellMar>
        </w:tblPrEx>
        <w:trPr>
          <w:trHeight w:val="446" w:hRule="atLeast"/>
        </w:trPr>
        <w:tc>
          <w:tcPr>
            <w:tcW w:w="5576" w:type="dxa"/>
            <w:tcBorders>
              <w:top w:val="single" w:color="auto" w:sz="8" w:space="0"/>
              <w:left w:val="single" w:color="auto" w:sz="8" w:space="0"/>
              <w:bottom w:val="single" w:color="auto" w:sz="4" w:space="0"/>
              <w:right w:val="single" w:color="auto" w:sz="4" w:space="0"/>
              <w:tl2br w:val="single" w:color="auto" w:sz="4" w:space="0"/>
            </w:tcBorders>
            <w:noWrap w:val="0"/>
            <w:vAlign w:val="bottom"/>
          </w:tcPr>
          <w:p w14:paraId="77E00C59">
            <w:pPr>
              <w:keepNext w:val="0"/>
              <w:keepLines w:val="0"/>
              <w:pageBreakBefore w:val="0"/>
              <w:widowControl/>
              <w:kinsoku/>
              <w:wordWrap/>
              <w:overflowPunct/>
              <w:topLinePunct w:val="0"/>
              <w:autoSpaceDE/>
              <w:autoSpaceDN/>
              <w:bidi w:val="0"/>
              <w:adjustRightInd/>
              <w:snapToGrid/>
              <w:spacing w:line="400" w:lineRule="exact"/>
              <w:jc w:val="left"/>
              <w:rPr>
                <w:rFonts w:hint="default" w:ascii="Nimbus Roman No9 L" w:hAnsi="Nimbus Roman No9 L" w:cs="Nimbus Roman No9 L"/>
                <w:bCs/>
                <w:kern w:val="0"/>
                <w:sz w:val="21"/>
                <w:szCs w:val="21"/>
                <w:highlight w:val="none"/>
              </w:rPr>
            </w:pPr>
            <w:r>
              <w:rPr>
                <w:rFonts w:hint="default" w:ascii="Nimbus Roman No9 L" w:hAnsi="Nimbus Roman No9 L" w:cs="Nimbus Roman No9 L"/>
                <w:bCs/>
                <w:kern w:val="0"/>
                <w:sz w:val="21"/>
                <w:szCs w:val="21"/>
                <w:highlight w:val="none"/>
              </w:rPr>
              <w:t xml:space="preserve">          </w:t>
            </w:r>
            <w:r>
              <w:rPr>
                <w:rFonts w:hint="default" w:ascii="Nimbus Roman No9 L" w:hAnsi="Nimbus Roman No9 L" w:eastAsia="宋体" w:cs="Nimbus Roman No9 L"/>
                <w:color w:val="000000"/>
                <w:kern w:val="0"/>
                <w:sz w:val="24"/>
                <w:highlight w:val="none"/>
                <w:lang w:bidi="ar"/>
              </w:rPr>
              <w:t xml:space="preserve"> </w:t>
            </w:r>
            <w:r>
              <w:rPr>
                <w:rFonts w:hint="default" w:ascii="Nimbus Roman No9 L" w:hAnsi="Nimbus Roman No9 L" w:eastAsia="宋体" w:cs="Nimbus Roman No9 L"/>
                <w:color w:val="000000"/>
                <w:kern w:val="0"/>
                <w:sz w:val="24"/>
                <w:highlight w:val="none"/>
                <w:lang w:val="en-US" w:eastAsia="zh-CN" w:bidi="ar"/>
              </w:rPr>
              <w:t xml:space="preserve">                 </w:t>
            </w:r>
            <w:r>
              <w:rPr>
                <w:rFonts w:hint="default" w:ascii="Nimbus Roman No9 L" w:hAnsi="Nimbus Roman No9 L" w:eastAsia="宋体" w:cs="Nimbus Roman No9 L"/>
                <w:color w:val="000000"/>
                <w:kern w:val="0"/>
                <w:sz w:val="24"/>
                <w:highlight w:val="none"/>
                <w:lang w:bidi="ar"/>
              </w:rPr>
              <w:t>投标单位</w:t>
            </w:r>
            <w:r>
              <w:rPr>
                <w:rFonts w:hint="default" w:ascii="Nimbus Roman No9 L" w:hAnsi="Nimbus Roman No9 L" w:eastAsia="宋体" w:cs="Nimbus Roman No9 L"/>
                <w:color w:val="000000"/>
                <w:kern w:val="0"/>
                <w:sz w:val="24"/>
                <w:highlight w:val="none"/>
                <w:lang w:bidi="ar"/>
              </w:rPr>
              <w:br w:type="textWrapping"/>
            </w:r>
            <w:r>
              <w:rPr>
                <w:rFonts w:hint="default" w:ascii="Nimbus Roman No9 L" w:hAnsi="Nimbus Roman No9 L" w:eastAsia="宋体" w:cs="Nimbus Roman No9 L"/>
                <w:color w:val="000000"/>
                <w:kern w:val="0"/>
                <w:sz w:val="24"/>
                <w:highlight w:val="none"/>
                <w:lang w:bidi="ar"/>
              </w:rPr>
              <w:t xml:space="preserve"> </w:t>
            </w:r>
            <w:r>
              <w:rPr>
                <w:rFonts w:hint="default" w:ascii="Nimbus Roman No9 L" w:hAnsi="Nimbus Roman No9 L" w:eastAsia="宋体" w:cs="Nimbus Roman No9 L"/>
                <w:color w:val="000000"/>
                <w:kern w:val="0"/>
                <w:sz w:val="24"/>
                <w:highlight w:val="none"/>
                <w:lang w:val="en-US" w:eastAsia="zh-CN" w:bidi="ar"/>
              </w:rPr>
              <w:t xml:space="preserve">  </w:t>
            </w:r>
            <w:r>
              <w:rPr>
                <w:rFonts w:hint="default" w:ascii="Nimbus Roman No9 L" w:hAnsi="Nimbus Roman No9 L" w:eastAsia="宋体" w:cs="Nimbus Roman No9 L"/>
                <w:color w:val="000000"/>
                <w:kern w:val="0"/>
                <w:sz w:val="24"/>
                <w:highlight w:val="none"/>
                <w:lang w:bidi="ar"/>
              </w:rPr>
              <w:t>内容</w:t>
            </w:r>
          </w:p>
        </w:tc>
        <w:tc>
          <w:tcPr>
            <w:tcW w:w="1287" w:type="dxa"/>
            <w:tcBorders>
              <w:top w:val="single" w:color="auto" w:sz="8" w:space="0"/>
              <w:left w:val="nil"/>
              <w:bottom w:val="single" w:color="auto" w:sz="4" w:space="0"/>
              <w:right w:val="single" w:color="auto" w:sz="4" w:space="0"/>
            </w:tcBorders>
            <w:noWrap w:val="0"/>
            <w:vAlign w:val="center"/>
          </w:tcPr>
          <w:p w14:paraId="6EAE8E3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val="en-US" w:eastAsia="zh-CN" w:bidi="ar"/>
              </w:rPr>
              <w:t>投标人1</w:t>
            </w:r>
          </w:p>
        </w:tc>
        <w:tc>
          <w:tcPr>
            <w:tcW w:w="1200" w:type="dxa"/>
            <w:tcBorders>
              <w:top w:val="single" w:color="auto" w:sz="8" w:space="0"/>
              <w:left w:val="nil"/>
              <w:bottom w:val="single" w:color="auto" w:sz="4" w:space="0"/>
              <w:right w:val="single" w:color="auto" w:sz="4" w:space="0"/>
            </w:tcBorders>
            <w:noWrap w:val="0"/>
            <w:vAlign w:val="center"/>
          </w:tcPr>
          <w:p w14:paraId="1D25F5F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bidi="ar"/>
              </w:rPr>
              <w:t>投标人</w:t>
            </w:r>
            <w:r>
              <w:rPr>
                <w:rFonts w:hint="default" w:ascii="Nimbus Roman No9 L" w:hAnsi="Nimbus Roman No9 L" w:eastAsia="宋体" w:cs="Nimbus Roman No9 L"/>
                <w:color w:val="000000"/>
                <w:kern w:val="0"/>
                <w:sz w:val="24"/>
                <w:highlight w:val="none"/>
                <w:lang w:val="en-US" w:eastAsia="zh-CN" w:bidi="ar"/>
              </w:rPr>
              <w:t>2</w:t>
            </w:r>
          </w:p>
        </w:tc>
        <w:tc>
          <w:tcPr>
            <w:tcW w:w="1163" w:type="dxa"/>
            <w:tcBorders>
              <w:top w:val="single" w:color="auto" w:sz="8" w:space="0"/>
              <w:left w:val="nil"/>
              <w:bottom w:val="single" w:color="auto" w:sz="4" w:space="0"/>
              <w:right w:val="single" w:color="auto" w:sz="4" w:space="0"/>
            </w:tcBorders>
            <w:noWrap w:val="0"/>
            <w:vAlign w:val="center"/>
          </w:tcPr>
          <w:p w14:paraId="1E894860">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lang w:val="en-US" w:eastAsia="zh-CN"/>
              </w:rPr>
              <w:t>……</w:t>
            </w:r>
          </w:p>
        </w:tc>
        <w:tc>
          <w:tcPr>
            <w:tcW w:w="1125" w:type="dxa"/>
            <w:tcBorders>
              <w:top w:val="single" w:color="auto" w:sz="8" w:space="0"/>
              <w:left w:val="nil"/>
              <w:bottom w:val="single" w:color="auto" w:sz="4" w:space="0"/>
              <w:right w:val="single" w:color="auto" w:sz="4" w:space="0"/>
            </w:tcBorders>
            <w:noWrap w:val="0"/>
            <w:vAlign w:val="center"/>
          </w:tcPr>
          <w:p w14:paraId="043FC165">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112" w:type="dxa"/>
            <w:tcBorders>
              <w:top w:val="single" w:color="auto" w:sz="8" w:space="0"/>
              <w:left w:val="nil"/>
              <w:bottom w:val="single" w:color="auto" w:sz="4" w:space="0"/>
              <w:right w:val="single" w:color="auto" w:sz="4" w:space="0"/>
            </w:tcBorders>
            <w:noWrap w:val="0"/>
            <w:vAlign w:val="center"/>
          </w:tcPr>
          <w:p w14:paraId="0B3EDBAE">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075" w:type="dxa"/>
            <w:tcBorders>
              <w:top w:val="single" w:color="auto" w:sz="8" w:space="0"/>
              <w:left w:val="nil"/>
              <w:bottom w:val="single" w:color="auto" w:sz="4" w:space="0"/>
              <w:right w:val="single" w:color="auto" w:sz="4" w:space="0"/>
            </w:tcBorders>
            <w:noWrap w:val="0"/>
            <w:vAlign w:val="center"/>
          </w:tcPr>
          <w:p w14:paraId="3C901456">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963" w:type="dxa"/>
            <w:tcBorders>
              <w:top w:val="single" w:color="auto" w:sz="8" w:space="0"/>
              <w:left w:val="nil"/>
              <w:bottom w:val="single" w:color="auto" w:sz="4" w:space="0"/>
              <w:right w:val="single" w:color="auto" w:sz="4" w:space="0"/>
            </w:tcBorders>
            <w:noWrap w:val="0"/>
            <w:vAlign w:val="center"/>
          </w:tcPr>
          <w:p w14:paraId="2A3872D7">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019" w:type="dxa"/>
            <w:tcBorders>
              <w:top w:val="single" w:color="auto" w:sz="8" w:space="0"/>
              <w:left w:val="nil"/>
              <w:bottom w:val="single" w:color="auto" w:sz="4" w:space="0"/>
              <w:right w:val="single" w:color="auto" w:sz="8" w:space="0"/>
            </w:tcBorders>
            <w:noWrap w:val="0"/>
            <w:vAlign w:val="center"/>
          </w:tcPr>
          <w:p w14:paraId="22AF84EB">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r>
      <w:tr w14:paraId="0BD6B9C6">
        <w:tblPrEx>
          <w:tblCellMar>
            <w:top w:w="0" w:type="dxa"/>
            <w:left w:w="108" w:type="dxa"/>
            <w:bottom w:w="0" w:type="dxa"/>
            <w:right w:w="108" w:type="dxa"/>
          </w:tblCellMar>
        </w:tblPrEx>
        <w:trPr>
          <w:trHeight w:val="522" w:hRule="atLeast"/>
        </w:trPr>
        <w:tc>
          <w:tcPr>
            <w:tcW w:w="5576" w:type="dxa"/>
            <w:tcBorders>
              <w:top w:val="single" w:color="auto" w:sz="4" w:space="0"/>
              <w:left w:val="single" w:color="auto" w:sz="8" w:space="0"/>
              <w:bottom w:val="single" w:color="auto" w:sz="4" w:space="0"/>
              <w:right w:val="single" w:color="auto" w:sz="4" w:space="0"/>
            </w:tcBorders>
            <w:noWrap w:val="0"/>
            <w:vAlign w:val="center"/>
          </w:tcPr>
          <w:p w14:paraId="2E9C83E5">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bCs/>
                <w:kern w:val="0"/>
                <w:sz w:val="21"/>
                <w:szCs w:val="21"/>
                <w:highlight w:val="none"/>
              </w:rPr>
            </w:pPr>
            <w:r>
              <w:rPr>
                <w:rFonts w:hint="default" w:ascii="Nimbus Roman No9 L" w:hAnsi="Nimbus Roman No9 L" w:eastAsia="宋体" w:cs="Nimbus Roman No9 L"/>
                <w:color w:val="000000"/>
                <w:kern w:val="0"/>
                <w:sz w:val="24"/>
                <w:highlight w:val="none"/>
                <w:lang w:val="en-US" w:eastAsia="zh-CN" w:bidi="ar"/>
              </w:rPr>
              <w:t>投标报价</w:t>
            </w:r>
          </w:p>
        </w:tc>
        <w:tc>
          <w:tcPr>
            <w:tcW w:w="1287" w:type="dxa"/>
            <w:tcBorders>
              <w:top w:val="nil"/>
              <w:left w:val="nil"/>
              <w:bottom w:val="single" w:color="auto" w:sz="4" w:space="0"/>
              <w:right w:val="single" w:color="auto" w:sz="4" w:space="0"/>
            </w:tcBorders>
            <w:noWrap w:val="0"/>
            <w:vAlign w:val="center"/>
          </w:tcPr>
          <w:p w14:paraId="7440D800">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200" w:type="dxa"/>
            <w:tcBorders>
              <w:top w:val="nil"/>
              <w:left w:val="nil"/>
              <w:bottom w:val="single" w:color="auto" w:sz="4" w:space="0"/>
              <w:right w:val="single" w:color="auto" w:sz="4" w:space="0"/>
            </w:tcBorders>
            <w:noWrap w:val="0"/>
            <w:vAlign w:val="center"/>
          </w:tcPr>
          <w:p w14:paraId="6F0D18B1">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163" w:type="dxa"/>
            <w:tcBorders>
              <w:top w:val="nil"/>
              <w:left w:val="nil"/>
              <w:bottom w:val="single" w:color="auto" w:sz="4" w:space="0"/>
              <w:right w:val="single" w:color="auto" w:sz="4" w:space="0"/>
            </w:tcBorders>
            <w:noWrap w:val="0"/>
            <w:vAlign w:val="center"/>
          </w:tcPr>
          <w:p w14:paraId="021A58F9">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125" w:type="dxa"/>
            <w:tcBorders>
              <w:top w:val="nil"/>
              <w:left w:val="nil"/>
              <w:bottom w:val="single" w:color="auto" w:sz="4" w:space="0"/>
              <w:right w:val="single" w:color="auto" w:sz="4" w:space="0"/>
            </w:tcBorders>
            <w:noWrap w:val="0"/>
            <w:vAlign w:val="center"/>
          </w:tcPr>
          <w:p w14:paraId="7CC51322">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112" w:type="dxa"/>
            <w:tcBorders>
              <w:top w:val="nil"/>
              <w:left w:val="nil"/>
              <w:bottom w:val="single" w:color="auto" w:sz="4" w:space="0"/>
              <w:right w:val="single" w:color="auto" w:sz="4" w:space="0"/>
            </w:tcBorders>
            <w:noWrap w:val="0"/>
            <w:vAlign w:val="center"/>
          </w:tcPr>
          <w:p w14:paraId="3D7A6FEB">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075" w:type="dxa"/>
            <w:tcBorders>
              <w:top w:val="nil"/>
              <w:left w:val="nil"/>
              <w:bottom w:val="single" w:color="auto" w:sz="4" w:space="0"/>
              <w:right w:val="single" w:color="auto" w:sz="4" w:space="0"/>
            </w:tcBorders>
            <w:noWrap w:val="0"/>
            <w:vAlign w:val="center"/>
          </w:tcPr>
          <w:p w14:paraId="43304062">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963" w:type="dxa"/>
            <w:tcBorders>
              <w:top w:val="nil"/>
              <w:left w:val="nil"/>
              <w:bottom w:val="single" w:color="auto" w:sz="4" w:space="0"/>
              <w:right w:val="single" w:color="auto" w:sz="4" w:space="0"/>
            </w:tcBorders>
            <w:noWrap w:val="0"/>
            <w:vAlign w:val="center"/>
          </w:tcPr>
          <w:p w14:paraId="4A7C739F">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c>
          <w:tcPr>
            <w:tcW w:w="1019" w:type="dxa"/>
            <w:tcBorders>
              <w:top w:val="nil"/>
              <w:left w:val="nil"/>
              <w:bottom w:val="single" w:color="auto" w:sz="4" w:space="0"/>
              <w:right w:val="single" w:color="auto" w:sz="8" w:space="0"/>
            </w:tcBorders>
            <w:noWrap w:val="0"/>
            <w:vAlign w:val="center"/>
          </w:tcPr>
          <w:p w14:paraId="301E1E3A">
            <w:pPr>
              <w:keepNext w:val="0"/>
              <w:keepLines w:val="0"/>
              <w:pageBreakBefore w:val="0"/>
              <w:widowControl/>
              <w:kinsoku/>
              <w:wordWrap/>
              <w:overflowPunct/>
              <w:topLinePunct w:val="0"/>
              <w:autoSpaceDE/>
              <w:autoSpaceDN/>
              <w:bidi w:val="0"/>
              <w:adjustRightInd/>
              <w:snapToGrid/>
              <w:spacing w:line="400" w:lineRule="exact"/>
              <w:jc w:val="center"/>
              <w:rPr>
                <w:rFonts w:hint="default" w:ascii="Nimbus Roman No9 L" w:hAnsi="Nimbus Roman No9 L" w:cs="Nimbus Roman No9 L"/>
                <w:kern w:val="0"/>
                <w:sz w:val="21"/>
                <w:szCs w:val="21"/>
                <w:highlight w:val="none"/>
              </w:rPr>
            </w:pPr>
          </w:p>
        </w:tc>
      </w:tr>
      <w:tr w14:paraId="73AEE923">
        <w:tblPrEx>
          <w:tblCellMar>
            <w:top w:w="0" w:type="dxa"/>
            <w:left w:w="108" w:type="dxa"/>
            <w:bottom w:w="0" w:type="dxa"/>
            <w:right w:w="108" w:type="dxa"/>
          </w:tblCellMar>
        </w:tblPrEx>
        <w:trPr>
          <w:trHeight w:val="522" w:hRule="atLeast"/>
        </w:trPr>
        <w:tc>
          <w:tcPr>
            <w:tcW w:w="5576" w:type="dxa"/>
            <w:tcBorders>
              <w:top w:val="single" w:color="auto" w:sz="4" w:space="0"/>
              <w:left w:val="single" w:color="auto" w:sz="8" w:space="0"/>
              <w:bottom w:val="single" w:color="auto" w:sz="4" w:space="0"/>
              <w:right w:val="single" w:color="auto" w:sz="4" w:space="0"/>
            </w:tcBorders>
            <w:noWrap w:val="0"/>
            <w:vAlign w:val="center"/>
          </w:tcPr>
          <w:p w14:paraId="004AD0B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投标人的报价均值：</w:t>
            </w:r>
          </w:p>
          <w:p w14:paraId="34EAFC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投标企业少于5家（不含）直接取算术平均值；大于5家（含）时去掉总家数20%高价（四舍五入取整）和总家数20%低价（四舍五入取整）后的取算术平均值</w:t>
            </w:r>
          </w:p>
        </w:tc>
        <w:tc>
          <w:tcPr>
            <w:tcW w:w="8944" w:type="dxa"/>
            <w:gridSpan w:val="8"/>
            <w:tcBorders>
              <w:top w:val="single" w:color="auto" w:sz="4" w:space="0"/>
              <w:left w:val="nil"/>
              <w:bottom w:val="single" w:color="auto" w:sz="4" w:space="0"/>
              <w:right w:val="single" w:color="000000" w:sz="8" w:space="0"/>
            </w:tcBorders>
            <w:noWrap w:val="0"/>
            <w:vAlign w:val="center"/>
          </w:tcPr>
          <w:p w14:paraId="70CFD9C3">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cs="Nimbus Roman No9 L"/>
                <w:kern w:val="0"/>
                <w:sz w:val="21"/>
                <w:szCs w:val="21"/>
                <w:highlight w:val="none"/>
              </w:rPr>
            </w:pPr>
          </w:p>
        </w:tc>
      </w:tr>
      <w:tr w14:paraId="4F39A8E9">
        <w:tblPrEx>
          <w:tblCellMar>
            <w:top w:w="0" w:type="dxa"/>
            <w:left w:w="108" w:type="dxa"/>
            <w:bottom w:w="0" w:type="dxa"/>
            <w:right w:w="108" w:type="dxa"/>
          </w:tblCellMar>
        </w:tblPrEx>
        <w:trPr>
          <w:trHeight w:val="1113" w:hRule="atLeast"/>
        </w:trPr>
        <w:tc>
          <w:tcPr>
            <w:tcW w:w="5576" w:type="dxa"/>
            <w:vMerge w:val="restart"/>
            <w:tcBorders>
              <w:top w:val="single" w:color="auto" w:sz="4" w:space="0"/>
              <w:left w:val="single" w:color="auto" w:sz="8" w:space="0"/>
              <w:right w:val="single" w:color="auto" w:sz="4" w:space="0"/>
            </w:tcBorders>
            <w:noWrap w:val="0"/>
            <w:vAlign w:val="center"/>
          </w:tcPr>
          <w:p w14:paraId="5ECBCA9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基准价计算取值范围：</w:t>
            </w:r>
          </w:p>
          <w:p w14:paraId="1F09420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房屋建筑工程（不包含单独招标的安装工程和装饰装修工程）的报价取值范围为报价均值的93％至103％</w:t>
            </w:r>
            <w:r>
              <w:rPr>
                <w:rFonts w:hint="eastAsia" w:ascii="Nimbus Roman No9 L" w:hAnsi="Nimbus Roman No9 L" w:cs="Nimbus Roman No9 L"/>
                <w:color w:val="000000"/>
                <w:kern w:val="0"/>
                <w:sz w:val="24"/>
                <w:highlight w:val="none"/>
                <w:lang w:val="en-US" w:eastAsia="zh-CN" w:bidi="ar"/>
              </w:rPr>
              <w:t>（</w:t>
            </w:r>
            <w:r>
              <w:rPr>
                <w:rFonts w:hint="default" w:ascii="Nimbus Roman No9 L" w:hAnsi="Nimbus Roman No9 L" w:eastAsia="宋体" w:cs="Nimbus Roman No9 L"/>
                <w:color w:val="000000"/>
                <w:kern w:val="0"/>
                <w:sz w:val="24"/>
                <w:highlight w:val="none"/>
                <w:lang w:val="en-US" w:eastAsia="zh-CN" w:bidi="ar"/>
              </w:rPr>
              <w:t>含</w:t>
            </w:r>
            <w:r>
              <w:rPr>
                <w:rFonts w:hint="eastAsia" w:ascii="Nimbus Roman No9 L" w:hAnsi="Nimbus Roman No9 L" w:cs="Nimbus Roman No9 L"/>
                <w:color w:val="000000"/>
                <w:kern w:val="0"/>
                <w:sz w:val="24"/>
                <w:highlight w:val="none"/>
                <w:lang w:val="en-US" w:eastAsia="zh-CN" w:bidi="ar"/>
              </w:rPr>
              <w:t>）</w:t>
            </w:r>
            <w:r>
              <w:rPr>
                <w:rFonts w:hint="default" w:ascii="Nimbus Roman No9 L" w:hAnsi="Nimbus Roman No9 L" w:eastAsia="宋体" w:cs="Nimbus Roman No9 L"/>
                <w:color w:val="000000"/>
                <w:kern w:val="0"/>
                <w:sz w:val="24"/>
                <w:highlight w:val="none"/>
                <w:lang w:val="en-US" w:eastAsia="zh-CN" w:bidi="ar"/>
              </w:rPr>
              <w:t>；</w:t>
            </w:r>
            <w:r>
              <w:rPr>
                <w:rFonts w:hint="eastAsia" w:ascii="Nimbus Roman No9 L" w:hAnsi="Nimbus Roman No9 L" w:cs="Nimbus Roman No9 L"/>
                <w:color w:val="000000"/>
                <w:kern w:val="0"/>
                <w:sz w:val="24"/>
                <w:highlight w:val="none"/>
                <w:lang w:val="en-US" w:eastAsia="zh-CN" w:bidi="ar"/>
              </w:rPr>
              <w:t>其他</w:t>
            </w:r>
            <w:r>
              <w:rPr>
                <w:rFonts w:hint="default" w:ascii="Nimbus Roman No9 L" w:hAnsi="Nimbus Roman No9 L" w:eastAsia="宋体" w:cs="Nimbus Roman No9 L"/>
                <w:color w:val="000000"/>
                <w:kern w:val="0"/>
                <w:sz w:val="24"/>
                <w:highlight w:val="none"/>
                <w:lang w:val="en-US" w:eastAsia="zh-CN" w:bidi="ar"/>
              </w:rPr>
              <w:t>工程投标报价取值范围为报价均值的90％至105％（含）</w:t>
            </w:r>
          </w:p>
        </w:tc>
        <w:tc>
          <w:tcPr>
            <w:tcW w:w="2487" w:type="dxa"/>
            <w:gridSpan w:val="2"/>
            <w:tcBorders>
              <w:top w:val="single" w:color="auto" w:sz="4" w:space="0"/>
              <w:left w:val="nil"/>
              <w:bottom w:val="single" w:color="auto" w:sz="4" w:space="0"/>
              <w:right w:val="single" w:color="auto" w:sz="4" w:space="0"/>
            </w:tcBorders>
            <w:noWrap w:val="0"/>
            <w:vAlign w:val="center"/>
          </w:tcPr>
          <w:p w14:paraId="0FEB11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上限百分比</w:t>
            </w:r>
          </w:p>
        </w:tc>
        <w:tc>
          <w:tcPr>
            <w:tcW w:w="2288" w:type="dxa"/>
            <w:gridSpan w:val="2"/>
            <w:tcBorders>
              <w:top w:val="single" w:color="auto" w:sz="4" w:space="0"/>
              <w:left w:val="single" w:color="auto" w:sz="4" w:space="0"/>
              <w:bottom w:val="single" w:color="auto" w:sz="4" w:space="0"/>
              <w:right w:val="single" w:color="auto" w:sz="4" w:space="0"/>
            </w:tcBorders>
            <w:noWrap w:val="0"/>
            <w:vAlign w:val="center"/>
          </w:tcPr>
          <w:p w14:paraId="060D180A">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cs="Nimbus Roman No9 L"/>
                <w:kern w:val="0"/>
                <w:sz w:val="21"/>
                <w:szCs w:val="21"/>
                <w:highlight w:val="none"/>
              </w:rPr>
            </w:pPr>
          </w:p>
        </w:tc>
        <w:tc>
          <w:tcPr>
            <w:tcW w:w="2187" w:type="dxa"/>
            <w:gridSpan w:val="2"/>
            <w:tcBorders>
              <w:top w:val="single" w:color="auto" w:sz="4" w:space="0"/>
              <w:left w:val="single" w:color="auto" w:sz="4" w:space="0"/>
              <w:bottom w:val="single" w:color="auto" w:sz="4" w:space="0"/>
              <w:right w:val="single" w:color="auto" w:sz="4" w:space="0"/>
            </w:tcBorders>
            <w:noWrap w:val="0"/>
            <w:vAlign w:val="center"/>
          </w:tcPr>
          <w:p w14:paraId="30A0D63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下限百分比</w:t>
            </w:r>
          </w:p>
        </w:tc>
        <w:tc>
          <w:tcPr>
            <w:tcW w:w="1982" w:type="dxa"/>
            <w:gridSpan w:val="2"/>
            <w:tcBorders>
              <w:top w:val="single" w:color="auto" w:sz="4" w:space="0"/>
              <w:left w:val="single" w:color="auto" w:sz="4" w:space="0"/>
              <w:bottom w:val="single" w:color="auto" w:sz="4" w:space="0"/>
              <w:right w:val="single" w:color="000000" w:sz="8" w:space="0"/>
            </w:tcBorders>
            <w:noWrap w:val="0"/>
            <w:vAlign w:val="center"/>
          </w:tcPr>
          <w:p w14:paraId="6A9978AF">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cs="Nimbus Roman No9 L"/>
                <w:kern w:val="0"/>
                <w:sz w:val="21"/>
                <w:szCs w:val="21"/>
                <w:highlight w:val="none"/>
              </w:rPr>
            </w:pPr>
          </w:p>
        </w:tc>
      </w:tr>
      <w:tr w14:paraId="4A8C4875">
        <w:tblPrEx>
          <w:tblCellMar>
            <w:top w:w="0" w:type="dxa"/>
            <w:left w:w="108" w:type="dxa"/>
            <w:bottom w:w="0" w:type="dxa"/>
            <w:right w:w="108" w:type="dxa"/>
          </w:tblCellMar>
        </w:tblPrEx>
        <w:trPr>
          <w:trHeight w:val="1151" w:hRule="atLeast"/>
        </w:trPr>
        <w:tc>
          <w:tcPr>
            <w:tcW w:w="5576" w:type="dxa"/>
            <w:vMerge w:val="continue"/>
            <w:tcBorders>
              <w:left w:val="single" w:color="auto" w:sz="8" w:space="0"/>
              <w:bottom w:val="single" w:color="auto" w:sz="4" w:space="0"/>
              <w:right w:val="single" w:color="auto" w:sz="4" w:space="0"/>
            </w:tcBorders>
            <w:noWrap w:val="0"/>
            <w:vAlign w:val="center"/>
          </w:tcPr>
          <w:p w14:paraId="1CA821FC">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lang w:val="en-US" w:eastAsia="zh-CN"/>
              </w:rPr>
            </w:pPr>
          </w:p>
        </w:tc>
        <w:tc>
          <w:tcPr>
            <w:tcW w:w="2487" w:type="dxa"/>
            <w:gridSpan w:val="2"/>
            <w:tcBorders>
              <w:top w:val="single" w:color="auto" w:sz="4" w:space="0"/>
              <w:left w:val="nil"/>
              <w:bottom w:val="single" w:color="auto" w:sz="4" w:space="0"/>
              <w:right w:val="single" w:color="auto" w:sz="4" w:space="0"/>
            </w:tcBorders>
            <w:noWrap w:val="0"/>
            <w:vAlign w:val="center"/>
          </w:tcPr>
          <w:p w14:paraId="5E2811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投标报价上限取值=投标人的报价均值×上限百分比</w:t>
            </w:r>
          </w:p>
        </w:tc>
        <w:tc>
          <w:tcPr>
            <w:tcW w:w="2288" w:type="dxa"/>
            <w:gridSpan w:val="2"/>
            <w:tcBorders>
              <w:top w:val="single" w:color="auto" w:sz="4" w:space="0"/>
              <w:left w:val="single" w:color="auto" w:sz="4" w:space="0"/>
              <w:bottom w:val="single" w:color="auto" w:sz="4" w:space="0"/>
              <w:right w:val="single" w:color="auto" w:sz="4" w:space="0"/>
            </w:tcBorders>
            <w:noWrap w:val="0"/>
            <w:vAlign w:val="center"/>
          </w:tcPr>
          <w:p w14:paraId="78DCDDC3">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cs="Nimbus Roman No9 L"/>
                <w:kern w:val="0"/>
                <w:sz w:val="21"/>
                <w:szCs w:val="21"/>
                <w:highlight w:val="none"/>
              </w:rPr>
            </w:pPr>
          </w:p>
        </w:tc>
        <w:tc>
          <w:tcPr>
            <w:tcW w:w="2187" w:type="dxa"/>
            <w:gridSpan w:val="2"/>
            <w:tcBorders>
              <w:top w:val="single" w:color="auto" w:sz="4" w:space="0"/>
              <w:left w:val="single" w:color="auto" w:sz="4" w:space="0"/>
              <w:bottom w:val="single" w:color="auto" w:sz="4" w:space="0"/>
              <w:right w:val="single" w:color="auto" w:sz="4" w:space="0"/>
            </w:tcBorders>
            <w:noWrap w:val="0"/>
            <w:vAlign w:val="center"/>
          </w:tcPr>
          <w:p w14:paraId="187CD78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投标报价下限取值=投标人的报价均值×下限百分比</w:t>
            </w:r>
          </w:p>
        </w:tc>
        <w:tc>
          <w:tcPr>
            <w:tcW w:w="1982" w:type="dxa"/>
            <w:gridSpan w:val="2"/>
            <w:tcBorders>
              <w:top w:val="single" w:color="auto" w:sz="4" w:space="0"/>
              <w:left w:val="single" w:color="auto" w:sz="4" w:space="0"/>
              <w:bottom w:val="single" w:color="auto" w:sz="4" w:space="0"/>
              <w:right w:val="single" w:color="000000" w:sz="8" w:space="0"/>
            </w:tcBorders>
            <w:noWrap w:val="0"/>
            <w:vAlign w:val="center"/>
          </w:tcPr>
          <w:p w14:paraId="61A72DA6">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cs="Nimbus Roman No9 L"/>
                <w:kern w:val="0"/>
                <w:sz w:val="21"/>
                <w:szCs w:val="21"/>
                <w:highlight w:val="none"/>
              </w:rPr>
            </w:pPr>
          </w:p>
        </w:tc>
      </w:tr>
      <w:tr w14:paraId="21733FAC">
        <w:tblPrEx>
          <w:tblCellMar>
            <w:top w:w="0" w:type="dxa"/>
            <w:left w:w="108" w:type="dxa"/>
            <w:bottom w:w="0" w:type="dxa"/>
            <w:right w:w="108" w:type="dxa"/>
          </w:tblCellMar>
        </w:tblPrEx>
        <w:trPr>
          <w:trHeight w:val="749" w:hRule="atLeast"/>
        </w:trPr>
        <w:tc>
          <w:tcPr>
            <w:tcW w:w="5576" w:type="dxa"/>
            <w:tcBorders>
              <w:top w:val="single" w:color="auto" w:sz="4" w:space="0"/>
              <w:left w:val="single" w:color="auto" w:sz="8" w:space="0"/>
              <w:bottom w:val="single" w:color="auto" w:sz="4" w:space="0"/>
              <w:right w:val="single" w:color="000000" w:sz="4" w:space="0"/>
            </w:tcBorders>
            <w:noWrap w:val="0"/>
            <w:vAlign w:val="center"/>
          </w:tcPr>
          <w:p w14:paraId="7868839F">
            <w:pPr>
              <w:keepNext w:val="0"/>
              <w:keepLines w:val="0"/>
              <w:pageBreakBefore w:val="0"/>
              <w:widowControl/>
              <w:kinsoku/>
              <w:wordWrap/>
              <w:overflowPunct/>
              <w:topLinePunct w:val="0"/>
              <w:autoSpaceDE/>
              <w:autoSpaceDN/>
              <w:bidi w:val="0"/>
              <w:adjustRightInd/>
              <w:snapToGrid/>
              <w:spacing w:line="360" w:lineRule="exact"/>
              <w:jc w:val="center"/>
              <w:rPr>
                <w:rFonts w:hint="default" w:ascii="Nimbus Roman No9 L" w:hAnsi="Nimbus Roman No9 L" w:cs="Nimbus Roman No9 L"/>
                <w:kern w:val="0"/>
                <w:sz w:val="21"/>
                <w:szCs w:val="21"/>
                <w:highlight w:val="none"/>
              </w:rPr>
            </w:pPr>
            <w:r>
              <w:rPr>
                <w:rFonts w:hint="default" w:ascii="Nimbus Roman No9 L" w:hAnsi="Nimbus Roman No9 L" w:eastAsia="宋体" w:cs="Nimbus Roman No9 L"/>
                <w:color w:val="000000"/>
                <w:kern w:val="0"/>
                <w:sz w:val="24"/>
                <w:highlight w:val="none"/>
                <w:lang w:val="en-US" w:eastAsia="zh-CN" w:bidi="ar"/>
              </w:rPr>
              <w:t>是否超出报价取值范围</w:t>
            </w:r>
          </w:p>
        </w:tc>
        <w:tc>
          <w:tcPr>
            <w:tcW w:w="1287" w:type="dxa"/>
            <w:tcBorders>
              <w:top w:val="nil"/>
              <w:left w:val="nil"/>
              <w:bottom w:val="single" w:color="auto" w:sz="4" w:space="0"/>
              <w:right w:val="single" w:color="auto" w:sz="4" w:space="0"/>
            </w:tcBorders>
            <w:noWrap w:val="0"/>
            <w:vAlign w:val="bottom"/>
          </w:tcPr>
          <w:p w14:paraId="5415AF52">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c>
          <w:tcPr>
            <w:tcW w:w="1200" w:type="dxa"/>
            <w:tcBorders>
              <w:top w:val="nil"/>
              <w:left w:val="nil"/>
              <w:bottom w:val="single" w:color="auto" w:sz="4" w:space="0"/>
              <w:right w:val="single" w:color="auto" w:sz="4" w:space="0"/>
            </w:tcBorders>
            <w:noWrap w:val="0"/>
            <w:vAlign w:val="bottom"/>
          </w:tcPr>
          <w:p w14:paraId="6B37EF65">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c>
          <w:tcPr>
            <w:tcW w:w="1163" w:type="dxa"/>
            <w:tcBorders>
              <w:top w:val="nil"/>
              <w:left w:val="nil"/>
              <w:bottom w:val="single" w:color="auto" w:sz="4" w:space="0"/>
              <w:right w:val="single" w:color="auto" w:sz="4" w:space="0"/>
            </w:tcBorders>
            <w:noWrap w:val="0"/>
            <w:vAlign w:val="bottom"/>
          </w:tcPr>
          <w:p w14:paraId="5C4B0F5F">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c>
          <w:tcPr>
            <w:tcW w:w="1125" w:type="dxa"/>
            <w:tcBorders>
              <w:top w:val="nil"/>
              <w:left w:val="nil"/>
              <w:bottom w:val="single" w:color="auto" w:sz="4" w:space="0"/>
              <w:right w:val="single" w:color="auto" w:sz="4" w:space="0"/>
            </w:tcBorders>
            <w:noWrap w:val="0"/>
            <w:vAlign w:val="bottom"/>
          </w:tcPr>
          <w:p w14:paraId="4898444C">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c>
          <w:tcPr>
            <w:tcW w:w="1112" w:type="dxa"/>
            <w:tcBorders>
              <w:top w:val="nil"/>
              <w:left w:val="nil"/>
              <w:bottom w:val="single" w:color="auto" w:sz="4" w:space="0"/>
              <w:right w:val="single" w:color="auto" w:sz="4" w:space="0"/>
            </w:tcBorders>
            <w:noWrap w:val="0"/>
            <w:vAlign w:val="bottom"/>
          </w:tcPr>
          <w:p w14:paraId="30FCC794">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c>
          <w:tcPr>
            <w:tcW w:w="1075" w:type="dxa"/>
            <w:tcBorders>
              <w:top w:val="nil"/>
              <w:left w:val="nil"/>
              <w:bottom w:val="single" w:color="auto" w:sz="4" w:space="0"/>
              <w:right w:val="single" w:color="auto" w:sz="4" w:space="0"/>
            </w:tcBorders>
            <w:noWrap w:val="0"/>
            <w:vAlign w:val="bottom"/>
          </w:tcPr>
          <w:p w14:paraId="0E528439">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c>
          <w:tcPr>
            <w:tcW w:w="963" w:type="dxa"/>
            <w:tcBorders>
              <w:top w:val="nil"/>
              <w:left w:val="nil"/>
              <w:bottom w:val="single" w:color="auto" w:sz="4" w:space="0"/>
              <w:right w:val="single" w:color="auto" w:sz="4" w:space="0"/>
            </w:tcBorders>
            <w:noWrap w:val="0"/>
            <w:vAlign w:val="bottom"/>
          </w:tcPr>
          <w:p w14:paraId="239FB834">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c>
          <w:tcPr>
            <w:tcW w:w="1019" w:type="dxa"/>
            <w:tcBorders>
              <w:top w:val="nil"/>
              <w:left w:val="nil"/>
              <w:bottom w:val="single" w:color="auto" w:sz="4" w:space="0"/>
              <w:right w:val="single" w:color="auto" w:sz="8" w:space="0"/>
            </w:tcBorders>
            <w:noWrap w:val="0"/>
            <w:vAlign w:val="bottom"/>
          </w:tcPr>
          <w:p w14:paraId="3554C585">
            <w:pPr>
              <w:keepNext w:val="0"/>
              <w:keepLines w:val="0"/>
              <w:pageBreakBefore w:val="0"/>
              <w:widowControl/>
              <w:kinsoku/>
              <w:wordWrap/>
              <w:overflowPunct/>
              <w:topLinePunct w:val="0"/>
              <w:autoSpaceDE/>
              <w:autoSpaceDN/>
              <w:bidi w:val="0"/>
              <w:adjustRightInd/>
              <w:snapToGrid/>
              <w:spacing w:line="360" w:lineRule="exact"/>
              <w:jc w:val="left"/>
              <w:rPr>
                <w:rFonts w:hint="default" w:ascii="Nimbus Roman No9 L" w:hAnsi="Nimbus Roman No9 L" w:cs="Nimbus Roman No9 L"/>
                <w:kern w:val="0"/>
                <w:sz w:val="21"/>
                <w:szCs w:val="21"/>
                <w:highlight w:val="none"/>
              </w:rPr>
            </w:pPr>
            <w:r>
              <w:rPr>
                <w:rFonts w:hint="default" w:ascii="Nimbus Roman No9 L" w:hAnsi="Nimbus Roman No9 L" w:cs="Nimbus Roman No9 L"/>
                <w:kern w:val="0"/>
                <w:sz w:val="21"/>
                <w:szCs w:val="21"/>
                <w:highlight w:val="none"/>
              </w:rPr>
              <w:t>　</w:t>
            </w:r>
          </w:p>
        </w:tc>
      </w:tr>
    </w:tbl>
    <w:p w14:paraId="2646B106">
      <w:pPr>
        <w:spacing w:line="440" w:lineRule="exact"/>
        <w:jc w:val="left"/>
        <w:rPr>
          <w:rFonts w:hint="default" w:ascii="Nimbus Roman No9 L" w:hAnsi="Nimbus Roman No9 L" w:eastAsia="仿宋" w:cs="Nimbus Roman No9 L"/>
          <w:b/>
          <w:bCs/>
          <w:sz w:val="32"/>
          <w:szCs w:val="32"/>
          <w:highlight w:val="none"/>
        </w:rPr>
      </w:pPr>
    </w:p>
    <w:p w14:paraId="004140D2">
      <w:pPr>
        <w:spacing w:line="440" w:lineRule="exact"/>
        <w:jc w:val="left"/>
        <w:rPr>
          <w:rFonts w:hint="default" w:ascii="Nimbus Roman No9 L" w:hAnsi="Nimbus Roman No9 L" w:eastAsia="仿宋" w:cs="Nimbus Roman No9 L"/>
          <w:b/>
          <w:bCs/>
          <w:sz w:val="32"/>
          <w:szCs w:val="32"/>
          <w:highlight w:val="none"/>
          <w:lang w:eastAsia="zh-CN"/>
        </w:rPr>
      </w:pPr>
      <w:r>
        <w:rPr>
          <w:rFonts w:hint="default" w:ascii="Nimbus Roman No9 L" w:hAnsi="Nimbus Roman No9 L" w:eastAsia="仿宋" w:cs="Nimbus Roman No9 L"/>
          <w:b/>
          <w:bCs/>
          <w:sz w:val="32"/>
          <w:szCs w:val="32"/>
          <w:highlight w:val="none"/>
        </w:rPr>
        <w:t>附表2-</w:t>
      </w:r>
      <w:r>
        <w:rPr>
          <w:rFonts w:hint="default" w:ascii="Nimbus Roman No9 L" w:hAnsi="Nimbus Roman No9 L" w:eastAsia="仿宋" w:cs="Nimbus Roman No9 L"/>
          <w:b/>
          <w:bCs/>
          <w:sz w:val="32"/>
          <w:szCs w:val="32"/>
          <w:highlight w:val="none"/>
          <w:lang w:val="en-US" w:eastAsia="zh-CN"/>
        </w:rPr>
        <w:t>2</w:t>
      </w:r>
    </w:p>
    <w:tbl>
      <w:tblPr>
        <w:tblStyle w:val="12"/>
        <w:tblW w:w="0" w:type="auto"/>
        <w:tblInd w:w="0" w:type="dxa"/>
        <w:tblLayout w:type="fixed"/>
        <w:tblCellMar>
          <w:top w:w="0" w:type="dxa"/>
          <w:left w:w="0" w:type="dxa"/>
          <w:bottom w:w="0" w:type="dxa"/>
          <w:right w:w="0" w:type="dxa"/>
        </w:tblCellMar>
      </w:tblPr>
      <w:tblGrid>
        <w:gridCol w:w="4638"/>
        <w:gridCol w:w="3002"/>
        <w:gridCol w:w="1789"/>
        <w:gridCol w:w="2930"/>
        <w:gridCol w:w="1395"/>
      </w:tblGrid>
      <w:tr w14:paraId="793AB283">
        <w:tblPrEx>
          <w:tblCellMar>
            <w:top w:w="0" w:type="dxa"/>
            <w:left w:w="0" w:type="dxa"/>
            <w:bottom w:w="0" w:type="dxa"/>
            <w:right w:w="0" w:type="dxa"/>
          </w:tblCellMar>
        </w:tblPrEx>
        <w:trPr>
          <w:trHeight w:val="617" w:hRule="atLeast"/>
        </w:trPr>
        <w:tc>
          <w:tcPr>
            <w:tcW w:w="13754" w:type="dxa"/>
            <w:gridSpan w:val="5"/>
            <w:tcBorders>
              <w:top w:val="nil"/>
              <w:left w:val="nil"/>
              <w:bottom w:val="nil"/>
              <w:right w:val="nil"/>
            </w:tcBorders>
            <w:noWrap w:val="0"/>
            <w:tcMar>
              <w:top w:w="15" w:type="dxa"/>
              <w:left w:w="15" w:type="dxa"/>
              <w:right w:w="15" w:type="dxa"/>
            </w:tcMar>
            <w:vAlign w:val="center"/>
          </w:tcPr>
          <w:p w14:paraId="178135EC">
            <w:pPr>
              <w:widowControl/>
              <w:jc w:val="center"/>
              <w:textAlignment w:val="center"/>
              <w:rPr>
                <w:rFonts w:hint="default" w:ascii="Nimbus Roman No9 L" w:hAnsi="Nimbus Roman No9 L" w:eastAsia="宋体" w:cs="Nimbus Roman No9 L"/>
                <w:b/>
                <w:color w:val="000000"/>
                <w:sz w:val="40"/>
                <w:szCs w:val="40"/>
                <w:highlight w:val="none"/>
              </w:rPr>
            </w:pPr>
            <w:r>
              <w:rPr>
                <w:rFonts w:hint="default" w:ascii="Nimbus Roman No9 L" w:hAnsi="Nimbus Roman No9 L" w:eastAsia="宋体" w:cs="Nimbus Roman No9 L"/>
                <w:b/>
                <w:color w:val="000000"/>
                <w:kern w:val="0"/>
                <w:sz w:val="44"/>
                <w:szCs w:val="44"/>
                <w:highlight w:val="none"/>
                <w:lang w:bidi="ar"/>
              </w:rPr>
              <w:t>经评审的最低投标价法－经济标基准价计算表</w:t>
            </w:r>
          </w:p>
        </w:tc>
      </w:tr>
      <w:tr w14:paraId="0FAB75FA">
        <w:tblPrEx>
          <w:tblCellMar>
            <w:top w:w="0" w:type="dxa"/>
            <w:left w:w="0" w:type="dxa"/>
            <w:bottom w:w="0" w:type="dxa"/>
            <w:right w:w="0" w:type="dxa"/>
          </w:tblCellMar>
        </w:tblPrEx>
        <w:trPr>
          <w:trHeight w:val="270" w:hRule="atLeast"/>
        </w:trPr>
        <w:tc>
          <w:tcPr>
            <w:tcW w:w="4638" w:type="dxa"/>
            <w:tcBorders>
              <w:top w:val="nil"/>
              <w:left w:val="nil"/>
              <w:bottom w:val="nil"/>
              <w:right w:val="nil"/>
            </w:tcBorders>
            <w:noWrap w:val="0"/>
            <w:tcMar>
              <w:top w:w="15" w:type="dxa"/>
              <w:left w:w="15" w:type="dxa"/>
              <w:right w:w="15" w:type="dxa"/>
            </w:tcMar>
            <w:vAlign w:val="center"/>
          </w:tcPr>
          <w:p w14:paraId="66DCF9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宋体" w:cs="Nimbus Roman No9 L"/>
                <w:b w:val="0"/>
                <w:bCs/>
                <w:color w:val="000000"/>
                <w:sz w:val="21"/>
                <w:szCs w:val="21"/>
                <w:highlight w:val="none"/>
              </w:rPr>
            </w:pPr>
            <w:r>
              <w:rPr>
                <w:rFonts w:hint="default" w:ascii="Nimbus Roman No9 L" w:hAnsi="Nimbus Roman No9 L" w:eastAsia="宋体" w:cs="Nimbus Roman No9 L"/>
                <w:b/>
                <w:bCs/>
                <w:color w:val="000000"/>
                <w:kern w:val="0"/>
                <w:sz w:val="24"/>
                <w:highlight w:val="none"/>
                <w:lang w:bidi="ar"/>
              </w:rPr>
              <w:t>项目名称：</w:t>
            </w:r>
          </w:p>
        </w:tc>
        <w:tc>
          <w:tcPr>
            <w:tcW w:w="3002" w:type="dxa"/>
            <w:tcBorders>
              <w:top w:val="nil"/>
              <w:left w:val="nil"/>
              <w:bottom w:val="nil"/>
              <w:right w:val="nil"/>
            </w:tcBorders>
            <w:noWrap w:val="0"/>
            <w:tcMar>
              <w:top w:w="15" w:type="dxa"/>
              <w:left w:w="15" w:type="dxa"/>
              <w:right w:w="15" w:type="dxa"/>
            </w:tcMar>
            <w:vAlign w:val="center"/>
          </w:tcPr>
          <w:p w14:paraId="4186D85C">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b w:val="0"/>
                <w:bCs/>
                <w:color w:val="000000"/>
                <w:sz w:val="21"/>
                <w:szCs w:val="21"/>
                <w:highlight w:val="none"/>
                <w:lang w:val="en-US" w:eastAsia="zh-CN"/>
              </w:rPr>
            </w:pPr>
          </w:p>
        </w:tc>
        <w:tc>
          <w:tcPr>
            <w:tcW w:w="6114" w:type="dxa"/>
            <w:gridSpan w:val="3"/>
            <w:tcBorders>
              <w:top w:val="nil"/>
              <w:left w:val="nil"/>
              <w:bottom w:val="nil"/>
              <w:right w:val="nil"/>
            </w:tcBorders>
            <w:noWrap w:val="0"/>
            <w:tcMar>
              <w:top w:w="15" w:type="dxa"/>
              <w:left w:w="15" w:type="dxa"/>
              <w:right w:w="15" w:type="dxa"/>
            </w:tcMar>
            <w:vAlign w:val="center"/>
          </w:tcPr>
          <w:p w14:paraId="19EF0742">
            <w:pPr>
              <w:keepNext w:val="0"/>
              <w:keepLines w:val="0"/>
              <w:pageBreakBefore w:val="0"/>
              <w:kinsoku/>
              <w:wordWrap/>
              <w:overflowPunct/>
              <w:topLinePunct w:val="0"/>
              <w:autoSpaceDE/>
              <w:autoSpaceDN/>
              <w:bidi w:val="0"/>
              <w:adjustRightInd/>
              <w:snapToGrid/>
              <w:spacing w:line="360" w:lineRule="exact"/>
              <w:rPr>
                <w:rFonts w:hint="default" w:ascii="Nimbus Roman No9 L" w:hAnsi="Nimbus Roman No9 L" w:eastAsia="宋体" w:cs="Nimbus Roman No9 L"/>
                <w:b w:val="0"/>
                <w:bCs/>
                <w:color w:val="000000"/>
                <w:sz w:val="21"/>
                <w:szCs w:val="21"/>
                <w:highlight w:val="none"/>
              </w:rPr>
            </w:pPr>
          </w:p>
        </w:tc>
      </w:tr>
      <w:tr w14:paraId="04067D64">
        <w:tblPrEx>
          <w:tblCellMar>
            <w:top w:w="0" w:type="dxa"/>
            <w:left w:w="0" w:type="dxa"/>
            <w:bottom w:w="0" w:type="dxa"/>
            <w:right w:w="0" w:type="dxa"/>
          </w:tblCellMar>
        </w:tblPrEx>
        <w:trPr>
          <w:trHeight w:val="285" w:hRule="atLeast"/>
        </w:trPr>
        <w:tc>
          <w:tcPr>
            <w:tcW w:w="1375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A30BF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招标控制价部分</w:t>
            </w:r>
          </w:p>
        </w:tc>
      </w:tr>
      <w:tr w14:paraId="5A84EB5D">
        <w:tblPrEx>
          <w:tblCellMar>
            <w:top w:w="0" w:type="dxa"/>
            <w:left w:w="0" w:type="dxa"/>
            <w:bottom w:w="0" w:type="dxa"/>
            <w:right w:w="0" w:type="dxa"/>
          </w:tblCellMar>
        </w:tblPrEx>
        <w:trPr>
          <w:trHeight w:val="400" w:hRule="atLeast"/>
        </w:trPr>
        <w:tc>
          <w:tcPr>
            <w:tcW w:w="4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B847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招标控制价</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6F9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72A9CA11">
        <w:tblPrEx>
          <w:tblCellMar>
            <w:top w:w="0" w:type="dxa"/>
            <w:left w:w="0" w:type="dxa"/>
            <w:bottom w:w="0" w:type="dxa"/>
            <w:right w:w="0" w:type="dxa"/>
          </w:tblCellMar>
        </w:tblPrEx>
        <w:trPr>
          <w:trHeight w:val="454" w:hRule="atLeast"/>
        </w:trPr>
        <w:tc>
          <w:tcPr>
            <w:tcW w:w="463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593515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其中：</w:t>
            </w:r>
          </w:p>
        </w:tc>
        <w:tc>
          <w:tcPr>
            <w:tcW w:w="30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D09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暂列金</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7D13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2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6817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专业工程暂估价</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8933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15E77048">
        <w:tblPrEx>
          <w:tblCellMar>
            <w:top w:w="0" w:type="dxa"/>
            <w:left w:w="0" w:type="dxa"/>
            <w:bottom w:w="0" w:type="dxa"/>
            <w:right w:w="0" w:type="dxa"/>
          </w:tblCellMar>
        </w:tblPrEx>
        <w:trPr>
          <w:trHeight w:val="499" w:hRule="atLeast"/>
        </w:trPr>
        <w:tc>
          <w:tcPr>
            <w:tcW w:w="4638" w:type="dxa"/>
            <w:vMerge w:val="continue"/>
            <w:tcBorders>
              <w:left w:val="single" w:color="000000" w:sz="4" w:space="0"/>
              <w:right w:val="single" w:color="000000" w:sz="4" w:space="0"/>
            </w:tcBorders>
            <w:noWrap w:val="0"/>
            <w:tcMar>
              <w:top w:w="15" w:type="dxa"/>
              <w:left w:w="15" w:type="dxa"/>
              <w:right w:w="15" w:type="dxa"/>
            </w:tcMar>
            <w:vAlign w:val="center"/>
          </w:tcPr>
          <w:p w14:paraId="5A2540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30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F54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eastAsia" w:ascii="Nimbus Roman No9 L" w:hAnsi="Nimbus Roman No9 L" w:eastAsia="宋体" w:cs="Nimbus Roman No9 L"/>
                <w:color w:val="000000"/>
                <w:kern w:val="0"/>
                <w:sz w:val="24"/>
                <w:highlight w:val="none"/>
                <w:lang w:val="en-US" w:eastAsia="zh-CN" w:bidi="ar"/>
              </w:rPr>
              <w:t>施工技术专项措施暂估价</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071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2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B64C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eastAsia" w:ascii="Nimbus Roman No9 L" w:hAnsi="Nimbus Roman No9 L" w:cs="Nimbus Roman No9 L"/>
                <w:color w:val="000000"/>
                <w:kern w:val="0"/>
                <w:sz w:val="24"/>
                <w:szCs w:val="24"/>
                <w:highlight w:val="none"/>
                <w:lang w:val="en-US" w:eastAsia="zh-CN" w:bidi="ar"/>
              </w:rPr>
              <w:t>增值税</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68A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5282BC15">
        <w:tblPrEx>
          <w:tblCellMar>
            <w:top w:w="0" w:type="dxa"/>
            <w:left w:w="0" w:type="dxa"/>
            <w:bottom w:w="0" w:type="dxa"/>
            <w:right w:w="0" w:type="dxa"/>
          </w:tblCellMar>
        </w:tblPrEx>
        <w:trPr>
          <w:trHeight w:val="406" w:hRule="atLeast"/>
        </w:trPr>
        <w:tc>
          <w:tcPr>
            <w:tcW w:w="4638" w:type="dxa"/>
            <w:vMerge w:val="continue"/>
            <w:tcBorders>
              <w:left w:val="single" w:color="000000" w:sz="4" w:space="0"/>
              <w:right w:val="single" w:color="000000" w:sz="4" w:space="0"/>
            </w:tcBorders>
            <w:noWrap w:val="0"/>
            <w:tcMar>
              <w:top w:w="15" w:type="dxa"/>
              <w:left w:w="15" w:type="dxa"/>
              <w:right w:w="15" w:type="dxa"/>
            </w:tcMar>
            <w:vAlign w:val="center"/>
          </w:tcPr>
          <w:p w14:paraId="4AE688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30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377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eastAsia" w:ascii="Nimbus Roman No9 L" w:hAnsi="Nimbus Roman No9 L" w:eastAsia="宋体" w:cs="Nimbus Roman No9 L"/>
                <w:color w:val="000000"/>
                <w:kern w:val="0"/>
                <w:sz w:val="24"/>
                <w:highlight w:val="none"/>
                <w:lang w:val="en-US" w:eastAsia="zh-CN" w:bidi="ar"/>
              </w:rPr>
              <w:t>安全生产措施费</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7F32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szCs w:val="24"/>
                <w:highlight w:val="none"/>
                <w:lang w:val="en-US" w:eastAsia="zh-CN" w:bidi="ar"/>
              </w:rPr>
            </w:pPr>
          </w:p>
        </w:tc>
        <w:tc>
          <w:tcPr>
            <w:tcW w:w="2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5A996">
            <w:pPr>
              <w:pStyle w:val="2"/>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szCs w:val="24"/>
                <w:highlight w:val="none"/>
                <w:lang w:val="en-US" w:eastAsia="zh-CN" w:bidi="ar"/>
              </w:rPr>
              <w:t>智慧工地基础配置费用</w:t>
            </w: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DCCD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10855A71">
        <w:tblPrEx>
          <w:tblCellMar>
            <w:top w:w="0" w:type="dxa"/>
            <w:left w:w="0" w:type="dxa"/>
            <w:bottom w:w="0" w:type="dxa"/>
            <w:right w:w="0" w:type="dxa"/>
          </w:tblCellMar>
        </w:tblPrEx>
        <w:trPr>
          <w:trHeight w:val="386" w:hRule="atLeast"/>
        </w:trPr>
        <w:tc>
          <w:tcPr>
            <w:tcW w:w="463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1BF1A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300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85B3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szCs w:val="24"/>
                <w:highlight w:val="none"/>
                <w:lang w:val="en-US" w:eastAsia="zh-CN" w:bidi="ar"/>
              </w:rPr>
              <w:t>···</w:t>
            </w:r>
          </w:p>
        </w:tc>
        <w:tc>
          <w:tcPr>
            <w:tcW w:w="178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B4F6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szCs w:val="24"/>
                <w:highlight w:val="none"/>
                <w:lang w:val="en-US" w:eastAsia="zh-CN" w:bidi="ar"/>
              </w:rPr>
            </w:pPr>
          </w:p>
        </w:tc>
        <w:tc>
          <w:tcPr>
            <w:tcW w:w="2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73C89">
            <w:pPr>
              <w:pStyle w:val="2"/>
              <w:keepNext w:val="0"/>
              <w:keepLines w:val="0"/>
              <w:pageBreakBefore w:val="0"/>
              <w:kinsoku/>
              <w:wordWrap/>
              <w:overflowPunct/>
              <w:topLinePunct w:val="0"/>
              <w:autoSpaceDE/>
              <w:autoSpaceDN/>
              <w:bidi w:val="0"/>
              <w:adjustRightInd/>
              <w:snapToGrid/>
              <w:spacing w:line="240" w:lineRule="exact"/>
              <w:ind w:left="0" w:leftChars="0" w:firstLine="0" w:firstLineChars="0"/>
              <w:jc w:val="center"/>
              <w:textAlignment w:val="auto"/>
              <w:rPr>
                <w:rFonts w:hint="default" w:ascii="Nimbus Roman No9 L" w:hAnsi="Nimbus Roman No9 L" w:eastAsia="宋体" w:cs="Nimbus Roman No9 L"/>
                <w:color w:val="000000"/>
                <w:kern w:val="0"/>
                <w:sz w:val="24"/>
                <w:szCs w:val="24"/>
                <w:highlight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215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3FA99ADD">
        <w:tblPrEx>
          <w:tblCellMar>
            <w:top w:w="0" w:type="dxa"/>
            <w:left w:w="0" w:type="dxa"/>
            <w:bottom w:w="0" w:type="dxa"/>
            <w:right w:w="0" w:type="dxa"/>
          </w:tblCellMar>
        </w:tblPrEx>
        <w:trPr>
          <w:trHeight w:val="343" w:hRule="atLeast"/>
        </w:trPr>
        <w:tc>
          <w:tcPr>
            <w:tcW w:w="4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B3BB8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控制价（不含P值）的下浮率K</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551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26FF6DAF">
        <w:tblPrEx>
          <w:tblCellMar>
            <w:top w:w="0" w:type="dxa"/>
            <w:left w:w="0" w:type="dxa"/>
            <w:bottom w:w="0" w:type="dxa"/>
            <w:right w:w="0" w:type="dxa"/>
          </w:tblCellMar>
        </w:tblPrEx>
        <w:trPr>
          <w:trHeight w:val="360" w:hRule="atLeast"/>
        </w:trPr>
        <w:tc>
          <w:tcPr>
            <w:tcW w:w="4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B452C">
            <w:pPr>
              <w:pStyle w:val="11"/>
              <w:keepNext w:val="0"/>
              <w:keepLines w:val="0"/>
              <w:pageBreakBefore w:val="0"/>
              <w:widowControl w:val="0"/>
              <w:kinsoku/>
              <w:wordWrap/>
              <w:overflowPunct/>
              <w:topLinePunct w:val="0"/>
              <w:autoSpaceDE/>
              <w:autoSpaceDN/>
              <w:bidi w:val="0"/>
              <w:adjustRightInd/>
              <w:snapToGrid/>
              <w:spacing w:after="0" w:line="240" w:lineRule="exact"/>
              <w:ind w:left="0" w:leftChars="0" w:firstLine="0" w:firstLineChars="0"/>
              <w:jc w:val="center"/>
              <w:textAlignment w:val="auto"/>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szCs w:val="24"/>
                <w:highlight w:val="none"/>
                <w:lang w:val="en-US" w:eastAsia="zh-CN" w:bidi="ar"/>
              </w:rPr>
              <w:t>评标基准价中控制价权重K1</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FC21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szCs w:val="24"/>
                <w:highlight w:val="none"/>
                <w:lang w:val="en-US" w:eastAsia="zh-CN" w:bidi="ar"/>
              </w:rPr>
            </w:pPr>
          </w:p>
        </w:tc>
      </w:tr>
      <w:tr w14:paraId="0EC61C93">
        <w:tblPrEx>
          <w:tblCellMar>
            <w:top w:w="0" w:type="dxa"/>
            <w:left w:w="0" w:type="dxa"/>
            <w:bottom w:w="0" w:type="dxa"/>
            <w:right w:w="0" w:type="dxa"/>
          </w:tblCellMar>
        </w:tblPrEx>
        <w:trPr>
          <w:trHeight w:val="383" w:hRule="atLeast"/>
        </w:trPr>
        <w:tc>
          <w:tcPr>
            <w:tcW w:w="4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3ED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招标控制价部分</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AB9653">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sz w:val="21"/>
                <w:szCs w:val="21"/>
                <w:highlight w:val="none"/>
              </w:rPr>
            </w:pPr>
          </w:p>
        </w:tc>
      </w:tr>
      <w:tr w14:paraId="1293D458">
        <w:tblPrEx>
          <w:tblCellMar>
            <w:top w:w="0" w:type="dxa"/>
            <w:left w:w="0" w:type="dxa"/>
            <w:bottom w:w="0" w:type="dxa"/>
            <w:right w:w="0" w:type="dxa"/>
          </w:tblCellMar>
        </w:tblPrEx>
        <w:trPr>
          <w:trHeight w:val="400" w:hRule="atLeast"/>
        </w:trPr>
        <w:tc>
          <w:tcPr>
            <w:tcW w:w="1375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B8A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投标报价部分</w:t>
            </w:r>
          </w:p>
        </w:tc>
      </w:tr>
      <w:tr w14:paraId="47028518">
        <w:tblPrEx>
          <w:tblCellMar>
            <w:top w:w="0" w:type="dxa"/>
            <w:left w:w="0" w:type="dxa"/>
            <w:bottom w:w="0" w:type="dxa"/>
            <w:right w:w="0" w:type="dxa"/>
          </w:tblCellMar>
        </w:tblPrEx>
        <w:trPr>
          <w:trHeight w:val="400" w:hRule="atLeast"/>
        </w:trPr>
        <w:tc>
          <w:tcPr>
            <w:tcW w:w="4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A81E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投标报价有效范围内报价</w:t>
            </w:r>
            <w:r>
              <w:rPr>
                <w:rFonts w:hint="eastAsia" w:ascii="Nimbus Roman No9 L" w:hAnsi="Nimbus Roman No9 L" w:cs="Nimbus Roman No9 L"/>
                <w:color w:val="000000"/>
                <w:kern w:val="0"/>
                <w:sz w:val="24"/>
                <w:highlight w:val="none"/>
                <w:lang w:val="en-US" w:eastAsia="zh-CN" w:bidi="ar"/>
              </w:rPr>
              <w:t>算术</w:t>
            </w:r>
            <w:r>
              <w:rPr>
                <w:rFonts w:hint="default" w:ascii="Nimbus Roman No9 L" w:hAnsi="Nimbus Roman No9 L" w:eastAsia="宋体" w:cs="Nimbus Roman No9 L"/>
                <w:color w:val="000000"/>
                <w:kern w:val="0"/>
                <w:sz w:val="24"/>
                <w:highlight w:val="none"/>
                <w:lang w:val="en-US" w:eastAsia="zh-CN" w:bidi="ar"/>
              </w:rPr>
              <w:t>平均值</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9789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sz w:val="21"/>
                <w:szCs w:val="21"/>
                <w:highlight w:val="none"/>
              </w:rPr>
            </w:pPr>
          </w:p>
        </w:tc>
      </w:tr>
      <w:tr w14:paraId="0DE6050F">
        <w:tblPrEx>
          <w:tblCellMar>
            <w:top w:w="0" w:type="dxa"/>
            <w:left w:w="0" w:type="dxa"/>
            <w:bottom w:w="0" w:type="dxa"/>
            <w:right w:w="0" w:type="dxa"/>
          </w:tblCellMar>
        </w:tblPrEx>
        <w:trPr>
          <w:trHeight w:val="451" w:hRule="atLeast"/>
        </w:trPr>
        <w:tc>
          <w:tcPr>
            <w:tcW w:w="4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0F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随机下浮率K2</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5137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sz w:val="21"/>
                <w:szCs w:val="21"/>
                <w:highlight w:val="none"/>
              </w:rPr>
            </w:pPr>
          </w:p>
        </w:tc>
      </w:tr>
      <w:tr w14:paraId="46414B62">
        <w:tblPrEx>
          <w:tblCellMar>
            <w:top w:w="0" w:type="dxa"/>
            <w:left w:w="0" w:type="dxa"/>
            <w:bottom w:w="0" w:type="dxa"/>
            <w:right w:w="0" w:type="dxa"/>
          </w:tblCellMar>
        </w:tblPrEx>
        <w:trPr>
          <w:trHeight w:val="400" w:hRule="atLeast"/>
        </w:trPr>
        <w:tc>
          <w:tcPr>
            <w:tcW w:w="46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0EEB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投标报价部分</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FE76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sz w:val="21"/>
                <w:szCs w:val="21"/>
                <w:highlight w:val="none"/>
              </w:rPr>
            </w:pPr>
          </w:p>
        </w:tc>
      </w:tr>
      <w:tr w14:paraId="4881DEEA">
        <w:tblPrEx>
          <w:tblCellMar>
            <w:top w:w="0" w:type="dxa"/>
            <w:left w:w="0" w:type="dxa"/>
            <w:bottom w:w="0" w:type="dxa"/>
            <w:right w:w="0" w:type="dxa"/>
          </w:tblCellMar>
        </w:tblPrEx>
        <w:trPr>
          <w:trHeight w:val="400" w:hRule="atLeast"/>
        </w:trPr>
        <w:tc>
          <w:tcPr>
            <w:tcW w:w="1375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FF0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评标基准价计算</w:t>
            </w:r>
          </w:p>
        </w:tc>
      </w:tr>
      <w:tr w14:paraId="0F0D4CC5">
        <w:tblPrEx>
          <w:tblCellMar>
            <w:top w:w="0" w:type="dxa"/>
            <w:left w:w="0" w:type="dxa"/>
            <w:bottom w:w="0" w:type="dxa"/>
            <w:right w:w="0" w:type="dxa"/>
          </w:tblCellMar>
        </w:tblPrEx>
        <w:trPr>
          <w:trHeight w:val="400" w:hRule="atLeast"/>
        </w:trPr>
        <w:tc>
          <w:tcPr>
            <w:tcW w:w="4638"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3DDA6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评标基准价</w:t>
            </w:r>
          </w:p>
        </w:tc>
        <w:tc>
          <w:tcPr>
            <w:tcW w:w="911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6B753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Nimbus Roman No9 L" w:hAnsi="Nimbus Roman No9 L" w:eastAsia="宋体" w:cs="Nimbus Roman No9 L"/>
                <w:color w:val="000000"/>
                <w:sz w:val="21"/>
                <w:szCs w:val="21"/>
                <w:highlight w:val="none"/>
              </w:rPr>
            </w:pPr>
          </w:p>
        </w:tc>
      </w:tr>
    </w:tbl>
    <w:p w14:paraId="648B7372">
      <w:pPr>
        <w:spacing w:line="440" w:lineRule="exact"/>
        <w:jc w:val="left"/>
        <w:rPr>
          <w:rFonts w:hint="default" w:ascii="Nimbus Roman No9 L" w:hAnsi="Nimbus Roman No9 L" w:eastAsia="仿宋" w:cs="Nimbus Roman No9 L"/>
          <w:b/>
          <w:bCs/>
          <w:sz w:val="32"/>
          <w:szCs w:val="32"/>
          <w:highlight w:val="none"/>
        </w:rPr>
      </w:pPr>
    </w:p>
    <w:p w14:paraId="44AAA1B4">
      <w:pPr>
        <w:spacing w:line="440" w:lineRule="exact"/>
        <w:jc w:val="left"/>
        <w:rPr>
          <w:rFonts w:hint="default" w:ascii="Nimbus Roman No9 L" w:hAnsi="Nimbus Roman No9 L" w:eastAsia="仿宋" w:cs="Nimbus Roman No9 L"/>
          <w:b/>
          <w:bCs/>
          <w:sz w:val="32"/>
          <w:szCs w:val="32"/>
          <w:highlight w:val="none"/>
        </w:rPr>
      </w:pPr>
      <w:r>
        <w:rPr>
          <w:rFonts w:hint="default" w:ascii="Nimbus Roman No9 L" w:hAnsi="Nimbus Roman No9 L" w:eastAsia="仿宋" w:cs="Nimbus Roman No9 L"/>
          <w:b/>
          <w:bCs/>
          <w:sz w:val="32"/>
          <w:szCs w:val="32"/>
          <w:highlight w:val="none"/>
        </w:rPr>
        <w:t>附表2-</w:t>
      </w:r>
      <w:r>
        <w:rPr>
          <w:rFonts w:hint="default" w:ascii="Nimbus Roman No9 L" w:hAnsi="Nimbus Roman No9 L" w:eastAsia="仿宋" w:cs="Nimbus Roman No9 L"/>
          <w:b/>
          <w:bCs/>
          <w:sz w:val="32"/>
          <w:szCs w:val="32"/>
          <w:highlight w:val="none"/>
          <w:lang w:val="en-US" w:eastAsia="zh-CN"/>
        </w:rPr>
        <w:t>3</w:t>
      </w:r>
    </w:p>
    <w:p w14:paraId="11238F05">
      <w:pPr>
        <w:jc w:val="center"/>
        <w:rPr>
          <w:rFonts w:hint="default" w:ascii="Nimbus Roman No9 L" w:hAnsi="Nimbus Roman No9 L" w:cs="Nimbus Roman No9 L"/>
          <w:sz w:val="44"/>
          <w:szCs w:val="44"/>
          <w:highlight w:val="none"/>
        </w:rPr>
      </w:pPr>
      <w:r>
        <w:rPr>
          <w:rFonts w:hint="default" w:ascii="Nimbus Roman No9 L" w:hAnsi="Nimbus Roman No9 L" w:eastAsia="宋体" w:cs="Nimbus Roman No9 L"/>
          <w:b/>
          <w:bCs w:val="0"/>
          <w:sz w:val="44"/>
          <w:szCs w:val="44"/>
          <w:highlight w:val="none"/>
        </w:rPr>
        <w:t>推荐的中标候选人及排序表</w:t>
      </w:r>
    </w:p>
    <w:p w14:paraId="340AD7F2">
      <w:pPr>
        <w:widowControl/>
        <w:jc w:val="left"/>
        <w:textAlignment w:val="center"/>
        <w:rPr>
          <w:rFonts w:hint="default" w:ascii="Nimbus Roman No9 L" w:hAnsi="Nimbus Roman No9 L" w:eastAsia="宋体" w:cs="Nimbus Roman No9 L"/>
          <w:b/>
          <w:bCs/>
          <w:color w:val="000000"/>
          <w:kern w:val="0"/>
          <w:sz w:val="24"/>
          <w:highlight w:val="none"/>
          <w:lang w:bidi="ar"/>
        </w:rPr>
      </w:pPr>
      <w:r>
        <w:rPr>
          <w:rFonts w:hint="default" w:ascii="Nimbus Roman No9 L" w:hAnsi="Nimbus Roman No9 L" w:eastAsia="宋体" w:cs="Nimbus Roman No9 L"/>
          <w:b/>
          <w:bCs/>
          <w:color w:val="000000"/>
          <w:kern w:val="0"/>
          <w:sz w:val="24"/>
          <w:highlight w:val="none"/>
          <w:lang w:val="en-US" w:eastAsia="zh-CN" w:bidi="ar"/>
        </w:rPr>
        <w:t>项目</w:t>
      </w:r>
      <w:r>
        <w:rPr>
          <w:rFonts w:hint="default" w:ascii="Nimbus Roman No9 L" w:hAnsi="Nimbus Roman No9 L" w:eastAsia="宋体" w:cs="Nimbus Roman No9 L"/>
          <w:b/>
          <w:bCs/>
          <w:color w:val="000000"/>
          <w:kern w:val="0"/>
          <w:sz w:val="24"/>
          <w:highlight w:val="none"/>
          <w:lang w:bidi="ar"/>
        </w:rPr>
        <w:t>名称：</w:t>
      </w:r>
    </w:p>
    <w:tbl>
      <w:tblPr>
        <w:tblStyle w:val="12"/>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0"/>
        <w:gridCol w:w="1539"/>
        <w:gridCol w:w="1535"/>
        <w:gridCol w:w="1488"/>
        <w:gridCol w:w="1489"/>
        <w:gridCol w:w="1465"/>
        <w:gridCol w:w="1546"/>
        <w:gridCol w:w="1581"/>
      </w:tblGrid>
      <w:tr w14:paraId="496A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3340" w:type="dxa"/>
            <w:tcBorders>
              <w:tl2br w:val="single" w:color="auto" w:sz="4" w:space="0"/>
            </w:tcBorders>
            <w:noWrap w:val="0"/>
            <w:vAlign w:val="bottom"/>
          </w:tcPr>
          <w:p w14:paraId="2341A6F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 xml:space="preserve">              投标单位</w:t>
            </w:r>
          </w:p>
          <w:p w14:paraId="0F2FC5B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内容</w:t>
            </w:r>
          </w:p>
        </w:tc>
        <w:tc>
          <w:tcPr>
            <w:tcW w:w="1539" w:type="dxa"/>
            <w:noWrap w:val="0"/>
            <w:vAlign w:val="center"/>
          </w:tcPr>
          <w:p w14:paraId="67F54C6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投标人1</w:t>
            </w:r>
          </w:p>
        </w:tc>
        <w:tc>
          <w:tcPr>
            <w:tcW w:w="1535" w:type="dxa"/>
            <w:noWrap w:val="0"/>
            <w:vAlign w:val="center"/>
          </w:tcPr>
          <w:p w14:paraId="738D28D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投标人2</w:t>
            </w:r>
          </w:p>
        </w:tc>
        <w:tc>
          <w:tcPr>
            <w:tcW w:w="1488" w:type="dxa"/>
            <w:noWrap w:val="0"/>
            <w:vAlign w:val="center"/>
          </w:tcPr>
          <w:p w14:paraId="5A9F3A9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w:t>
            </w:r>
          </w:p>
        </w:tc>
        <w:tc>
          <w:tcPr>
            <w:tcW w:w="1489" w:type="dxa"/>
            <w:noWrap w:val="0"/>
            <w:vAlign w:val="center"/>
          </w:tcPr>
          <w:p w14:paraId="5DA6059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65" w:type="dxa"/>
            <w:noWrap w:val="0"/>
            <w:vAlign w:val="center"/>
          </w:tcPr>
          <w:p w14:paraId="4F62863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46" w:type="dxa"/>
            <w:noWrap w:val="0"/>
            <w:vAlign w:val="center"/>
          </w:tcPr>
          <w:p w14:paraId="15624E2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81" w:type="dxa"/>
            <w:noWrap w:val="0"/>
            <w:vAlign w:val="center"/>
          </w:tcPr>
          <w:p w14:paraId="53BD363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1D1A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340" w:type="dxa"/>
            <w:noWrap w:val="0"/>
            <w:vAlign w:val="center"/>
          </w:tcPr>
          <w:p w14:paraId="46EFF49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投标报价</w:t>
            </w:r>
          </w:p>
        </w:tc>
        <w:tc>
          <w:tcPr>
            <w:tcW w:w="1539" w:type="dxa"/>
            <w:noWrap w:val="0"/>
            <w:vAlign w:val="center"/>
          </w:tcPr>
          <w:p w14:paraId="0641034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35" w:type="dxa"/>
            <w:noWrap w:val="0"/>
            <w:vAlign w:val="center"/>
          </w:tcPr>
          <w:p w14:paraId="01EB32A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88" w:type="dxa"/>
            <w:noWrap w:val="0"/>
            <w:vAlign w:val="center"/>
          </w:tcPr>
          <w:p w14:paraId="2F05DCB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89" w:type="dxa"/>
            <w:noWrap w:val="0"/>
            <w:vAlign w:val="center"/>
          </w:tcPr>
          <w:p w14:paraId="19435FB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65" w:type="dxa"/>
            <w:noWrap w:val="0"/>
            <w:vAlign w:val="center"/>
          </w:tcPr>
          <w:p w14:paraId="698F25D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46" w:type="dxa"/>
            <w:noWrap w:val="0"/>
            <w:vAlign w:val="center"/>
          </w:tcPr>
          <w:p w14:paraId="5FF6F17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81" w:type="dxa"/>
            <w:noWrap w:val="0"/>
            <w:vAlign w:val="center"/>
          </w:tcPr>
          <w:p w14:paraId="4C6036C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0E19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3340" w:type="dxa"/>
            <w:noWrap w:val="0"/>
            <w:vAlign w:val="center"/>
          </w:tcPr>
          <w:p w14:paraId="2A3A177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评标基准价</w:t>
            </w:r>
          </w:p>
        </w:tc>
        <w:tc>
          <w:tcPr>
            <w:tcW w:w="10643" w:type="dxa"/>
            <w:gridSpan w:val="7"/>
            <w:noWrap w:val="0"/>
            <w:vAlign w:val="center"/>
          </w:tcPr>
          <w:p w14:paraId="3F126B5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5A7D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340" w:type="dxa"/>
            <w:noWrap w:val="0"/>
            <w:vAlign w:val="center"/>
          </w:tcPr>
          <w:p w14:paraId="14E10C8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是否高于评标基准价</w:t>
            </w:r>
          </w:p>
        </w:tc>
        <w:tc>
          <w:tcPr>
            <w:tcW w:w="1539" w:type="dxa"/>
            <w:noWrap w:val="0"/>
            <w:vAlign w:val="center"/>
          </w:tcPr>
          <w:p w14:paraId="3E8B961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35" w:type="dxa"/>
            <w:noWrap w:val="0"/>
            <w:vAlign w:val="center"/>
          </w:tcPr>
          <w:p w14:paraId="3200BB7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88" w:type="dxa"/>
            <w:noWrap w:val="0"/>
            <w:vAlign w:val="center"/>
          </w:tcPr>
          <w:p w14:paraId="6D7F6C1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89" w:type="dxa"/>
            <w:noWrap w:val="0"/>
            <w:vAlign w:val="center"/>
          </w:tcPr>
          <w:p w14:paraId="6429AC5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65" w:type="dxa"/>
            <w:noWrap w:val="0"/>
            <w:vAlign w:val="center"/>
          </w:tcPr>
          <w:p w14:paraId="1C211FA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46" w:type="dxa"/>
            <w:noWrap w:val="0"/>
            <w:vAlign w:val="center"/>
          </w:tcPr>
          <w:p w14:paraId="373B596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81" w:type="dxa"/>
            <w:noWrap w:val="0"/>
            <w:vAlign w:val="center"/>
          </w:tcPr>
          <w:p w14:paraId="2989C3E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1EDE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340" w:type="dxa"/>
            <w:noWrap w:val="0"/>
            <w:vAlign w:val="center"/>
          </w:tcPr>
          <w:p w14:paraId="3264D62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排名</w:t>
            </w:r>
          </w:p>
        </w:tc>
        <w:tc>
          <w:tcPr>
            <w:tcW w:w="1539" w:type="dxa"/>
            <w:noWrap w:val="0"/>
            <w:vAlign w:val="center"/>
          </w:tcPr>
          <w:p w14:paraId="3BC4044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35" w:type="dxa"/>
            <w:noWrap w:val="0"/>
            <w:vAlign w:val="center"/>
          </w:tcPr>
          <w:p w14:paraId="0682476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88" w:type="dxa"/>
            <w:noWrap w:val="0"/>
            <w:vAlign w:val="center"/>
          </w:tcPr>
          <w:p w14:paraId="3C7FBFB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89" w:type="dxa"/>
            <w:noWrap w:val="0"/>
            <w:vAlign w:val="center"/>
          </w:tcPr>
          <w:p w14:paraId="08B53EF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465" w:type="dxa"/>
            <w:noWrap w:val="0"/>
            <w:vAlign w:val="center"/>
          </w:tcPr>
          <w:p w14:paraId="6B04919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46" w:type="dxa"/>
            <w:noWrap w:val="0"/>
            <w:vAlign w:val="center"/>
          </w:tcPr>
          <w:p w14:paraId="0E4C361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81" w:type="dxa"/>
            <w:noWrap w:val="0"/>
            <w:vAlign w:val="center"/>
          </w:tcPr>
          <w:p w14:paraId="0D7E19D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56E0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340" w:type="dxa"/>
            <w:vMerge w:val="restart"/>
            <w:noWrap w:val="0"/>
            <w:vAlign w:val="center"/>
          </w:tcPr>
          <w:p w14:paraId="26B9E6B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推荐的中标候选人及排序</w:t>
            </w:r>
          </w:p>
        </w:tc>
        <w:tc>
          <w:tcPr>
            <w:tcW w:w="1539" w:type="dxa"/>
            <w:noWrap w:val="0"/>
            <w:vAlign w:val="center"/>
          </w:tcPr>
          <w:p w14:paraId="2481772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第一名</w:t>
            </w:r>
          </w:p>
        </w:tc>
        <w:tc>
          <w:tcPr>
            <w:tcW w:w="9104" w:type="dxa"/>
            <w:gridSpan w:val="6"/>
            <w:noWrap w:val="0"/>
            <w:vAlign w:val="center"/>
          </w:tcPr>
          <w:p w14:paraId="0C7C179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71D0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340" w:type="dxa"/>
            <w:vMerge w:val="continue"/>
            <w:noWrap w:val="0"/>
            <w:vAlign w:val="center"/>
          </w:tcPr>
          <w:p w14:paraId="1F4BE58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39" w:type="dxa"/>
            <w:noWrap w:val="0"/>
            <w:vAlign w:val="center"/>
          </w:tcPr>
          <w:p w14:paraId="538DE5B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第二名</w:t>
            </w:r>
          </w:p>
        </w:tc>
        <w:tc>
          <w:tcPr>
            <w:tcW w:w="9104" w:type="dxa"/>
            <w:gridSpan w:val="6"/>
            <w:noWrap w:val="0"/>
            <w:vAlign w:val="center"/>
          </w:tcPr>
          <w:p w14:paraId="4E11E73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r w14:paraId="26B3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3340" w:type="dxa"/>
            <w:vMerge w:val="continue"/>
            <w:noWrap w:val="0"/>
            <w:vAlign w:val="center"/>
          </w:tcPr>
          <w:p w14:paraId="6472119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c>
          <w:tcPr>
            <w:tcW w:w="1539" w:type="dxa"/>
            <w:noWrap w:val="0"/>
            <w:vAlign w:val="center"/>
          </w:tcPr>
          <w:p w14:paraId="2164121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第三名</w:t>
            </w:r>
          </w:p>
        </w:tc>
        <w:tc>
          <w:tcPr>
            <w:tcW w:w="9104" w:type="dxa"/>
            <w:gridSpan w:val="6"/>
            <w:noWrap w:val="0"/>
            <w:vAlign w:val="center"/>
          </w:tcPr>
          <w:p w14:paraId="6B861E1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Nimbus Roman No9 L" w:hAnsi="Nimbus Roman No9 L" w:eastAsia="宋体" w:cs="Nimbus Roman No9 L"/>
                <w:color w:val="000000"/>
                <w:kern w:val="0"/>
                <w:sz w:val="24"/>
                <w:highlight w:val="none"/>
                <w:lang w:val="en-US" w:eastAsia="zh-CN" w:bidi="ar"/>
              </w:rPr>
            </w:pPr>
          </w:p>
        </w:tc>
      </w:tr>
    </w:tbl>
    <w:p w14:paraId="2734E70D">
      <w:pPr>
        <w:keepNext w:val="0"/>
        <w:keepLines w:val="0"/>
        <w:pageBreakBefore w:val="0"/>
        <w:kinsoku/>
        <w:wordWrap/>
        <w:overflowPunct/>
        <w:topLinePunct w:val="0"/>
        <w:autoSpaceDE/>
        <w:autoSpaceDN/>
        <w:bidi w:val="0"/>
        <w:adjustRightInd/>
        <w:snapToGrid/>
        <w:spacing w:line="500" w:lineRule="exact"/>
        <w:textAlignment w:val="auto"/>
        <w:rPr>
          <w:rFonts w:hint="default" w:ascii="Nimbus Roman No9 L" w:hAnsi="Nimbus Roman No9 L" w:eastAsia="仿宋_GB2312" w:cs="Nimbus Roman No9 L"/>
          <w:sz w:val="24"/>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1277499A">
      <w:pPr>
        <w:spacing w:line="440" w:lineRule="exact"/>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eastAsia="zh-CN"/>
        </w:rPr>
        <w:t>附件</w:t>
      </w:r>
      <w:r>
        <w:rPr>
          <w:rFonts w:hint="eastAsia" w:ascii="黑体" w:hAnsi="黑体" w:eastAsia="黑体" w:cs="黑体"/>
          <w:b w:val="0"/>
          <w:bCs w:val="0"/>
          <w:sz w:val="32"/>
          <w:szCs w:val="32"/>
          <w:highlight w:val="none"/>
        </w:rPr>
        <w:t>3</w:t>
      </w:r>
    </w:p>
    <w:p w14:paraId="4FD787DC">
      <w:pPr>
        <w:pStyle w:val="11"/>
        <w:rPr>
          <w:rFonts w:hint="eastAsia" w:ascii="Calibri" w:hAnsi="Calibri" w:eastAsia="宋体" w:cs="Times New Roman"/>
          <w:b w:val="0"/>
          <w:bCs w:val="0"/>
          <w:sz w:val="21"/>
          <w:szCs w:val="24"/>
          <w:highlight w:val="none"/>
        </w:rPr>
      </w:pPr>
    </w:p>
    <w:p w14:paraId="1BE8D48F">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default" w:ascii="Nimbus Roman No9 L" w:hAnsi="Nimbus Roman No9 L" w:eastAsia="方正公文小标宋" w:cs="Nimbus Roman No9 L"/>
          <w:kern w:val="0"/>
          <w:sz w:val="44"/>
          <w:szCs w:val="44"/>
          <w:highlight w:val="none"/>
        </w:rPr>
      </w:pPr>
      <w:r>
        <w:rPr>
          <w:rFonts w:hint="default" w:ascii="Nimbus Roman No9 L" w:hAnsi="Nimbus Roman No9 L" w:eastAsia="方正公文小标宋" w:cs="Nimbus Roman No9 L"/>
          <w:kern w:val="0"/>
          <w:sz w:val="44"/>
          <w:szCs w:val="44"/>
          <w:highlight w:val="none"/>
        </w:rPr>
        <w:t>建筑工程施工评标标准</w:t>
      </w:r>
      <w:r>
        <w:rPr>
          <w:rFonts w:hint="default" w:ascii="Nimbus Roman No9 L" w:hAnsi="Nimbus Roman No9 L" w:eastAsia="方正公文小标宋" w:cs="Nimbus Roman No9 L"/>
          <w:kern w:val="0"/>
          <w:sz w:val="44"/>
          <w:szCs w:val="44"/>
          <w:highlight w:val="none"/>
          <w:lang w:eastAsia="zh-CN"/>
        </w:rPr>
        <w:t>—</w:t>
      </w:r>
      <w:r>
        <w:rPr>
          <w:rFonts w:hint="default" w:ascii="Nimbus Roman No9 L" w:hAnsi="Nimbus Roman No9 L" w:eastAsia="方正公文小标宋" w:cs="Nimbus Roman No9 L"/>
          <w:kern w:val="0"/>
          <w:sz w:val="44"/>
          <w:szCs w:val="44"/>
          <w:highlight w:val="none"/>
        </w:rPr>
        <w:t>定性评审法</w:t>
      </w:r>
    </w:p>
    <w:p w14:paraId="64B3721C">
      <w:pPr>
        <w:pStyle w:val="11"/>
        <w:rPr>
          <w:rFonts w:hint="default"/>
        </w:rPr>
      </w:pPr>
    </w:p>
    <w:p w14:paraId="0E0BEC6F">
      <w:pPr>
        <w:numPr>
          <w:ilvl w:val="0"/>
          <w:numId w:val="0"/>
        </w:numPr>
        <w:ind w:firstLine="640" w:firstLineChars="200"/>
        <w:rPr>
          <w:rFonts w:hint="default" w:ascii="Nimbus Roman No9 L" w:hAnsi="Nimbus Roman No9 L" w:eastAsia="黑体" w:cs="Nimbus Roman No9 L"/>
          <w:b w:val="0"/>
          <w:bCs w:val="0"/>
          <w:sz w:val="32"/>
          <w:szCs w:val="32"/>
          <w:highlight w:val="none"/>
        </w:rPr>
      </w:pPr>
      <w:r>
        <w:rPr>
          <w:rFonts w:hint="default" w:ascii="Nimbus Roman No9 L" w:hAnsi="Nimbus Roman No9 L" w:eastAsia="黑体" w:cs="Nimbus Roman No9 L"/>
          <w:b w:val="0"/>
          <w:bCs w:val="0"/>
          <w:sz w:val="32"/>
          <w:szCs w:val="32"/>
          <w:highlight w:val="none"/>
          <w:lang w:val="en-US" w:eastAsia="zh-CN"/>
        </w:rPr>
        <w:t>一、</w:t>
      </w:r>
      <w:r>
        <w:rPr>
          <w:rFonts w:hint="default" w:ascii="Nimbus Roman No9 L" w:hAnsi="Nimbus Roman No9 L" w:eastAsia="黑体" w:cs="Nimbus Roman No9 L"/>
          <w:b w:val="0"/>
          <w:bCs w:val="0"/>
          <w:sz w:val="32"/>
          <w:szCs w:val="32"/>
          <w:highlight w:val="none"/>
        </w:rPr>
        <w:t>适用范围</w:t>
      </w:r>
    </w:p>
    <w:p w14:paraId="6D558B1C">
      <w:pPr>
        <w:numPr>
          <w:ilvl w:val="0"/>
          <w:numId w:val="0"/>
        </w:numPr>
        <w:ind w:firstLine="640" w:firstLineChars="200"/>
        <w:rPr>
          <w:rFonts w:hint="default" w:ascii="Nimbus Roman No9 L" w:hAnsi="Nimbus Roman No9 L" w:eastAsia="仿宋_GB2312" w:cs="Nimbus Roman No9 L"/>
          <w:sz w:val="32"/>
          <w:szCs w:val="32"/>
          <w:highlight w:val="none"/>
        </w:rPr>
      </w:pPr>
      <w:r>
        <w:rPr>
          <w:rFonts w:hint="default" w:ascii="Nimbus Roman No9 L" w:hAnsi="Nimbus Roman No9 L" w:eastAsia="仿宋_GB2312" w:cs="Nimbus Roman No9 L"/>
          <w:sz w:val="32"/>
          <w:szCs w:val="32"/>
          <w:highlight w:val="none"/>
          <w:lang w:bidi="ar"/>
        </w:rPr>
        <w:t>适用于</w:t>
      </w:r>
      <w:r>
        <w:rPr>
          <w:rFonts w:hint="default" w:ascii="Nimbus Roman No9 L" w:hAnsi="Nimbus Roman No9 L" w:eastAsia="仿宋_GB2312" w:cs="Nimbus Roman No9 L"/>
          <w:sz w:val="32"/>
          <w:szCs w:val="32"/>
          <w:highlight w:val="none"/>
          <w:lang w:val="en-US" w:eastAsia="zh-CN" w:bidi="ar"/>
        </w:rPr>
        <w:t>采用“评定分离”方式</w:t>
      </w:r>
      <w:r>
        <w:rPr>
          <w:rFonts w:hint="default" w:ascii="Nimbus Roman No9 L" w:hAnsi="Nimbus Roman No9 L" w:eastAsia="仿宋_GB2312" w:cs="Nimbus Roman No9 L"/>
          <w:sz w:val="32"/>
          <w:szCs w:val="32"/>
          <w:highlight w:val="none"/>
          <w:lang w:bidi="ar"/>
        </w:rPr>
        <w:t>由评标委员会推荐定标候选人的建筑工程项目。</w:t>
      </w:r>
    </w:p>
    <w:p w14:paraId="5C38BC40">
      <w:pPr>
        <w:pStyle w:val="2"/>
        <w:spacing w:line="540" w:lineRule="exact"/>
        <w:ind w:firstLine="640" w:firstLineChars="200"/>
        <w:rPr>
          <w:rFonts w:hint="default" w:ascii="Nimbus Roman No9 L" w:hAnsi="Nimbus Roman No9 L" w:eastAsia="黑体" w:cs="Nimbus Roman No9 L"/>
          <w:sz w:val="32"/>
          <w:szCs w:val="32"/>
          <w:highlight w:val="none"/>
          <w:lang w:val="en-US" w:eastAsia="zh-CN"/>
        </w:rPr>
      </w:pPr>
      <w:r>
        <w:rPr>
          <w:rFonts w:hint="default" w:ascii="Nimbus Roman No9 L" w:hAnsi="Nimbus Roman No9 L" w:eastAsia="黑体" w:cs="Nimbus Roman No9 L"/>
          <w:sz w:val="32"/>
          <w:szCs w:val="32"/>
          <w:highlight w:val="none"/>
          <w:lang w:val="en-US" w:eastAsia="zh-CN"/>
        </w:rPr>
        <w:t>二、</w:t>
      </w:r>
      <w:r>
        <w:rPr>
          <w:rFonts w:hint="default" w:ascii="Nimbus Roman No9 L" w:hAnsi="Nimbus Roman No9 L" w:eastAsia="黑体" w:cs="Nimbus Roman No9 L"/>
          <w:sz w:val="32"/>
          <w:szCs w:val="32"/>
          <w:highlight w:val="none"/>
        </w:rPr>
        <w:t>评审程序与方法</w:t>
      </w:r>
    </w:p>
    <w:p w14:paraId="543A2F8F">
      <w:pPr>
        <w:pStyle w:val="8"/>
        <w:adjustRightInd w:val="0"/>
        <w:spacing w:line="540" w:lineRule="exact"/>
        <w:ind w:firstLine="640" w:firstLineChars="200"/>
        <w:textAlignment w:val="baseline"/>
        <w:rPr>
          <w:rFonts w:hint="default" w:ascii="Nimbus Roman No9 L" w:hAnsi="Nimbus Roman No9 L" w:eastAsia="楷体" w:cs="Nimbus Roman No9 L"/>
          <w:b w:val="0"/>
          <w:bCs/>
          <w:sz w:val="32"/>
          <w:szCs w:val="32"/>
          <w:highlight w:val="none"/>
        </w:rPr>
      </w:pPr>
      <w:r>
        <w:rPr>
          <w:rFonts w:hint="default" w:ascii="Nimbus Roman No9 L" w:hAnsi="Nimbus Roman No9 L" w:eastAsia="楷体" w:cs="Nimbus Roman No9 L"/>
          <w:b w:val="0"/>
          <w:bCs/>
          <w:sz w:val="32"/>
          <w:szCs w:val="32"/>
          <w:highlight w:val="none"/>
          <w:lang w:eastAsia="zh-CN" w:bidi="ar"/>
        </w:rPr>
        <w:t>（</w:t>
      </w:r>
      <w:r>
        <w:rPr>
          <w:rFonts w:hint="default" w:ascii="Nimbus Roman No9 L" w:hAnsi="Nimbus Roman No9 L" w:eastAsia="楷体" w:cs="Nimbus Roman No9 L"/>
          <w:b w:val="0"/>
          <w:bCs/>
          <w:sz w:val="32"/>
          <w:szCs w:val="32"/>
          <w:highlight w:val="none"/>
          <w:lang w:val="en-US" w:eastAsia="zh-CN" w:bidi="ar"/>
        </w:rPr>
        <w:t>一</w:t>
      </w:r>
      <w:r>
        <w:rPr>
          <w:rFonts w:hint="default" w:ascii="Nimbus Roman No9 L" w:hAnsi="Nimbus Roman No9 L" w:eastAsia="楷体" w:cs="Nimbus Roman No9 L"/>
          <w:b w:val="0"/>
          <w:bCs/>
          <w:sz w:val="32"/>
          <w:szCs w:val="32"/>
          <w:highlight w:val="none"/>
          <w:lang w:eastAsia="zh-CN" w:bidi="ar"/>
        </w:rPr>
        <w:t>）</w:t>
      </w:r>
      <w:r>
        <w:rPr>
          <w:rFonts w:hint="default" w:ascii="Nimbus Roman No9 L" w:hAnsi="Nimbus Roman No9 L" w:eastAsia="楷体" w:cs="Nimbus Roman No9 L"/>
          <w:b w:val="0"/>
          <w:bCs/>
          <w:sz w:val="32"/>
          <w:szCs w:val="32"/>
          <w:highlight w:val="none"/>
          <w:lang w:bidi="ar"/>
        </w:rPr>
        <w:t>重大偏差评审</w:t>
      </w:r>
    </w:p>
    <w:p w14:paraId="7E4E8F43">
      <w:pPr>
        <w:numPr>
          <w:ilvl w:val="0"/>
          <w:numId w:val="0"/>
        </w:numPr>
        <w:ind w:firstLine="640" w:firstLineChars="200"/>
        <w:rPr>
          <w:rFonts w:hint="default" w:ascii="Nimbus Roman No9 L" w:hAnsi="Nimbus Roman No9 L" w:eastAsia="仿宋_GB2312" w:cs="Nimbus Roman No9 L"/>
          <w:sz w:val="32"/>
          <w:szCs w:val="32"/>
          <w:highlight w:val="none"/>
          <w:lang w:bidi="ar"/>
        </w:rPr>
      </w:pPr>
      <w:r>
        <w:rPr>
          <w:rFonts w:hint="default" w:ascii="Nimbus Roman No9 L" w:hAnsi="Nimbus Roman No9 L" w:eastAsia="仿宋_GB2312" w:cs="Nimbus Roman No9 L"/>
          <w:sz w:val="32"/>
          <w:szCs w:val="32"/>
          <w:highlight w:val="none"/>
          <w:lang w:bidi="ar"/>
        </w:rPr>
        <w:t>按照本办法第</w:t>
      </w:r>
      <w:r>
        <w:rPr>
          <w:rFonts w:hint="default" w:ascii="Nimbus Roman No9 L" w:hAnsi="Nimbus Roman No9 L" w:eastAsia="仿宋_GB2312" w:cs="Nimbus Roman No9 L"/>
          <w:sz w:val="32"/>
          <w:szCs w:val="32"/>
          <w:highlight w:val="none"/>
          <w:lang w:val="en-US" w:eastAsia="zh-CN" w:bidi="ar"/>
        </w:rPr>
        <w:t>二十</w:t>
      </w:r>
      <w:r>
        <w:rPr>
          <w:rFonts w:hint="default" w:ascii="Nimbus Roman No9 L" w:hAnsi="Nimbus Roman No9 L" w:eastAsia="仿宋_GB2312" w:cs="Nimbus Roman No9 L"/>
          <w:sz w:val="32"/>
          <w:szCs w:val="32"/>
          <w:highlight w:val="none"/>
          <w:lang w:bidi="ar"/>
        </w:rPr>
        <w:t>条及</w:t>
      </w:r>
      <w:r>
        <w:rPr>
          <w:rFonts w:hint="default" w:ascii="Nimbus Roman No9 L" w:hAnsi="Nimbus Roman No9 L" w:eastAsia="仿宋_GB2312" w:cs="Nimbus Roman No9 L"/>
          <w:sz w:val="32"/>
          <w:szCs w:val="32"/>
          <w:highlight w:val="none"/>
          <w:lang w:val="en-US" w:eastAsia="zh-CN" w:bidi="ar"/>
        </w:rPr>
        <w:t>本办法重大偏差评审标准（</w:t>
      </w:r>
      <w:r>
        <w:rPr>
          <w:rFonts w:hint="default" w:ascii="Nimbus Roman No9 L" w:hAnsi="Nimbus Roman No9 L" w:eastAsia="仿宋_GB2312" w:cs="Nimbus Roman No9 L"/>
          <w:sz w:val="32"/>
          <w:szCs w:val="32"/>
          <w:highlight w:val="none"/>
          <w:lang w:bidi="ar"/>
        </w:rPr>
        <w:t>附表</w:t>
      </w:r>
      <w:r>
        <w:rPr>
          <w:rFonts w:hint="default" w:ascii="Nimbus Roman No9 L" w:hAnsi="Nimbus Roman No9 L" w:eastAsia="仿宋_GB2312" w:cs="Nimbus Roman No9 L"/>
          <w:sz w:val="32"/>
          <w:szCs w:val="32"/>
          <w:highlight w:val="none"/>
          <w:lang w:val="en-US" w:eastAsia="zh-CN" w:bidi="ar"/>
        </w:rPr>
        <w:t>1-3）</w:t>
      </w:r>
      <w:r>
        <w:rPr>
          <w:rFonts w:hint="default" w:ascii="Nimbus Roman No9 L" w:hAnsi="Nimbus Roman No9 L" w:eastAsia="仿宋_GB2312" w:cs="Nimbus Roman No9 L"/>
          <w:sz w:val="32"/>
          <w:szCs w:val="32"/>
          <w:highlight w:val="none"/>
          <w:lang w:bidi="ar"/>
        </w:rPr>
        <w:t>规定，对投标文件进行评审，对不符合相关规定和要求的投标文件予以否决。</w:t>
      </w:r>
    </w:p>
    <w:p w14:paraId="0736F77D">
      <w:pPr>
        <w:numPr>
          <w:ilvl w:val="0"/>
          <w:numId w:val="0"/>
        </w:numPr>
        <w:ind w:firstLine="640" w:firstLineChars="200"/>
        <w:rPr>
          <w:rFonts w:hint="default" w:ascii="Nimbus Roman No9 L" w:hAnsi="Nimbus Roman No9 L" w:eastAsia="仿宋_GB2312" w:cs="Nimbus Roman No9 L"/>
          <w:sz w:val="32"/>
          <w:szCs w:val="32"/>
          <w:highlight w:val="none"/>
          <w:lang w:bidi="ar"/>
        </w:rPr>
      </w:pPr>
      <w:r>
        <w:rPr>
          <w:rFonts w:hint="default" w:ascii="Nimbus Roman No9 L" w:hAnsi="Nimbus Roman No9 L" w:eastAsia="仿宋_GB2312" w:cs="Nimbus Roman No9 L"/>
          <w:sz w:val="32"/>
          <w:szCs w:val="32"/>
          <w:highlight w:val="none"/>
          <w:lang w:bidi="ar"/>
        </w:rPr>
        <w:t>通过重大偏差评审的投标人为有效投标人。</w:t>
      </w:r>
    </w:p>
    <w:p w14:paraId="266A43B9">
      <w:pPr>
        <w:pStyle w:val="2"/>
        <w:spacing w:line="540" w:lineRule="exact"/>
        <w:ind w:left="0" w:leftChars="0" w:firstLine="640" w:firstLineChars="200"/>
        <w:rPr>
          <w:rFonts w:hint="default" w:ascii="Nimbus Roman No9 L" w:hAnsi="Nimbus Roman No9 L" w:eastAsia="楷体" w:cs="Nimbus Roman No9 L"/>
          <w:b w:val="0"/>
          <w:bCs/>
          <w:kern w:val="2"/>
          <w:sz w:val="32"/>
          <w:szCs w:val="32"/>
          <w:highlight w:val="none"/>
          <w:lang w:val="en-US" w:eastAsia="zh-CN" w:bidi="ar"/>
        </w:rPr>
      </w:pPr>
      <w:r>
        <w:rPr>
          <w:rFonts w:hint="default" w:ascii="Nimbus Roman No9 L" w:hAnsi="Nimbus Roman No9 L" w:eastAsia="楷体" w:cs="Nimbus Roman No9 L"/>
          <w:b w:val="0"/>
          <w:bCs/>
          <w:kern w:val="2"/>
          <w:sz w:val="32"/>
          <w:szCs w:val="32"/>
          <w:highlight w:val="none"/>
          <w:lang w:val="en-US" w:eastAsia="zh-CN" w:bidi="ar"/>
        </w:rPr>
        <w:t>（二）报价修正</w:t>
      </w:r>
    </w:p>
    <w:p w14:paraId="79F029A1">
      <w:pPr>
        <w:numPr>
          <w:ilvl w:val="0"/>
          <w:numId w:val="0"/>
        </w:numPr>
        <w:ind w:firstLine="640" w:firstLineChars="200"/>
        <w:rPr>
          <w:rFonts w:hint="default" w:ascii="Nimbus Roman No9 L" w:hAnsi="Nimbus Roman No9 L" w:eastAsia="仿宋_GB2312" w:cs="Nimbus Roman No9 L"/>
          <w:sz w:val="32"/>
          <w:szCs w:val="32"/>
          <w:highlight w:val="none"/>
          <w:lang w:bidi="ar"/>
        </w:rPr>
      </w:pPr>
      <w:r>
        <w:rPr>
          <w:rFonts w:hint="default" w:ascii="Nimbus Roman No9 L" w:hAnsi="Nimbus Roman No9 L" w:eastAsia="仿宋_GB2312" w:cs="Nimbus Roman No9 L"/>
          <w:sz w:val="32"/>
          <w:szCs w:val="32"/>
          <w:highlight w:val="none"/>
          <w:lang w:bidi="ar"/>
        </w:rPr>
        <w:t>评标委员会对清标中发现投标报价存在算术性错误的，应按以下原则对投标报价进行修正：</w:t>
      </w:r>
    </w:p>
    <w:p w14:paraId="4525BC36">
      <w:pPr>
        <w:numPr>
          <w:ilvl w:val="0"/>
          <w:numId w:val="0"/>
        </w:numPr>
        <w:rPr>
          <w:rFonts w:hint="default" w:ascii="Nimbus Roman No9 L" w:hAnsi="Nimbus Roman No9 L" w:eastAsia="仿宋_GB2312" w:cs="Nimbus Roman No9 L"/>
          <w:sz w:val="32"/>
          <w:szCs w:val="32"/>
          <w:highlight w:val="none"/>
          <w:lang w:bidi="ar"/>
        </w:rPr>
      </w:pPr>
      <w:r>
        <w:rPr>
          <w:rFonts w:hint="default" w:ascii="Nimbus Roman No9 L" w:hAnsi="Nimbus Roman No9 L" w:eastAsia="仿宋_GB2312" w:cs="Nimbus Roman No9 L"/>
          <w:sz w:val="32"/>
          <w:szCs w:val="32"/>
          <w:highlight w:val="none"/>
          <w:lang w:val="en-US" w:eastAsia="zh-CN" w:bidi="ar"/>
        </w:rPr>
        <w:t xml:space="preserve">    一是</w:t>
      </w:r>
      <w:r>
        <w:rPr>
          <w:rFonts w:hint="default" w:ascii="Nimbus Roman No9 L" w:hAnsi="Nimbus Roman No9 L" w:eastAsia="仿宋_GB2312" w:cs="Nimbus Roman No9 L"/>
          <w:sz w:val="32"/>
          <w:szCs w:val="32"/>
          <w:highlight w:val="none"/>
          <w:lang w:bidi="ar"/>
        </w:rPr>
        <w:t>当综合单价与工程量（或计算基础金额与费率）的乘积与合价不一致时，以综合单价（或费率）为准修正合价及总价；</w:t>
      </w:r>
    </w:p>
    <w:p w14:paraId="7E3E0845">
      <w:pPr>
        <w:numPr>
          <w:ilvl w:val="0"/>
          <w:numId w:val="0"/>
        </w:numPr>
        <w:ind w:firstLine="640" w:firstLineChars="200"/>
        <w:rPr>
          <w:rFonts w:hint="default" w:ascii="Nimbus Roman No9 L" w:hAnsi="Nimbus Roman No9 L" w:eastAsia="仿宋_GB2312" w:cs="Nimbus Roman No9 L"/>
          <w:sz w:val="32"/>
          <w:szCs w:val="32"/>
          <w:highlight w:val="none"/>
          <w:lang w:bidi="ar"/>
        </w:rPr>
      </w:pPr>
      <w:r>
        <w:rPr>
          <w:rFonts w:hint="default" w:ascii="Nimbus Roman No9 L" w:hAnsi="Nimbus Roman No9 L" w:eastAsia="仿宋_GB2312" w:cs="Nimbus Roman No9 L"/>
          <w:sz w:val="32"/>
          <w:szCs w:val="32"/>
          <w:highlight w:val="none"/>
          <w:lang w:val="en-US" w:eastAsia="zh-CN" w:bidi="ar"/>
        </w:rPr>
        <w:t>二是</w:t>
      </w:r>
      <w:r>
        <w:rPr>
          <w:rFonts w:hint="default" w:ascii="Nimbus Roman No9 L" w:hAnsi="Nimbus Roman No9 L" w:eastAsia="仿宋_GB2312" w:cs="Nimbus Roman No9 L"/>
          <w:sz w:val="32"/>
          <w:szCs w:val="32"/>
          <w:highlight w:val="none"/>
          <w:lang w:bidi="ar"/>
        </w:rPr>
        <w:t>当各单项金额相加与其合计金额不一致时，以各单项金额为准修正相应合计金额及总价。</w:t>
      </w:r>
    </w:p>
    <w:p w14:paraId="270C70E4">
      <w:pPr>
        <w:numPr>
          <w:ilvl w:val="0"/>
          <w:numId w:val="0"/>
        </w:numPr>
        <w:ind w:firstLine="640" w:firstLineChars="200"/>
        <w:rPr>
          <w:rFonts w:hint="default" w:ascii="Nimbus Roman No9 L" w:hAnsi="Nimbus Roman No9 L" w:cs="Nimbus Roman No9 L"/>
          <w:highlight w:val="none"/>
          <w:lang w:val="en-US" w:eastAsia="zh-CN"/>
        </w:rPr>
      </w:pPr>
      <w:r>
        <w:rPr>
          <w:rFonts w:hint="default" w:ascii="Nimbus Roman No9 L" w:hAnsi="Nimbus Roman No9 L" w:eastAsia="仿宋_GB2312" w:cs="Nimbus Roman No9 L"/>
          <w:sz w:val="32"/>
          <w:szCs w:val="32"/>
          <w:highlight w:val="none"/>
          <w:lang w:bidi="ar"/>
        </w:rPr>
        <w:t>评标委员会修正后的价格经投标人书面确认后具有约束力</w:t>
      </w:r>
      <w:r>
        <w:rPr>
          <w:rFonts w:hint="default" w:ascii="Nimbus Roman No9 L" w:hAnsi="Nimbus Roman No9 L" w:eastAsia="仿宋_GB2312" w:cs="Nimbus Roman No9 L"/>
          <w:sz w:val="32"/>
          <w:szCs w:val="32"/>
          <w:highlight w:val="none"/>
          <w:lang w:eastAsia="zh-CN" w:bidi="ar"/>
        </w:rPr>
        <w:t>，</w:t>
      </w:r>
      <w:r>
        <w:rPr>
          <w:rFonts w:hint="default" w:ascii="Nimbus Roman No9 L" w:hAnsi="Nimbus Roman No9 L" w:eastAsia="仿宋_GB2312" w:cs="Nimbus Roman No9 L"/>
          <w:sz w:val="32"/>
          <w:szCs w:val="32"/>
          <w:highlight w:val="none"/>
          <w:lang w:val="en-US" w:eastAsia="zh-CN" w:bidi="ar"/>
        </w:rPr>
        <w:t>计算价格切线以修正后的报价为准（以后所称投标报价均为修正后的报价）</w:t>
      </w:r>
      <w:r>
        <w:rPr>
          <w:rFonts w:hint="default" w:ascii="Nimbus Roman No9 L" w:hAnsi="Nimbus Roman No9 L" w:eastAsia="仿宋_GB2312" w:cs="Nimbus Roman No9 L"/>
          <w:sz w:val="32"/>
          <w:szCs w:val="32"/>
          <w:highlight w:val="none"/>
          <w:lang w:bidi="ar"/>
        </w:rPr>
        <w:t>。投标人不接受修正价格或修正后价格高于招标控制价的，评标委员会应否决其投标。</w:t>
      </w:r>
    </w:p>
    <w:p w14:paraId="07F6D4FC">
      <w:pPr>
        <w:pStyle w:val="2"/>
        <w:numPr>
          <w:ilvl w:val="0"/>
          <w:numId w:val="1"/>
        </w:numPr>
        <w:spacing w:line="540" w:lineRule="exact"/>
        <w:ind w:firstLine="729" w:firstLineChars="228"/>
        <w:rPr>
          <w:rFonts w:hint="default" w:ascii="Nimbus Roman No9 L" w:hAnsi="Nimbus Roman No9 L" w:eastAsia="楷体" w:cs="Nimbus Roman No9 L"/>
          <w:b w:val="0"/>
          <w:bCs/>
          <w:color w:val="auto"/>
          <w:kern w:val="2"/>
          <w:sz w:val="32"/>
          <w:szCs w:val="32"/>
          <w:highlight w:val="none"/>
          <w:lang w:val="en-US" w:eastAsia="zh-CN" w:bidi="ar"/>
        </w:rPr>
      </w:pPr>
      <w:r>
        <w:rPr>
          <w:rFonts w:hint="default" w:ascii="Nimbus Roman No9 L" w:hAnsi="Nimbus Roman No9 L" w:eastAsia="楷体" w:cs="Nimbus Roman No9 L"/>
          <w:b w:val="0"/>
          <w:bCs/>
          <w:color w:val="auto"/>
          <w:kern w:val="2"/>
          <w:sz w:val="32"/>
          <w:szCs w:val="32"/>
          <w:highlight w:val="none"/>
          <w:lang w:val="en-US" w:eastAsia="zh-CN" w:bidi="ar"/>
        </w:rPr>
        <w:t>报价合理性评审（附表3-1）</w:t>
      </w:r>
    </w:p>
    <w:p w14:paraId="68D7EC37">
      <w:pPr>
        <w:pStyle w:val="2"/>
        <w:numPr>
          <w:ilvl w:val="0"/>
          <w:numId w:val="0"/>
        </w:numPr>
        <w:spacing w:line="540" w:lineRule="exact"/>
        <w:ind w:firstLine="640" w:firstLineChars="200"/>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合理基准价是对可能低于成本或者影响履约的异常低价投标的判断依据。投标人报价低于合理基准价的，其投标报价不参与评标基准价计算。</w:t>
      </w:r>
    </w:p>
    <w:p w14:paraId="17F1B317">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合理基准价={招标控制价部分×K1+投标报价部分×（1-K1）}×K2</w:t>
      </w:r>
    </w:p>
    <w:p w14:paraId="0B1B7EFE">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K1为合理基准价中招标控制价权重，由招标人在经济标计分评审前，随机抽取确定。K1取值范围0%～50%，以10%为间隔。</w:t>
      </w:r>
    </w:p>
    <w:p w14:paraId="44A84DC8">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（1）招标控制价部分=（招标控制价-招标控制价中的P值）×（1-K）+招标控制价中的P值</w:t>
      </w:r>
    </w:p>
    <w:p w14:paraId="71C57B6A">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 xml:space="preserve">招标控制价中的P值=暂列金+专业工程暂估价+ 施工技术专项措施项目暂估价+安全生产措施费+智慧工地基础配置费用。 </w:t>
      </w:r>
    </w:p>
    <w:p w14:paraId="6A6A78FD">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K为评标基准价中招标控制价（不含P值）的下浮率，由招标人在经济标计分评审前，随机抽取确定。</w:t>
      </w:r>
    </w:p>
    <w:p w14:paraId="60BD710B">
      <w:pPr>
        <w:pStyle w:val="2"/>
        <w:spacing w:line="540" w:lineRule="exact"/>
        <w:ind w:firstLine="729" w:firstLineChars="228"/>
        <w:rPr>
          <w:rFonts w:hint="default" w:ascii="Nimbus Roman No9 L" w:hAnsi="Nimbus Roman No9 L" w:eastAsia="仿宋_GB2312" w:cs="Nimbus Roman No9 L"/>
          <w:color w:val="auto"/>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K值取值建议：房屋建筑工程0%～5%</w:t>
      </w:r>
      <w:r>
        <w:rPr>
          <w:rFonts w:hint="eastAsia" w:ascii="Nimbus Roman No9 L" w:hAnsi="Nimbus Roman No9 L" w:eastAsia="仿宋_GB2312" w:cs="Nimbus Roman No9 L"/>
          <w:b w:val="0"/>
          <w:bCs w:val="0"/>
          <w:color w:val="auto"/>
          <w:sz w:val="32"/>
          <w:szCs w:val="32"/>
          <w:highlight w:val="none"/>
          <w:lang w:val="en-US" w:eastAsia="zh-CN"/>
        </w:rPr>
        <w:t>；</w:t>
      </w:r>
      <w:r>
        <w:rPr>
          <w:rFonts w:hint="default" w:ascii="Nimbus Roman No9 L" w:hAnsi="Nimbus Roman No9 L" w:eastAsia="仿宋_GB2312" w:cs="Nimbus Roman No9 L"/>
          <w:b w:val="0"/>
          <w:bCs w:val="0"/>
          <w:color w:val="auto"/>
          <w:sz w:val="32"/>
          <w:szCs w:val="32"/>
          <w:highlight w:val="none"/>
          <w:lang w:val="en-US" w:eastAsia="zh-CN"/>
        </w:rPr>
        <w:t>单独招标的安装工程和装饰装修工程0%～8%</w:t>
      </w:r>
      <w:r>
        <w:rPr>
          <w:rFonts w:hint="eastAsia" w:ascii="Nimbus Roman No9 L" w:hAnsi="Nimbus Roman No9 L" w:eastAsia="仿宋_GB2312" w:cs="Nimbus Roman No9 L"/>
          <w:b w:val="0"/>
          <w:bCs w:val="0"/>
          <w:color w:val="auto"/>
          <w:sz w:val="32"/>
          <w:szCs w:val="32"/>
          <w:highlight w:val="none"/>
          <w:lang w:val="en-US" w:eastAsia="zh-CN"/>
        </w:rPr>
        <w:t>；</w:t>
      </w:r>
      <w:r>
        <w:rPr>
          <w:rFonts w:hint="default" w:ascii="Nimbus Roman No9 L" w:hAnsi="Nimbus Roman No9 L" w:eastAsia="仿宋_GB2312" w:cs="Nimbus Roman No9 L"/>
          <w:b w:val="0"/>
          <w:bCs w:val="0"/>
          <w:color w:val="auto"/>
          <w:sz w:val="32"/>
          <w:szCs w:val="32"/>
          <w:highlight w:val="none"/>
          <w:lang w:val="en-US" w:eastAsia="zh-CN"/>
        </w:rPr>
        <w:t>市政和园林绿化工程0%～10%。以上均以1%为间隔。</w:t>
      </w:r>
    </w:p>
    <w:p w14:paraId="34629F2E">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（2）投标报价部分=有效投标人少于5家（不含）直接取算术平均值；大于5家（含）时去掉总家数20%高价（四舍五入取整）和总家数20%低价（四舍五入取整）后的取算术平均值。</w:t>
      </w:r>
    </w:p>
    <w:p w14:paraId="032F4CE3">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（3）K2的取值</w:t>
      </w:r>
    </w:p>
    <w:p w14:paraId="5BB68C5C">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①建筑工程K2为0.9；</w:t>
      </w:r>
    </w:p>
    <w:p w14:paraId="6738B4DB">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②市政公用工程（轨道交通工程除外）K2为0.85；</w:t>
      </w:r>
    </w:p>
    <w:p w14:paraId="3CFFB25A">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③轨道交通工程K2为0.88；</w:t>
      </w:r>
    </w:p>
    <w:p w14:paraId="564958A6">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④单独招标的装饰装修工程K2为0.92；</w:t>
      </w:r>
    </w:p>
    <w:p w14:paraId="422083A1">
      <w:pPr>
        <w:pStyle w:val="2"/>
        <w:spacing w:line="540" w:lineRule="exact"/>
        <w:ind w:firstLine="729" w:firstLineChars="228"/>
        <w:rPr>
          <w:rFonts w:hint="default" w:ascii="Nimbus Roman No9 L" w:hAnsi="Nimbus Roman No9 L" w:eastAsia="仿宋_GB2312" w:cs="Nimbus Roman No9 L"/>
          <w:b w:val="0"/>
          <w:bCs w:val="0"/>
          <w:color w:val="auto"/>
          <w:sz w:val="32"/>
          <w:szCs w:val="32"/>
          <w:highlight w:val="none"/>
          <w:lang w:val="en-US" w:eastAsia="zh-CN"/>
        </w:rPr>
      </w:pPr>
      <w:r>
        <w:rPr>
          <w:rFonts w:hint="default" w:ascii="Nimbus Roman No9 L" w:hAnsi="Nimbus Roman No9 L" w:eastAsia="仿宋_GB2312" w:cs="Nimbus Roman No9 L"/>
          <w:b w:val="0"/>
          <w:bCs w:val="0"/>
          <w:color w:val="auto"/>
          <w:sz w:val="32"/>
          <w:szCs w:val="32"/>
          <w:highlight w:val="none"/>
          <w:lang w:val="en-US" w:eastAsia="zh-CN"/>
        </w:rPr>
        <w:t>⑤单独招标的园林景观绿化工程、仿古建筑工程K2为0.88；</w:t>
      </w:r>
    </w:p>
    <w:p w14:paraId="7203539B">
      <w:pPr>
        <w:pStyle w:val="2"/>
        <w:spacing w:line="540" w:lineRule="exact"/>
        <w:ind w:firstLine="729" w:firstLineChars="228"/>
        <w:rPr>
          <w:rFonts w:hint="default" w:ascii="Nimbus Roman No9 L" w:hAnsi="Nimbus Roman No9 L" w:eastAsia="仿宋_GB2312" w:cs="Nimbus Roman No9 L"/>
          <w:color w:val="auto"/>
          <w:highlight w:val="none"/>
        </w:rPr>
      </w:pPr>
      <w:r>
        <w:rPr>
          <w:rFonts w:hint="default" w:ascii="Nimbus Roman No9 L" w:hAnsi="Nimbus Roman No9 L" w:eastAsia="仿宋_GB2312" w:cs="Nimbus Roman No9 L"/>
          <w:b w:val="0"/>
          <w:bCs w:val="0"/>
          <w:color w:val="auto"/>
          <w:sz w:val="32"/>
          <w:szCs w:val="32"/>
          <w:highlight w:val="none"/>
          <w:lang w:val="en-US" w:eastAsia="zh-CN"/>
        </w:rPr>
        <w:t>⑥单独招标的安装工程K2为0.9。</w:t>
      </w:r>
    </w:p>
    <w:p w14:paraId="19F5F22D">
      <w:pPr>
        <w:ind w:firstLine="726" w:firstLineChars="227"/>
        <w:rPr>
          <w:rFonts w:hint="default" w:ascii="Nimbus Roman No9 L" w:hAnsi="Nimbus Roman No9 L" w:eastAsia="楷体" w:cs="Nimbus Roman No9 L"/>
          <w:b w:val="0"/>
          <w:bCs/>
          <w:color w:val="auto"/>
          <w:kern w:val="2"/>
          <w:sz w:val="32"/>
          <w:szCs w:val="32"/>
          <w:highlight w:val="none"/>
          <w:lang w:val="en-US" w:eastAsia="zh-CN" w:bidi="ar"/>
        </w:rPr>
      </w:pPr>
      <w:r>
        <w:rPr>
          <w:rFonts w:hint="default" w:ascii="Nimbus Roman No9 L" w:hAnsi="Nimbus Roman No9 L" w:eastAsia="楷体" w:cs="Nimbus Roman No9 L"/>
          <w:b w:val="0"/>
          <w:bCs/>
          <w:color w:val="auto"/>
          <w:kern w:val="2"/>
          <w:sz w:val="32"/>
          <w:szCs w:val="32"/>
          <w:highlight w:val="none"/>
          <w:lang w:val="en-US" w:eastAsia="zh-CN" w:bidi="ar"/>
        </w:rPr>
        <w:t>（四）计算价格切线（附表3-2）</w:t>
      </w:r>
    </w:p>
    <w:p w14:paraId="74929D47">
      <w:pPr>
        <w:ind w:firstLine="726" w:firstLineChars="227"/>
        <w:rPr>
          <w:rFonts w:hint="default" w:ascii="Nimbus Roman No9 L" w:hAnsi="Nimbus Roman No9 L" w:eastAsia="仿宋_GB2312" w:cs="Nimbus Roman No9 L"/>
          <w:color w:val="auto"/>
          <w:sz w:val="32"/>
          <w:szCs w:val="32"/>
          <w:highlight w:val="none"/>
          <w:lang w:bidi="ar"/>
        </w:rPr>
      </w:pPr>
      <w:r>
        <w:rPr>
          <w:rFonts w:hint="eastAsia" w:ascii="Nimbus Roman No9 L" w:hAnsi="Nimbus Roman No9 L" w:eastAsia="仿宋_GB2312" w:cs="Nimbus Roman No9 L"/>
          <w:color w:val="auto"/>
          <w:sz w:val="32"/>
          <w:szCs w:val="32"/>
          <w:highlight w:val="none"/>
          <w:lang w:eastAsia="zh-CN" w:bidi="ar"/>
        </w:rPr>
        <w:t>1.</w:t>
      </w:r>
      <w:r>
        <w:rPr>
          <w:rFonts w:hint="default" w:ascii="Nimbus Roman No9 L" w:hAnsi="Nimbus Roman No9 L" w:eastAsia="仿宋_GB2312" w:cs="Nimbus Roman No9 L"/>
          <w:color w:val="auto"/>
          <w:sz w:val="32"/>
          <w:szCs w:val="32"/>
          <w:highlight w:val="none"/>
          <w:lang w:bidi="ar"/>
        </w:rPr>
        <w:t>招标控制价部分=（招标控制价-招标控制价中的P值）×（1-K）+招标控制价中的P值</w:t>
      </w:r>
    </w:p>
    <w:p w14:paraId="051A1CDF">
      <w:pPr>
        <w:ind w:firstLine="726" w:firstLineChars="227"/>
        <w:rPr>
          <w:rFonts w:hint="eastAsia" w:ascii="Nimbus Roman No9 L" w:hAnsi="Nimbus Roman No9 L" w:eastAsia="仿宋_GB2312" w:cs="Nimbus Roman No9 L"/>
          <w:color w:val="auto"/>
          <w:sz w:val="32"/>
          <w:szCs w:val="32"/>
          <w:highlight w:val="none"/>
          <w:lang w:val="en-US" w:eastAsia="zh-CN" w:bidi="ar"/>
        </w:rPr>
      </w:pPr>
      <w:r>
        <w:rPr>
          <w:rFonts w:hint="default" w:ascii="Nimbus Roman No9 L" w:hAnsi="Nimbus Roman No9 L" w:eastAsia="仿宋_GB2312" w:cs="Nimbus Roman No9 L"/>
          <w:color w:val="auto"/>
          <w:sz w:val="32"/>
          <w:szCs w:val="32"/>
          <w:highlight w:val="none"/>
          <w:lang w:bidi="ar"/>
        </w:rPr>
        <w:t>招标控制价中的P值=暂列金+专业工程暂估价+ 施工技术专项措施项目暂估价+安全生产措施费+智慧工地基础配置费用。</w:t>
      </w:r>
      <w:r>
        <w:rPr>
          <w:rFonts w:hint="eastAsia" w:ascii="Nimbus Roman No9 L" w:hAnsi="Nimbus Roman No9 L" w:eastAsia="仿宋_GB2312" w:cs="Nimbus Roman No9 L"/>
          <w:color w:val="auto"/>
          <w:sz w:val="32"/>
          <w:szCs w:val="32"/>
          <w:highlight w:val="none"/>
          <w:lang w:val="en-US" w:eastAsia="zh-CN" w:bidi="ar"/>
        </w:rPr>
        <w:t xml:space="preserve">  </w:t>
      </w:r>
    </w:p>
    <w:p w14:paraId="41295151">
      <w:pPr>
        <w:ind w:firstLine="726" w:firstLineChars="227"/>
        <w:rPr>
          <w:rFonts w:hint="default" w:ascii="Nimbus Roman No9 L" w:hAnsi="Nimbus Roman No9 L" w:eastAsia="仿宋_GB2312" w:cs="Nimbus Roman No9 L"/>
          <w:color w:val="auto"/>
          <w:sz w:val="32"/>
          <w:szCs w:val="32"/>
          <w:highlight w:val="none"/>
        </w:rPr>
      </w:pPr>
      <w:r>
        <w:rPr>
          <w:rFonts w:hint="eastAsia" w:ascii="Nimbus Roman No9 L" w:hAnsi="Nimbus Roman No9 L" w:eastAsia="仿宋_GB2312" w:cs="Nimbus Roman No9 L"/>
          <w:color w:val="auto"/>
          <w:sz w:val="32"/>
          <w:szCs w:val="32"/>
          <w:highlight w:val="none"/>
          <w:lang w:eastAsia="zh-CN" w:bidi="ar"/>
        </w:rPr>
        <w:t>2.</w:t>
      </w:r>
      <w:r>
        <w:rPr>
          <w:rFonts w:hint="default" w:ascii="Nimbus Roman No9 L" w:hAnsi="Nimbus Roman No9 L" w:eastAsia="仿宋_GB2312" w:cs="Nimbus Roman No9 L"/>
          <w:color w:val="auto"/>
          <w:sz w:val="32"/>
          <w:szCs w:val="32"/>
          <w:highlight w:val="none"/>
          <w:lang w:bidi="ar"/>
        </w:rPr>
        <w:t>投标报价部分</w:t>
      </w:r>
      <w:r>
        <w:rPr>
          <w:rFonts w:hint="default" w:ascii="Nimbus Roman No9 L" w:hAnsi="Nimbus Roman No9 L" w:eastAsia="仿宋_GB2312" w:cs="Nimbus Roman No9 L"/>
          <w:color w:val="auto"/>
          <w:sz w:val="32"/>
          <w:szCs w:val="32"/>
          <w:highlight w:val="none"/>
          <w:lang w:eastAsia="zh-CN" w:bidi="ar"/>
        </w:rPr>
        <w:t>：</w:t>
      </w:r>
      <w:r>
        <w:rPr>
          <w:rFonts w:hint="default" w:ascii="Nimbus Roman No9 L" w:hAnsi="Nimbus Roman No9 L" w:eastAsia="仿宋_GB2312" w:cs="Nimbus Roman No9 L"/>
          <w:b w:val="0"/>
          <w:bCs w:val="0"/>
          <w:sz w:val="32"/>
          <w:szCs w:val="32"/>
          <w:highlight w:val="none"/>
          <w:lang w:val="en-US" w:eastAsia="zh-CN"/>
        </w:rPr>
        <w:t>经</w:t>
      </w:r>
      <w:r>
        <w:rPr>
          <w:rFonts w:hint="default" w:ascii="Nimbus Roman No9 L" w:hAnsi="Nimbus Roman No9 L" w:eastAsia="仿宋_GB2312" w:cs="Nimbus Roman No9 L"/>
          <w:b w:val="0"/>
          <w:bCs w:val="0"/>
          <w:color w:val="auto"/>
          <w:sz w:val="32"/>
          <w:szCs w:val="32"/>
          <w:highlight w:val="none"/>
          <w:lang w:val="en-US" w:eastAsia="zh-CN"/>
        </w:rPr>
        <w:t>报价合理性评审</w:t>
      </w:r>
      <w:r>
        <w:rPr>
          <w:rFonts w:hint="default" w:ascii="Nimbus Roman No9 L" w:hAnsi="Nimbus Roman No9 L" w:eastAsia="仿宋_GB2312" w:cs="Nimbus Roman No9 L"/>
          <w:b w:val="0"/>
          <w:bCs w:val="0"/>
          <w:sz w:val="32"/>
          <w:szCs w:val="32"/>
          <w:highlight w:val="none"/>
          <w:lang w:val="en-US" w:eastAsia="zh-CN"/>
        </w:rPr>
        <w:t>，高于合理基准价相应标准剩余的</w:t>
      </w:r>
      <w:r>
        <w:rPr>
          <w:rFonts w:hint="default" w:ascii="Nimbus Roman No9 L" w:hAnsi="Nimbus Roman No9 L" w:eastAsia="仿宋_GB2312" w:cs="Nimbus Roman No9 L"/>
          <w:color w:val="auto"/>
          <w:sz w:val="32"/>
          <w:szCs w:val="32"/>
          <w:highlight w:val="none"/>
          <w:lang w:bidi="ar"/>
        </w:rPr>
        <w:t>有效投标人少于5家（不含）直接取算术平均值；大于5家（含）时去掉总家数20%高价（四舍五入取整）和总家数20%低价（四舍五入取整）后的取算术平均值。</w:t>
      </w:r>
    </w:p>
    <w:p w14:paraId="4115CDB7">
      <w:pPr>
        <w:ind w:firstLine="726" w:firstLineChars="227"/>
        <w:rPr>
          <w:rFonts w:hint="default" w:ascii="Nimbus Roman No9 L" w:hAnsi="Nimbus Roman No9 L" w:eastAsia="仿宋_GB2312" w:cs="Nimbus Roman No9 L"/>
          <w:color w:val="auto"/>
          <w:sz w:val="32"/>
          <w:szCs w:val="32"/>
          <w:highlight w:val="none"/>
        </w:rPr>
      </w:pPr>
      <w:r>
        <w:rPr>
          <w:rFonts w:hint="eastAsia" w:ascii="Nimbus Roman No9 L" w:hAnsi="Nimbus Roman No9 L" w:eastAsia="仿宋_GB2312" w:cs="Nimbus Roman No9 L"/>
          <w:color w:val="auto"/>
          <w:sz w:val="32"/>
          <w:szCs w:val="32"/>
          <w:highlight w:val="none"/>
          <w:lang w:eastAsia="zh-CN" w:bidi="ar"/>
        </w:rPr>
        <w:t>3.</w:t>
      </w:r>
      <w:r>
        <w:rPr>
          <w:rFonts w:hint="default" w:ascii="Nimbus Roman No9 L" w:hAnsi="Nimbus Roman No9 L" w:eastAsia="仿宋_GB2312" w:cs="Nimbus Roman No9 L"/>
          <w:color w:val="auto"/>
          <w:sz w:val="32"/>
          <w:szCs w:val="32"/>
          <w:highlight w:val="none"/>
          <w:lang w:bidi="ar"/>
        </w:rPr>
        <w:t>价格切线=招标控制价部分×K1+投标报价部分×（1-K1）×（1-K2）。</w:t>
      </w:r>
    </w:p>
    <w:p w14:paraId="578FD813">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K为价格切线中控制价（不含P值）的下浮率，</w:t>
      </w:r>
      <w:r>
        <w:rPr>
          <w:rFonts w:hint="default" w:ascii="Nimbus Roman No9 L" w:hAnsi="Nimbus Roman No9 L" w:eastAsia="仿宋_GB2312" w:cs="Nimbus Roman No9 L"/>
          <w:color w:val="auto"/>
          <w:sz w:val="32"/>
          <w:szCs w:val="32"/>
          <w:highlight w:val="none"/>
        </w:rPr>
        <w:t>由招标人在</w:t>
      </w:r>
      <w:r>
        <w:rPr>
          <w:rFonts w:hint="default" w:ascii="Nimbus Roman No9 L" w:hAnsi="Nimbus Roman No9 L" w:eastAsia="仿宋_GB2312" w:cs="Nimbus Roman No9 L"/>
          <w:color w:val="auto"/>
          <w:sz w:val="32"/>
          <w:szCs w:val="32"/>
          <w:highlight w:val="none"/>
          <w:lang w:val="en-US" w:eastAsia="zh-CN"/>
        </w:rPr>
        <w:t>计算价格切线</w:t>
      </w:r>
      <w:r>
        <w:rPr>
          <w:rFonts w:hint="default" w:ascii="Nimbus Roman No9 L" w:hAnsi="Nimbus Roman No9 L" w:eastAsia="仿宋_GB2312" w:cs="Nimbus Roman No9 L"/>
          <w:color w:val="auto"/>
          <w:sz w:val="32"/>
          <w:szCs w:val="32"/>
          <w:highlight w:val="none"/>
        </w:rPr>
        <w:t>前，随机抽取确定。</w:t>
      </w:r>
    </w:p>
    <w:p w14:paraId="488A60B1">
      <w:pPr>
        <w:pStyle w:val="2"/>
        <w:spacing w:line="540" w:lineRule="exact"/>
        <w:ind w:firstLine="729" w:firstLineChars="228"/>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K值取值建议：房屋建筑工程0%</w:t>
      </w:r>
      <w:r>
        <w:rPr>
          <w:rFonts w:hint="default" w:ascii="Nimbus Roman No9 L" w:hAnsi="Nimbus Roman No9 L" w:eastAsia="仿宋_GB2312" w:cs="Nimbus Roman No9 L"/>
          <w:sz w:val="32"/>
          <w:szCs w:val="32"/>
          <w:highlight w:val="none"/>
        </w:rPr>
        <w:t>～</w:t>
      </w:r>
      <w:r>
        <w:rPr>
          <w:rFonts w:hint="default" w:ascii="Nimbus Roman No9 L" w:hAnsi="Nimbus Roman No9 L" w:eastAsia="仿宋_GB2312" w:cs="Nimbus Roman No9 L"/>
          <w:color w:val="auto"/>
          <w:sz w:val="32"/>
          <w:szCs w:val="32"/>
          <w:highlight w:val="none"/>
          <w:lang w:bidi="ar"/>
        </w:rPr>
        <w:t>5%</w:t>
      </w:r>
      <w:r>
        <w:rPr>
          <w:rFonts w:hint="eastAsia" w:ascii="Nimbus Roman No9 L" w:hAnsi="Nimbus Roman No9 L" w:eastAsia="仿宋_GB2312" w:cs="Nimbus Roman No9 L"/>
          <w:color w:val="auto"/>
          <w:sz w:val="32"/>
          <w:szCs w:val="32"/>
          <w:highlight w:val="none"/>
          <w:lang w:eastAsia="zh-CN" w:bidi="ar"/>
        </w:rPr>
        <w:t>；</w:t>
      </w:r>
      <w:r>
        <w:rPr>
          <w:rFonts w:hint="default" w:ascii="Nimbus Roman No9 L" w:hAnsi="Nimbus Roman No9 L" w:eastAsia="仿宋_GB2312" w:cs="Nimbus Roman No9 L"/>
          <w:color w:val="auto"/>
          <w:sz w:val="32"/>
          <w:szCs w:val="32"/>
          <w:highlight w:val="none"/>
          <w:lang w:bidi="ar"/>
        </w:rPr>
        <w:t>单独招标的安装工程和装饰装修工程0%</w:t>
      </w:r>
      <w:r>
        <w:rPr>
          <w:rFonts w:hint="default" w:ascii="Nimbus Roman No9 L" w:hAnsi="Nimbus Roman No9 L" w:eastAsia="仿宋_GB2312" w:cs="Nimbus Roman No9 L"/>
          <w:sz w:val="32"/>
          <w:szCs w:val="32"/>
          <w:highlight w:val="none"/>
        </w:rPr>
        <w:t>～</w:t>
      </w:r>
      <w:r>
        <w:rPr>
          <w:rFonts w:hint="default" w:ascii="Nimbus Roman No9 L" w:hAnsi="Nimbus Roman No9 L" w:eastAsia="仿宋_GB2312" w:cs="Nimbus Roman No9 L"/>
          <w:color w:val="auto"/>
          <w:sz w:val="32"/>
          <w:szCs w:val="32"/>
          <w:highlight w:val="none"/>
          <w:lang w:bidi="ar"/>
        </w:rPr>
        <w:t>8%</w:t>
      </w:r>
      <w:r>
        <w:rPr>
          <w:rFonts w:hint="eastAsia" w:ascii="Nimbus Roman No9 L" w:hAnsi="Nimbus Roman No9 L" w:eastAsia="仿宋_GB2312" w:cs="Nimbus Roman No9 L"/>
          <w:color w:val="auto"/>
          <w:sz w:val="32"/>
          <w:szCs w:val="32"/>
          <w:highlight w:val="none"/>
          <w:lang w:eastAsia="zh-CN" w:bidi="ar"/>
        </w:rPr>
        <w:t>；</w:t>
      </w:r>
      <w:r>
        <w:rPr>
          <w:rFonts w:hint="default" w:ascii="Nimbus Roman No9 L" w:hAnsi="Nimbus Roman No9 L" w:eastAsia="仿宋_GB2312" w:cs="Nimbus Roman No9 L"/>
          <w:color w:val="auto"/>
          <w:sz w:val="32"/>
          <w:szCs w:val="32"/>
          <w:highlight w:val="none"/>
          <w:lang w:bidi="ar"/>
        </w:rPr>
        <w:t>市政和园林绿化工程0%</w:t>
      </w:r>
      <w:r>
        <w:rPr>
          <w:rFonts w:hint="default" w:ascii="Nimbus Roman No9 L" w:hAnsi="Nimbus Roman No9 L" w:eastAsia="仿宋_GB2312" w:cs="Nimbus Roman No9 L"/>
          <w:sz w:val="32"/>
          <w:szCs w:val="32"/>
          <w:highlight w:val="none"/>
        </w:rPr>
        <w:t>～</w:t>
      </w:r>
      <w:r>
        <w:rPr>
          <w:rFonts w:hint="default" w:ascii="Nimbus Roman No9 L" w:hAnsi="Nimbus Roman No9 L" w:eastAsia="仿宋_GB2312" w:cs="Nimbus Roman No9 L"/>
          <w:color w:val="auto"/>
          <w:sz w:val="32"/>
          <w:szCs w:val="32"/>
          <w:highlight w:val="none"/>
          <w:lang w:bidi="ar"/>
        </w:rPr>
        <w:t>10%</w:t>
      </w:r>
      <w:r>
        <w:rPr>
          <w:rFonts w:hint="default" w:ascii="Nimbus Roman No9 L" w:hAnsi="Nimbus Roman No9 L" w:eastAsia="仿宋_GB2312" w:cs="Nimbus Roman No9 L"/>
          <w:color w:val="auto"/>
          <w:sz w:val="32"/>
          <w:szCs w:val="32"/>
          <w:highlight w:val="none"/>
          <w:lang w:eastAsia="zh-CN" w:bidi="ar"/>
        </w:rPr>
        <w:t>，</w:t>
      </w:r>
      <w:r>
        <w:rPr>
          <w:rFonts w:hint="default" w:ascii="Nimbus Roman No9 L" w:hAnsi="Nimbus Roman No9 L" w:eastAsia="仿宋_GB2312" w:cs="Nimbus Roman No9 L"/>
          <w:color w:val="auto"/>
          <w:sz w:val="32"/>
          <w:szCs w:val="32"/>
          <w:highlight w:val="none"/>
        </w:rPr>
        <w:t>以上均以1%为间隔。</w:t>
      </w:r>
    </w:p>
    <w:p w14:paraId="70660F94">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K1为价格切线中</w:t>
      </w:r>
      <w:r>
        <w:rPr>
          <w:rFonts w:hint="default" w:ascii="Nimbus Roman No9 L" w:hAnsi="Nimbus Roman No9 L" w:eastAsia="仿宋_GB2312" w:cs="Nimbus Roman No9 L"/>
          <w:color w:val="auto"/>
          <w:sz w:val="32"/>
          <w:szCs w:val="32"/>
          <w:highlight w:val="none"/>
          <w:lang w:val="en-US" w:eastAsia="zh-CN" w:bidi="ar"/>
        </w:rPr>
        <w:t>招标</w:t>
      </w:r>
      <w:r>
        <w:rPr>
          <w:rFonts w:hint="default" w:ascii="Nimbus Roman No9 L" w:hAnsi="Nimbus Roman No9 L" w:eastAsia="仿宋_GB2312" w:cs="Nimbus Roman No9 L"/>
          <w:color w:val="auto"/>
          <w:sz w:val="32"/>
          <w:szCs w:val="32"/>
          <w:highlight w:val="none"/>
          <w:lang w:bidi="ar"/>
        </w:rPr>
        <w:t>控制价权重，</w:t>
      </w:r>
      <w:r>
        <w:rPr>
          <w:rFonts w:hint="default" w:ascii="Nimbus Roman No9 L" w:hAnsi="Nimbus Roman No9 L" w:eastAsia="仿宋_GB2312" w:cs="Nimbus Roman No9 L"/>
          <w:color w:val="auto"/>
          <w:sz w:val="32"/>
          <w:szCs w:val="32"/>
          <w:highlight w:val="none"/>
        </w:rPr>
        <w:t>由招标人在</w:t>
      </w:r>
      <w:r>
        <w:rPr>
          <w:rFonts w:hint="default" w:ascii="Nimbus Roman No9 L" w:hAnsi="Nimbus Roman No9 L" w:eastAsia="仿宋_GB2312" w:cs="Nimbus Roman No9 L"/>
          <w:color w:val="auto"/>
          <w:sz w:val="32"/>
          <w:szCs w:val="32"/>
          <w:highlight w:val="none"/>
          <w:lang w:val="en-US" w:eastAsia="zh-CN"/>
        </w:rPr>
        <w:t>计算价格切线</w:t>
      </w:r>
      <w:r>
        <w:rPr>
          <w:rFonts w:hint="default" w:ascii="Nimbus Roman No9 L" w:hAnsi="Nimbus Roman No9 L" w:eastAsia="仿宋_GB2312" w:cs="Nimbus Roman No9 L"/>
          <w:color w:val="auto"/>
          <w:sz w:val="32"/>
          <w:szCs w:val="32"/>
          <w:highlight w:val="none"/>
        </w:rPr>
        <w:t>前，随机抽取确定。</w:t>
      </w:r>
      <w:r>
        <w:rPr>
          <w:rFonts w:hint="default" w:ascii="Nimbus Roman No9 L" w:hAnsi="Nimbus Roman No9 L" w:eastAsia="仿宋_GB2312" w:cs="Nimbus Roman No9 L"/>
          <w:color w:val="auto"/>
          <w:sz w:val="32"/>
          <w:szCs w:val="32"/>
          <w:highlight w:val="none"/>
          <w:lang w:bidi="ar"/>
        </w:rPr>
        <w:t>K1取值范围0%</w:t>
      </w:r>
      <w:r>
        <w:rPr>
          <w:rFonts w:hint="default" w:ascii="Nimbus Roman No9 L" w:hAnsi="Nimbus Roman No9 L" w:eastAsia="仿宋_GB2312" w:cs="Nimbus Roman No9 L"/>
          <w:sz w:val="32"/>
          <w:szCs w:val="32"/>
          <w:highlight w:val="none"/>
        </w:rPr>
        <w:t>～</w:t>
      </w:r>
      <w:r>
        <w:rPr>
          <w:rFonts w:hint="default" w:ascii="Nimbus Roman No9 L" w:hAnsi="Nimbus Roman No9 L" w:eastAsia="仿宋_GB2312" w:cs="Nimbus Roman No9 L"/>
          <w:color w:val="auto"/>
          <w:sz w:val="32"/>
          <w:szCs w:val="32"/>
          <w:highlight w:val="none"/>
          <w:lang w:val="en-US" w:eastAsia="zh-CN" w:bidi="ar"/>
        </w:rPr>
        <w:t>5</w:t>
      </w:r>
      <w:r>
        <w:rPr>
          <w:rFonts w:hint="default" w:ascii="Nimbus Roman No9 L" w:hAnsi="Nimbus Roman No9 L" w:eastAsia="仿宋_GB2312" w:cs="Nimbus Roman No9 L"/>
          <w:color w:val="auto"/>
          <w:sz w:val="32"/>
          <w:szCs w:val="32"/>
          <w:highlight w:val="none"/>
          <w:lang w:bidi="ar"/>
        </w:rPr>
        <w:t>0%，以10%为间隔。</w:t>
      </w:r>
    </w:p>
    <w:p w14:paraId="227E5806">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K2为随机下浮率，</w:t>
      </w:r>
      <w:r>
        <w:rPr>
          <w:rFonts w:hint="default" w:ascii="Nimbus Roman No9 L" w:hAnsi="Nimbus Roman No9 L" w:eastAsia="仿宋_GB2312" w:cs="Nimbus Roman No9 L"/>
          <w:color w:val="auto"/>
          <w:sz w:val="32"/>
          <w:szCs w:val="32"/>
          <w:highlight w:val="none"/>
        </w:rPr>
        <w:t>由招标人在</w:t>
      </w:r>
      <w:r>
        <w:rPr>
          <w:rFonts w:hint="default" w:ascii="Nimbus Roman No9 L" w:hAnsi="Nimbus Roman No9 L" w:eastAsia="仿宋_GB2312" w:cs="Nimbus Roman No9 L"/>
          <w:color w:val="auto"/>
          <w:sz w:val="32"/>
          <w:szCs w:val="32"/>
          <w:highlight w:val="none"/>
          <w:lang w:val="en-US" w:eastAsia="zh-CN"/>
        </w:rPr>
        <w:t>计算价格切线</w:t>
      </w:r>
      <w:r>
        <w:rPr>
          <w:rFonts w:hint="default" w:ascii="Nimbus Roman No9 L" w:hAnsi="Nimbus Roman No9 L" w:eastAsia="仿宋_GB2312" w:cs="Nimbus Roman No9 L"/>
          <w:color w:val="auto"/>
          <w:sz w:val="32"/>
          <w:szCs w:val="32"/>
          <w:highlight w:val="none"/>
        </w:rPr>
        <w:t>前，随机抽取确定。</w:t>
      </w:r>
      <w:r>
        <w:rPr>
          <w:rFonts w:hint="default" w:ascii="Nimbus Roman No9 L" w:hAnsi="Nimbus Roman No9 L" w:eastAsia="仿宋_GB2312" w:cs="Nimbus Roman No9 L"/>
          <w:color w:val="auto"/>
          <w:sz w:val="32"/>
          <w:szCs w:val="32"/>
          <w:highlight w:val="none"/>
          <w:lang w:bidi="ar"/>
        </w:rPr>
        <w:t>K2的取值范围1%</w:t>
      </w:r>
      <w:r>
        <w:rPr>
          <w:rFonts w:hint="default" w:ascii="Nimbus Roman No9 L" w:hAnsi="Nimbus Roman No9 L" w:eastAsia="仿宋_GB2312" w:cs="Nimbus Roman No9 L"/>
          <w:sz w:val="32"/>
          <w:szCs w:val="32"/>
          <w:highlight w:val="none"/>
        </w:rPr>
        <w:t>～</w:t>
      </w:r>
      <w:r>
        <w:rPr>
          <w:rFonts w:hint="default" w:ascii="Nimbus Roman No9 L" w:hAnsi="Nimbus Roman No9 L" w:eastAsia="仿宋_GB2312" w:cs="Nimbus Roman No9 L"/>
          <w:color w:val="auto"/>
          <w:sz w:val="32"/>
          <w:szCs w:val="32"/>
          <w:highlight w:val="none"/>
          <w:lang w:bidi="ar"/>
        </w:rPr>
        <w:t>4%，以1%为间隔。</w:t>
      </w:r>
    </w:p>
    <w:p w14:paraId="0142E576">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价格切线计算完成后成为固定值，不因之后评审情况发生变化。</w:t>
      </w:r>
    </w:p>
    <w:p w14:paraId="75649EFD">
      <w:pPr>
        <w:numPr>
          <w:ilvl w:val="0"/>
          <w:numId w:val="0"/>
        </w:numPr>
        <w:shd w:val="clear" w:color="auto" w:fill="FFFFFF"/>
        <w:ind w:firstLine="640" w:firstLineChars="200"/>
        <w:rPr>
          <w:rFonts w:hint="default" w:ascii="Nimbus Roman No9 L" w:hAnsi="Nimbus Roman No9 L" w:eastAsia="楷体" w:cs="Nimbus Roman No9 L"/>
          <w:b w:val="0"/>
          <w:bCs/>
          <w:color w:val="auto"/>
          <w:sz w:val="32"/>
          <w:szCs w:val="32"/>
          <w:highlight w:val="none"/>
        </w:rPr>
      </w:pPr>
      <w:r>
        <w:rPr>
          <w:rFonts w:hint="default" w:ascii="Nimbus Roman No9 L" w:hAnsi="Nimbus Roman No9 L" w:eastAsia="楷体" w:cs="Nimbus Roman No9 L"/>
          <w:b w:val="0"/>
          <w:bCs/>
          <w:color w:val="auto"/>
          <w:kern w:val="2"/>
          <w:sz w:val="32"/>
          <w:szCs w:val="32"/>
          <w:highlight w:val="none"/>
          <w:lang w:val="en-US" w:eastAsia="zh-CN" w:bidi="ar"/>
        </w:rPr>
        <w:t>（五）</w:t>
      </w:r>
      <w:r>
        <w:rPr>
          <w:rFonts w:hint="default" w:ascii="Nimbus Roman No9 L" w:hAnsi="Nimbus Roman No9 L" w:eastAsia="楷体" w:cs="Nimbus Roman No9 L"/>
          <w:b w:val="0"/>
          <w:bCs/>
          <w:color w:val="auto"/>
          <w:kern w:val="0"/>
          <w:sz w:val="32"/>
          <w:szCs w:val="32"/>
          <w:highlight w:val="none"/>
          <w:lang w:val="en-US" w:eastAsia="zh-CN"/>
        </w:rPr>
        <w:t>确定入围投标人数量</w:t>
      </w:r>
    </w:p>
    <w:p w14:paraId="21AAC748">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评标委员会对有效投标人按照其投标报价与价格切线差价绝对值由小到大依次排序，选取前X名为</w:t>
      </w:r>
      <w:r>
        <w:rPr>
          <w:rFonts w:hint="default" w:ascii="Nimbus Roman No9 L" w:hAnsi="Nimbus Roman No9 L" w:eastAsia="仿宋_GB2312" w:cs="Nimbus Roman No9 L"/>
          <w:color w:val="auto"/>
          <w:sz w:val="32"/>
          <w:szCs w:val="32"/>
          <w:highlight w:val="none"/>
          <w:lang w:val="en-US" w:eastAsia="zh-CN" w:bidi="ar"/>
        </w:rPr>
        <w:t>入围投标人</w:t>
      </w:r>
      <w:r>
        <w:rPr>
          <w:rFonts w:hint="default" w:ascii="Nimbus Roman No9 L" w:hAnsi="Nimbus Roman No9 L" w:eastAsia="仿宋_GB2312" w:cs="Nimbus Roman No9 L"/>
          <w:color w:val="auto"/>
          <w:sz w:val="32"/>
          <w:szCs w:val="32"/>
          <w:highlight w:val="none"/>
          <w:lang w:bidi="ar"/>
        </w:rPr>
        <w:t>（当出现投标人名次相同时，由评标委员会按投标报价由低到高进行排序）并对其投标文件进行下阶段评审。</w:t>
      </w:r>
    </w:p>
    <w:p w14:paraId="5075AFC6">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投标报价与价格切线的差价绝对值=|Ai-价格切线|。</w:t>
      </w:r>
    </w:p>
    <w:p w14:paraId="345CD802">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Ai为各投标人的报价。</w:t>
      </w:r>
    </w:p>
    <w:p w14:paraId="633C9C73">
      <w:pPr>
        <w:ind w:firstLine="726" w:firstLineChars="227"/>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lang w:bidi="ar"/>
        </w:rPr>
        <w:t>X为推荐</w:t>
      </w:r>
      <w:r>
        <w:rPr>
          <w:rFonts w:hint="default" w:ascii="Nimbus Roman No9 L" w:hAnsi="Nimbus Roman No9 L" w:eastAsia="仿宋_GB2312" w:cs="Nimbus Roman No9 L"/>
          <w:color w:val="auto"/>
          <w:sz w:val="32"/>
          <w:szCs w:val="32"/>
          <w:highlight w:val="none"/>
          <w:lang w:val="en-US" w:eastAsia="zh-CN" w:bidi="ar"/>
        </w:rPr>
        <w:t>入围</w:t>
      </w:r>
      <w:r>
        <w:rPr>
          <w:rFonts w:hint="default" w:ascii="Nimbus Roman No9 L" w:hAnsi="Nimbus Roman No9 L" w:eastAsia="仿宋_GB2312" w:cs="Nimbus Roman No9 L"/>
          <w:color w:val="auto"/>
          <w:sz w:val="32"/>
          <w:szCs w:val="32"/>
          <w:highlight w:val="none"/>
          <w:lang w:bidi="ar"/>
        </w:rPr>
        <w:t>投标人数量，由招标人在招标文件中明确具体数值。</w:t>
      </w:r>
    </w:p>
    <w:p w14:paraId="53C8F69E">
      <w:pPr>
        <w:ind w:firstLine="640" w:firstLineChars="200"/>
        <w:rPr>
          <w:rFonts w:hint="default" w:ascii="Nimbus Roman No9 L" w:hAnsi="Nimbus Roman No9 L" w:eastAsia="楷体" w:cs="Nimbus Roman No9 L"/>
          <w:b w:val="0"/>
          <w:bCs w:val="0"/>
          <w:color w:val="auto"/>
          <w:sz w:val="32"/>
          <w:szCs w:val="32"/>
          <w:highlight w:val="none"/>
        </w:rPr>
      </w:pPr>
      <w:r>
        <w:rPr>
          <w:rFonts w:hint="default" w:ascii="Nimbus Roman No9 L" w:hAnsi="Nimbus Roman No9 L" w:eastAsia="楷体" w:cs="Nimbus Roman No9 L"/>
          <w:b w:val="0"/>
          <w:bCs w:val="0"/>
          <w:color w:val="auto"/>
          <w:sz w:val="32"/>
          <w:szCs w:val="32"/>
          <w:highlight w:val="none"/>
          <w:lang w:eastAsia="zh-CN" w:bidi="ar"/>
        </w:rPr>
        <w:t>（</w:t>
      </w:r>
      <w:r>
        <w:rPr>
          <w:rFonts w:hint="default" w:ascii="Nimbus Roman No9 L" w:hAnsi="Nimbus Roman No9 L" w:eastAsia="楷体" w:cs="Nimbus Roman No9 L"/>
          <w:b w:val="0"/>
          <w:bCs w:val="0"/>
          <w:color w:val="auto"/>
          <w:sz w:val="32"/>
          <w:szCs w:val="32"/>
          <w:highlight w:val="none"/>
          <w:lang w:val="en-US" w:eastAsia="zh-CN" w:bidi="ar"/>
        </w:rPr>
        <w:t>六</w:t>
      </w:r>
      <w:r>
        <w:rPr>
          <w:rFonts w:hint="default" w:ascii="Nimbus Roman No9 L" w:hAnsi="Nimbus Roman No9 L" w:eastAsia="楷体" w:cs="Nimbus Roman No9 L"/>
          <w:b w:val="0"/>
          <w:bCs w:val="0"/>
          <w:color w:val="auto"/>
          <w:sz w:val="32"/>
          <w:szCs w:val="32"/>
          <w:highlight w:val="none"/>
          <w:lang w:eastAsia="zh-CN" w:bidi="ar"/>
        </w:rPr>
        <w:t>）</w:t>
      </w:r>
      <w:r>
        <w:rPr>
          <w:rFonts w:hint="default" w:ascii="Nimbus Roman No9 L" w:hAnsi="Nimbus Roman No9 L" w:eastAsia="楷体" w:cs="Nimbus Roman No9 L"/>
          <w:b w:val="0"/>
          <w:bCs w:val="0"/>
          <w:color w:val="auto"/>
          <w:sz w:val="32"/>
          <w:szCs w:val="32"/>
          <w:highlight w:val="none"/>
          <w:lang w:val="en-US" w:eastAsia="zh-CN" w:bidi="ar"/>
        </w:rPr>
        <w:t>形式和资格</w:t>
      </w:r>
      <w:r>
        <w:rPr>
          <w:rFonts w:hint="default" w:ascii="Nimbus Roman No9 L" w:hAnsi="Nimbus Roman No9 L" w:eastAsia="楷体" w:cs="Nimbus Roman No9 L"/>
          <w:b w:val="0"/>
          <w:bCs w:val="0"/>
          <w:color w:val="auto"/>
          <w:sz w:val="32"/>
          <w:szCs w:val="32"/>
          <w:highlight w:val="none"/>
          <w:lang w:bidi="ar"/>
        </w:rPr>
        <w:t>评审</w:t>
      </w:r>
    </w:p>
    <w:p w14:paraId="18766F19">
      <w:pPr>
        <w:pStyle w:val="2"/>
        <w:spacing w:line="540" w:lineRule="exact"/>
        <w:ind w:left="0" w:leftChars="0" w:firstLine="640" w:firstLineChars="200"/>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按照本办法第十五条至第十</w:t>
      </w:r>
      <w:r>
        <w:rPr>
          <w:rFonts w:hint="default" w:ascii="Nimbus Roman No9 L" w:hAnsi="Nimbus Roman No9 L" w:eastAsia="仿宋_GB2312" w:cs="Nimbus Roman No9 L"/>
          <w:color w:val="auto"/>
          <w:sz w:val="32"/>
          <w:szCs w:val="32"/>
          <w:highlight w:val="none"/>
          <w:lang w:val="en-US" w:eastAsia="zh-CN"/>
        </w:rPr>
        <w:t>六</w:t>
      </w:r>
      <w:r>
        <w:rPr>
          <w:rFonts w:hint="default" w:ascii="Nimbus Roman No9 L" w:hAnsi="Nimbus Roman No9 L" w:eastAsia="仿宋_GB2312" w:cs="Nimbus Roman No9 L"/>
          <w:color w:val="auto"/>
          <w:sz w:val="32"/>
          <w:szCs w:val="32"/>
          <w:highlight w:val="none"/>
        </w:rPr>
        <w:t>条及形式、资格</w:t>
      </w:r>
      <w:r>
        <w:rPr>
          <w:rFonts w:hint="default" w:ascii="Nimbus Roman No9 L" w:hAnsi="Nimbus Roman No9 L" w:eastAsia="仿宋_GB2312" w:cs="Nimbus Roman No9 L"/>
          <w:color w:val="auto"/>
          <w:sz w:val="32"/>
          <w:szCs w:val="32"/>
          <w:highlight w:val="none"/>
          <w:lang w:val="en-US" w:eastAsia="zh-CN"/>
        </w:rPr>
        <w:t>评审标准（</w:t>
      </w:r>
      <w:r>
        <w:rPr>
          <w:rFonts w:hint="default" w:ascii="Nimbus Roman No9 L" w:hAnsi="Nimbus Roman No9 L" w:eastAsia="仿宋_GB2312" w:cs="Nimbus Roman No9 L"/>
          <w:color w:val="auto"/>
          <w:sz w:val="32"/>
          <w:szCs w:val="32"/>
          <w:highlight w:val="none"/>
        </w:rPr>
        <w:t>附表</w:t>
      </w:r>
      <w:r>
        <w:rPr>
          <w:rFonts w:hint="default" w:ascii="Nimbus Roman No9 L" w:hAnsi="Nimbus Roman No9 L" w:eastAsia="仿宋_GB2312" w:cs="Nimbus Roman No9 L"/>
          <w:color w:val="auto"/>
          <w:sz w:val="32"/>
          <w:szCs w:val="32"/>
          <w:highlight w:val="none"/>
          <w:lang w:val="en-US" w:eastAsia="zh-CN"/>
        </w:rPr>
        <w:t>1</w:t>
      </w:r>
      <w:r>
        <w:rPr>
          <w:rFonts w:hint="default" w:ascii="Nimbus Roman No9 L" w:hAnsi="Nimbus Roman No9 L" w:eastAsia="仿宋_GB2312" w:cs="Nimbus Roman No9 L"/>
          <w:color w:val="auto"/>
          <w:sz w:val="32"/>
          <w:szCs w:val="32"/>
          <w:highlight w:val="none"/>
        </w:rPr>
        <w:t>-1</w:t>
      </w:r>
      <w:r>
        <w:rPr>
          <w:rFonts w:hint="default" w:ascii="Nimbus Roman No9 L" w:hAnsi="Nimbus Roman No9 L" w:eastAsia="仿宋_GB2312" w:cs="Nimbus Roman No9 L"/>
          <w:color w:val="auto"/>
          <w:sz w:val="32"/>
          <w:szCs w:val="32"/>
          <w:highlight w:val="none"/>
          <w:lang w:eastAsia="zh-CN"/>
        </w:rPr>
        <w:t>、</w:t>
      </w:r>
      <w:r>
        <w:rPr>
          <w:rFonts w:hint="default" w:ascii="Nimbus Roman No9 L" w:hAnsi="Nimbus Roman No9 L" w:eastAsia="仿宋_GB2312" w:cs="Nimbus Roman No9 L"/>
          <w:color w:val="auto"/>
          <w:sz w:val="32"/>
          <w:szCs w:val="32"/>
          <w:highlight w:val="none"/>
          <w:lang w:val="en-US" w:eastAsia="zh-CN"/>
        </w:rPr>
        <w:t>1-2）</w:t>
      </w:r>
      <w:r>
        <w:rPr>
          <w:rFonts w:hint="default" w:ascii="Nimbus Roman No9 L" w:hAnsi="Nimbus Roman No9 L" w:eastAsia="仿宋_GB2312" w:cs="Nimbus Roman No9 L"/>
          <w:color w:val="auto"/>
          <w:sz w:val="32"/>
          <w:szCs w:val="32"/>
          <w:highlight w:val="none"/>
        </w:rPr>
        <w:t>规定，对投标文件进行评审，对不符合相关规定和要求的投标文件予以否决。</w:t>
      </w:r>
    </w:p>
    <w:p w14:paraId="1EE2CE01">
      <w:pPr>
        <w:spacing w:line="540" w:lineRule="exact"/>
        <w:ind w:firstLine="640" w:firstLineChars="200"/>
        <w:rPr>
          <w:rFonts w:hint="default" w:ascii="Nimbus Roman No9 L" w:hAnsi="Nimbus Roman No9 L" w:eastAsia="楷体" w:cs="Nimbus Roman No9 L"/>
          <w:b w:val="0"/>
          <w:bCs w:val="0"/>
          <w:color w:val="auto"/>
          <w:sz w:val="32"/>
          <w:szCs w:val="32"/>
          <w:highlight w:val="none"/>
          <w:lang w:val="en-US" w:eastAsia="zh-CN" w:bidi="ar"/>
        </w:rPr>
      </w:pPr>
      <w:r>
        <w:rPr>
          <w:rFonts w:hint="default" w:ascii="Nimbus Roman No9 L" w:hAnsi="Nimbus Roman No9 L" w:eastAsia="楷体" w:cs="Nimbus Roman No9 L"/>
          <w:b w:val="0"/>
          <w:bCs w:val="0"/>
          <w:color w:val="auto"/>
          <w:sz w:val="32"/>
          <w:szCs w:val="32"/>
          <w:highlight w:val="none"/>
          <w:lang w:val="en-US" w:eastAsia="zh-CN" w:bidi="ar"/>
        </w:rPr>
        <w:t>（七）技术标定性评审</w:t>
      </w:r>
    </w:p>
    <w:p w14:paraId="6D91A969">
      <w:pPr>
        <w:numPr>
          <w:ilvl w:val="0"/>
          <w:numId w:val="0"/>
        </w:numPr>
        <w:shd w:val="clear" w:color="auto" w:fill="FFFFFF"/>
        <w:spacing w:line="540" w:lineRule="exact"/>
        <w:ind w:firstLine="640" w:firstLineChars="200"/>
        <w:rPr>
          <w:rFonts w:hint="default" w:ascii="Nimbus Roman No9 L" w:hAnsi="Nimbus Roman No9 L" w:eastAsia="仿宋_GB2312" w:cs="Nimbus Roman No9 L"/>
          <w:color w:val="auto"/>
          <w:highlight w:val="none"/>
          <w:lang w:val="en-US" w:eastAsia="zh-CN"/>
        </w:rPr>
      </w:pPr>
      <w:r>
        <w:rPr>
          <w:rFonts w:hint="eastAsia" w:ascii="Nimbus Roman No9 L" w:hAnsi="Nimbus Roman No9 L" w:eastAsia="仿宋_GB2312" w:cs="Nimbus Roman No9 L"/>
          <w:color w:val="auto"/>
          <w:kern w:val="0"/>
          <w:sz w:val="32"/>
          <w:szCs w:val="32"/>
          <w:highlight w:val="none"/>
          <w:lang w:val="en-US" w:eastAsia="zh-CN"/>
        </w:rPr>
        <w:t>1.</w:t>
      </w:r>
      <w:r>
        <w:rPr>
          <w:rFonts w:hint="default" w:ascii="Nimbus Roman No9 L" w:hAnsi="Nimbus Roman No9 L" w:eastAsia="仿宋_GB2312" w:cs="Nimbus Roman No9 L"/>
          <w:color w:val="auto"/>
          <w:kern w:val="0"/>
          <w:sz w:val="32"/>
          <w:szCs w:val="32"/>
          <w:highlight w:val="none"/>
        </w:rPr>
        <w:t>经</w:t>
      </w:r>
      <w:r>
        <w:rPr>
          <w:rFonts w:hint="default" w:ascii="Nimbus Roman No9 L" w:hAnsi="Nimbus Roman No9 L" w:eastAsia="仿宋_GB2312" w:cs="Nimbus Roman No9 L"/>
          <w:color w:val="auto"/>
          <w:kern w:val="0"/>
          <w:sz w:val="32"/>
          <w:szCs w:val="32"/>
          <w:highlight w:val="none"/>
          <w:lang w:val="en-US" w:eastAsia="zh-CN"/>
        </w:rPr>
        <w:t>上阶段</w:t>
      </w:r>
      <w:r>
        <w:rPr>
          <w:rFonts w:hint="default" w:ascii="Nimbus Roman No9 L" w:hAnsi="Nimbus Roman No9 L" w:eastAsia="仿宋_GB2312" w:cs="Nimbus Roman No9 L"/>
          <w:color w:val="auto"/>
          <w:kern w:val="0"/>
          <w:sz w:val="32"/>
          <w:szCs w:val="32"/>
          <w:highlight w:val="none"/>
        </w:rPr>
        <w:t>评审合格的</w:t>
      </w:r>
      <w:r>
        <w:rPr>
          <w:rFonts w:hint="default" w:ascii="Nimbus Roman No9 L" w:hAnsi="Nimbus Roman No9 L" w:eastAsia="仿宋_GB2312" w:cs="Nimbus Roman No9 L"/>
          <w:color w:val="auto"/>
          <w:kern w:val="0"/>
          <w:sz w:val="32"/>
          <w:szCs w:val="32"/>
          <w:highlight w:val="none"/>
          <w:lang w:val="en-US" w:eastAsia="zh-CN"/>
        </w:rPr>
        <w:t>入围</w:t>
      </w:r>
      <w:r>
        <w:rPr>
          <w:rFonts w:hint="default" w:ascii="Nimbus Roman No9 L" w:hAnsi="Nimbus Roman No9 L" w:eastAsia="仿宋_GB2312" w:cs="Nimbus Roman No9 L"/>
          <w:color w:val="auto"/>
          <w:kern w:val="0"/>
          <w:sz w:val="32"/>
          <w:szCs w:val="32"/>
          <w:highlight w:val="none"/>
        </w:rPr>
        <w:t>投标人，由评标委员会根据招标文件确定的评审因素和评审标准</w:t>
      </w:r>
      <w:r>
        <w:rPr>
          <w:rFonts w:hint="default" w:ascii="Nimbus Roman No9 L" w:hAnsi="Nimbus Roman No9 L" w:eastAsia="仿宋_GB2312" w:cs="Nimbus Roman No9 L"/>
          <w:color w:val="auto"/>
          <w:kern w:val="0"/>
          <w:sz w:val="32"/>
          <w:szCs w:val="32"/>
          <w:highlight w:val="none"/>
          <w:lang w:eastAsia="zh-CN"/>
        </w:rPr>
        <w:t>，</w:t>
      </w:r>
      <w:r>
        <w:rPr>
          <w:rFonts w:hint="default" w:ascii="Nimbus Roman No9 L" w:hAnsi="Nimbus Roman No9 L" w:eastAsia="仿宋_GB2312" w:cs="Nimbus Roman No9 L"/>
          <w:color w:val="auto"/>
          <w:kern w:val="0"/>
          <w:sz w:val="32"/>
          <w:szCs w:val="32"/>
          <w:highlight w:val="none"/>
          <w:lang w:val="en-US" w:eastAsia="zh-CN"/>
        </w:rPr>
        <w:t>参照技术标定性评审标准（附表3-3）</w:t>
      </w:r>
      <w:r>
        <w:rPr>
          <w:rFonts w:hint="default" w:ascii="Nimbus Roman No9 L" w:hAnsi="Nimbus Roman No9 L" w:eastAsia="仿宋_GB2312" w:cs="Nimbus Roman No9 L"/>
          <w:color w:val="auto"/>
          <w:kern w:val="0"/>
          <w:sz w:val="32"/>
          <w:szCs w:val="32"/>
          <w:highlight w:val="none"/>
        </w:rPr>
        <w:t>，</w:t>
      </w:r>
      <w:r>
        <w:rPr>
          <w:rFonts w:hint="default" w:ascii="Nimbus Roman No9 L" w:hAnsi="Nimbus Roman No9 L" w:eastAsia="仿宋_GB2312" w:cs="Nimbus Roman No9 L"/>
          <w:color w:val="auto"/>
          <w:kern w:val="0"/>
          <w:sz w:val="32"/>
          <w:szCs w:val="32"/>
          <w:highlight w:val="none"/>
          <w:lang w:val="en-US" w:eastAsia="zh-CN"/>
        </w:rPr>
        <w:t>采取定性评审的方法进行评审。</w:t>
      </w:r>
    </w:p>
    <w:p w14:paraId="285960A8">
      <w:pPr>
        <w:numPr>
          <w:ilvl w:val="0"/>
          <w:numId w:val="0"/>
        </w:numPr>
        <w:shd w:val="clear" w:color="auto" w:fill="FFFFFF"/>
        <w:spacing w:line="540" w:lineRule="exact"/>
        <w:ind w:firstLine="640" w:firstLineChars="200"/>
        <w:rPr>
          <w:rFonts w:hint="default" w:ascii="Nimbus Roman No9 L" w:hAnsi="Nimbus Roman No9 L" w:eastAsia="仿宋_GB2312" w:cs="Nimbus Roman No9 L"/>
          <w:kern w:val="0"/>
          <w:sz w:val="32"/>
          <w:szCs w:val="32"/>
          <w:highlight w:val="none"/>
          <w:lang w:val="en-US" w:eastAsia="zh-CN"/>
        </w:rPr>
      </w:pPr>
      <w:r>
        <w:rPr>
          <w:rFonts w:hint="eastAsia" w:ascii="Nimbus Roman No9 L" w:hAnsi="Nimbus Roman No9 L" w:eastAsia="仿宋_GB2312" w:cs="Nimbus Roman No9 L"/>
          <w:color w:val="auto"/>
          <w:kern w:val="0"/>
          <w:sz w:val="32"/>
          <w:szCs w:val="32"/>
          <w:highlight w:val="none"/>
          <w:lang w:val="en-US" w:eastAsia="zh-CN"/>
        </w:rPr>
        <w:t>2.</w:t>
      </w:r>
      <w:r>
        <w:rPr>
          <w:rFonts w:hint="default" w:ascii="Nimbus Roman No9 L" w:hAnsi="Nimbus Roman No9 L" w:eastAsia="仿宋_GB2312" w:cs="Nimbus Roman No9 L"/>
          <w:color w:val="auto"/>
          <w:kern w:val="0"/>
          <w:sz w:val="32"/>
          <w:szCs w:val="32"/>
          <w:highlight w:val="none"/>
          <w:lang w:val="en-US" w:eastAsia="zh-CN"/>
        </w:rPr>
        <w:t>技术标评审采用暗标和评委个人评审方式进行，</w:t>
      </w:r>
      <w:r>
        <w:rPr>
          <w:rFonts w:hint="default" w:ascii="Nimbus Roman No9 L" w:hAnsi="Nimbus Roman No9 L" w:eastAsia="仿宋_GB2312" w:cs="Nimbus Roman No9 L"/>
          <w:kern w:val="0"/>
          <w:sz w:val="32"/>
          <w:szCs w:val="32"/>
          <w:highlight w:val="none"/>
          <w:lang w:val="en-US" w:eastAsia="zh-CN"/>
        </w:rPr>
        <w:t>评标委员会成员应指出每家投标人技术标的优点和存在的缺陷、签订合同前应注意和澄清的事项等情况。</w:t>
      </w:r>
    </w:p>
    <w:p w14:paraId="1B38882C">
      <w:pPr>
        <w:pStyle w:val="5"/>
        <w:spacing w:line="540" w:lineRule="exact"/>
        <w:ind w:firstLine="640" w:firstLineChars="200"/>
        <w:rPr>
          <w:rFonts w:hint="default" w:ascii="Nimbus Roman No9 L" w:hAnsi="Nimbus Roman No9 L" w:eastAsia="仿宋_GB2312" w:cs="Nimbus Roman No9 L"/>
          <w:kern w:val="0"/>
          <w:sz w:val="32"/>
          <w:szCs w:val="32"/>
          <w:highlight w:val="none"/>
          <w:lang w:val="en-US" w:eastAsia="zh-CN" w:bidi="ar-SA"/>
        </w:rPr>
      </w:pPr>
      <w:r>
        <w:rPr>
          <w:rFonts w:hint="eastAsia" w:ascii="Nimbus Roman No9 L" w:hAnsi="Nimbus Roman No9 L" w:eastAsia="仿宋_GB2312" w:cs="Nimbus Roman No9 L"/>
          <w:kern w:val="0"/>
          <w:sz w:val="32"/>
          <w:szCs w:val="32"/>
          <w:highlight w:val="none"/>
          <w:lang w:val="en-US" w:eastAsia="zh-CN"/>
        </w:rPr>
        <w:t>3.</w:t>
      </w:r>
      <w:r>
        <w:rPr>
          <w:rFonts w:hint="default" w:ascii="Nimbus Roman No9 L" w:hAnsi="Nimbus Roman No9 L" w:eastAsia="仿宋_GB2312" w:cs="Nimbus Roman No9 L"/>
          <w:kern w:val="0"/>
          <w:sz w:val="32"/>
          <w:szCs w:val="32"/>
          <w:highlight w:val="none"/>
          <w:lang w:val="en-US" w:eastAsia="zh-CN"/>
        </w:rPr>
        <w:t>评委个人</w:t>
      </w:r>
      <w:r>
        <w:rPr>
          <w:rFonts w:hint="default" w:ascii="Nimbus Roman No9 L" w:hAnsi="Nimbus Roman No9 L" w:eastAsia="仿宋_GB2312" w:cs="Nimbus Roman No9 L"/>
          <w:kern w:val="0"/>
          <w:sz w:val="32"/>
          <w:szCs w:val="32"/>
          <w:highlight w:val="none"/>
          <w:lang w:val="en-US" w:eastAsia="zh-CN" w:bidi="ar-SA"/>
        </w:rPr>
        <w:t>评审完成后，由评标委员会组长组织评标委员会成员按照技术标定性评审汇总表（附表3-4）汇总评审情况。</w:t>
      </w:r>
    </w:p>
    <w:p w14:paraId="41BA3EAA">
      <w:pPr>
        <w:pStyle w:val="2"/>
        <w:spacing w:line="540" w:lineRule="exact"/>
        <w:ind w:firstLine="640" w:firstLineChars="200"/>
        <w:rPr>
          <w:rFonts w:hint="default" w:ascii="Nimbus Roman No9 L" w:hAnsi="Nimbus Roman No9 L" w:eastAsia="仿宋" w:cs="Nimbus Roman No9 L"/>
          <w:kern w:val="0"/>
          <w:sz w:val="32"/>
          <w:szCs w:val="32"/>
          <w:highlight w:val="none"/>
          <w:lang w:val="en-US" w:eastAsia="zh-CN"/>
        </w:rPr>
      </w:pPr>
      <w:r>
        <w:rPr>
          <w:rFonts w:hint="default" w:ascii="Nimbus Roman No9 L" w:hAnsi="Nimbus Roman No9 L" w:eastAsia="黑体" w:cs="Nimbus Roman No9 L"/>
          <w:sz w:val="32"/>
          <w:szCs w:val="32"/>
          <w:highlight w:val="none"/>
          <w:lang w:val="en-US" w:eastAsia="zh-CN"/>
        </w:rPr>
        <w:t>三、推荐定标候选</w:t>
      </w:r>
      <w:r>
        <w:rPr>
          <w:rFonts w:hint="default" w:ascii="Nimbus Roman No9 L" w:hAnsi="Nimbus Roman No9 L" w:eastAsia="黑体" w:cs="Nimbus Roman No9 L"/>
          <w:sz w:val="32"/>
          <w:szCs w:val="32"/>
          <w:highlight w:val="none"/>
        </w:rPr>
        <w:t>人</w:t>
      </w:r>
    </w:p>
    <w:p w14:paraId="4DD25C4A">
      <w:pPr>
        <w:numPr>
          <w:ilvl w:val="0"/>
          <w:numId w:val="0"/>
        </w:numPr>
        <w:shd w:val="clear" w:color="auto" w:fill="FFFFFF"/>
        <w:spacing w:line="540" w:lineRule="exact"/>
        <w:ind w:firstLine="640" w:firstLineChars="200"/>
        <w:rPr>
          <w:rFonts w:hint="default" w:ascii="Nimbus Roman No9 L" w:hAnsi="Nimbus Roman No9 L" w:eastAsia="仿宋_GB2312" w:cs="Nimbus Roman No9 L"/>
          <w:sz w:val="32"/>
          <w:szCs w:val="32"/>
          <w:highlight w:val="none"/>
          <w:lang w:val="en-US" w:eastAsia="zh-CN" w:bidi="ar"/>
        </w:rPr>
      </w:pPr>
      <w:r>
        <w:rPr>
          <w:rFonts w:hint="default" w:ascii="Nimbus Roman No9 L" w:hAnsi="Nimbus Roman No9 L" w:eastAsia="仿宋_GB2312" w:cs="Nimbus Roman No9 L"/>
          <w:kern w:val="0"/>
          <w:sz w:val="32"/>
          <w:szCs w:val="32"/>
          <w:highlight w:val="none"/>
          <w:lang w:val="en-US" w:eastAsia="zh-CN"/>
        </w:rPr>
        <w:t>评标委员会向招标人推荐合格的定标候选人。推荐的定标候选人不排序，由招标人按照《自治区房屋建筑和市政基础设施工程建设项目招标“评定分离”操作指导规则（试行）》的要求，另行组织定标委员会进行定标程序。</w:t>
      </w:r>
    </w:p>
    <w:p w14:paraId="217468A5">
      <w:pPr>
        <w:spacing w:line="540" w:lineRule="exact"/>
        <w:ind w:firstLine="643" w:firstLineChars="200"/>
        <w:rPr>
          <w:rFonts w:hint="default" w:ascii="Nimbus Roman No9 L" w:hAnsi="Nimbus Roman No9 L" w:eastAsia="仿宋_GB2312" w:cs="Nimbus Roman No9 L"/>
          <w:b/>
          <w:bCs/>
          <w:sz w:val="32"/>
          <w:szCs w:val="32"/>
          <w:highlight w:val="none"/>
          <w:lang w:val="en-US" w:eastAsia="zh-CN" w:bidi="ar"/>
        </w:rPr>
      </w:pPr>
      <w:r>
        <w:rPr>
          <w:rFonts w:hint="default" w:ascii="Nimbus Roman No9 L" w:hAnsi="Nimbus Roman No9 L" w:eastAsia="仿宋_GB2312" w:cs="Nimbus Roman No9 L"/>
          <w:b/>
          <w:bCs/>
          <w:sz w:val="32"/>
          <w:szCs w:val="32"/>
          <w:highlight w:val="none"/>
          <w:lang w:val="en-US" w:eastAsia="zh-CN" w:bidi="ar"/>
        </w:rPr>
        <w:t>备注：</w:t>
      </w:r>
    </w:p>
    <w:p w14:paraId="634AE078">
      <w:pPr>
        <w:spacing w:line="540" w:lineRule="exact"/>
        <w:ind w:firstLine="643" w:firstLineChars="200"/>
        <w:rPr>
          <w:rFonts w:hint="default" w:ascii="Nimbus Roman No9 L" w:hAnsi="Nimbus Roman No9 L" w:eastAsia="仿宋_GB2312" w:cs="Nimbus Roman No9 L"/>
          <w:b/>
          <w:bCs/>
          <w:sz w:val="32"/>
          <w:szCs w:val="32"/>
          <w:highlight w:val="none"/>
        </w:rPr>
      </w:pPr>
      <w:r>
        <w:rPr>
          <w:rFonts w:hint="default" w:ascii="Nimbus Roman No9 L" w:hAnsi="Nimbus Roman No9 L" w:eastAsia="仿宋_GB2312" w:cs="Nimbus Roman No9 L"/>
          <w:b/>
          <w:bCs/>
          <w:sz w:val="32"/>
          <w:szCs w:val="32"/>
          <w:highlight w:val="none"/>
          <w:lang w:bidi="ar"/>
        </w:rPr>
        <w:t>经</w:t>
      </w:r>
      <w:r>
        <w:rPr>
          <w:rFonts w:hint="default" w:ascii="Nimbus Roman No9 L" w:hAnsi="Nimbus Roman No9 L" w:eastAsia="仿宋_GB2312" w:cs="Nimbus Roman No9 L"/>
          <w:b/>
          <w:bCs/>
          <w:sz w:val="32"/>
          <w:szCs w:val="32"/>
          <w:highlight w:val="none"/>
          <w:lang w:val="en-US" w:eastAsia="zh-CN" w:bidi="ar"/>
        </w:rPr>
        <w:t>形式和资格</w:t>
      </w:r>
      <w:r>
        <w:rPr>
          <w:rFonts w:hint="default" w:ascii="Nimbus Roman No9 L" w:hAnsi="Nimbus Roman No9 L" w:eastAsia="仿宋_GB2312" w:cs="Nimbus Roman No9 L"/>
          <w:b/>
          <w:bCs/>
          <w:sz w:val="32"/>
          <w:szCs w:val="32"/>
          <w:highlight w:val="none"/>
          <w:lang w:bidi="ar"/>
        </w:rPr>
        <w:t>评审</w:t>
      </w:r>
      <w:r>
        <w:rPr>
          <w:rFonts w:hint="default" w:ascii="Nimbus Roman No9 L" w:hAnsi="Nimbus Roman No9 L" w:eastAsia="仿宋_GB2312" w:cs="Nimbus Roman No9 L"/>
          <w:b/>
          <w:bCs/>
          <w:sz w:val="32"/>
          <w:szCs w:val="32"/>
          <w:highlight w:val="none"/>
          <w:lang w:val="en-US" w:eastAsia="zh-CN" w:bidi="ar"/>
        </w:rPr>
        <w:t>后，</w:t>
      </w:r>
      <w:r>
        <w:rPr>
          <w:rFonts w:hint="default" w:ascii="Nimbus Roman No9 L" w:hAnsi="Nimbus Roman No9 L" w:eastAsia="仿宋_GB2312" w:cs="Nimbus Roman No9 L"/>
          <w:b/>
          <w:bCs/>
          <w:sz w:val="32"/>
          <w:szCs w:val="32"/>
          <w:highlight w:val="none"/>
          <w:lang w:bidi="ar"/>
        </w:rPr>
        <w:t>若</w:t>
      </w:r>
      <w:r>
        <w:rPr>
          <w:rFonts w:hint="default" w:ascii="Nimbus Roman No9 L" w:hAnsi="Nimbus Roman No9 L" w:eastAsia="仿宋_GB2312" w:cs="Nimbus Roman No9 L"/>
          <w:b/>
          <w:bCs/>
          <w:sz w:val="32"/>
          <w:szCs w:val="32"/>
          <w:highlight w:val="none"/>
          <w:lang w:val="en-US" w:eastAsia="zh-CN" w:bidi="ar"/>
        </w:rPr>
        <w:t>入围</w:t>
      </w:r>
      <w:r>
        <w:rPr>
          <w:rFonts w:hint="default" w:ascii="Nimbus Roman No9 L" w:hAnsi="Nimbus Roman No9 L" w:eastAsia="仿宋_GB2312" w:cs="Nimbus Roman No9 L"/>
          <w:b/>
          <w:bCs/>
          <w:sz w:val="32"/>
          <w:szCs w:val="32"/>
          <w:highlight w:val="none"/>
          <w:lang w:bidi="ar"/>
        </w:rPr>
        <w:t>投标人不足X家则按名次递补，直至经评审的合格投标人不少于X家为止。</w:t>
      </w:r>
    </w:p>
    <w:p w14:paraId="47BA39E6">
      <w:pPr>
        <w:spacing w:line="540" w:lineRule="exact"/>
        <w:ind w:firstLine="643" w:firstLineChars="200"/>
        <w:rPr>
          <w:rFonts w:hint="default" w:ascii="Nimbus Roman No9 L" w:hAnsi="Nimbus Roman No9 L" w:eastAsia="仿宋_GB2312" w:cs="Nimbus Roman No9 L"/>
          <w:b/>
          <w:bCs/>
          <w:sz w:val="28"/>
          <w:szCs w:val="28"/>
          <w:highlight w:val="none"/>
          <w:lang w:bidi="ar"/>
        </w:rPr>
      </w:pPr>
      <w:r>
        <w:rPr>
          <w:rFonts w:hint="default" w:ascii="Nimbus Roman No9 L" w:hAnsi="Nimbus Roman No9 L" w:eastAsia="仿宋_GB2312" w:cs="Nimbus Roman No9 L"/>
          <w:b/>
          <w:bCs/>
          <w:sz w:val="32"/>
          <w:szCs w:val="32"/>
          <w:highlight w:val="none"/>
          <w:lang w:bidi="ar"/>
        </w:rPr>
        <w:t>出现全部有效投标人均进行了评审但合格投标人少于X时，如果合格投标人大于3家（含）则进入下一阶段；如果合格投标人小于3家，且评标委员会认为不具备竞争力的，招标人应当重新招标。</w:t>
      </w:r>
    </w:p>
    <w:p w14:paraId="43AD2A5E">
      <w:pPr>
        <w:rPr>
          <w:rFonts w:hint="default" w:ascii="Nimbus Roman No9 L" w:hAnsi="Nimbus Roman No9 L" w:eastAsia="仿宋_GB2312" w:cs="Nimbus Roman No9 L"/>
          <w:sz w:val="28"/>
          <w:szCs w:val="28"/>
          <w:highlight w:val="none"/>
          <w:lang w:bidi="ar"/>
        </w:rPr>
        <w:sectPr>
          <w:pgSz w:w="11906" w:h="16838"/>
          <w:pgMar w:top="2098" w:right="1531" w:bottom="1984"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Nimbus Roman No9 L" w:hAnsi="Nimbus Roman No9 L" w:eastAsia="仿宋_GB2312" w:cs="Nimbus Roman No9 L"/>
          <w:sz w:val="28"/>
          <w:szCs w:val="28"/>
          <w:highlight w:val="none"/>
          <w:lang w:bidi="ar"/>
        </w:rPr>
        <w:t xml:space="preserve"> </w:t>
      </w:r>
    </w:p>
    <w:p w14:paraId="5E623065">
      <w:pPr>
        <w:spacing w:line="440" w:lineRule="exact"/>
        <w:jc w:val="left"/>
        <w:rPr>
          <w:rFonts w:hint="default" w:ascii="Nimbus Roman No9 L" w:hAnsi="Nimbus Roman No9 L" w:eastAsia="宋体" w:cs="Nimbus Roman No9 L"/>
          <w:b/>
          <w:sz w:val="24"/>
          <w:highlight w:val="none"/>
          <w:lang w:bidi="ar"/>
        </w:rPr>
      </w:pPr>
      <w:r>
        <w:rPr>
          <w:rFonts w:hint="default" w:ascii="Nimbus Roman No9 L" w:hAnsi="Nimbus Roman No9 L" w:eastAsia="仿宋" w:cs="Nimbus Roman No9 L"/>
          <w:b/>
          <w:bCs/>
          <w:sz w:val="32"/>
          <w:szCs w:val="32"/>
          <w:highlight w:val="none"/>
        </w:rPr>
        <w:t>附表3-1</w:t>
      </w:r>
      <w:r>
        <w:rPr>
          <w:rFonts w:hint="default" w:ascii="Nimbus Roman No9 L" w:hAnsi="Nimbus Roman No9 L" w:eastAsia="宋体" w:cs="Nimbus Roman No9 L"/>
          <w:b/>
          <w:sz w:val="24"/>
          <w:highlight w:val="none"/>
          <w:lang w:bidi="ar"/>
        </w:rPr>
        <w:t xml:space="preserve"> </w:t>
      </w:r>
    </w:p>
    <w:tbl>
      <w:tblPr>
        <w:tblStyle w:val="12"/>
        <w:tblW w:w="0" w:type="auto"/>
        <w:jc w:val="center"/>
        <w:tblLayout w:type="fixed"/>
        <w:tblCellMar>
          <w:top w:w="0" w:type="dxa"/>
          <w:left w:w="0" w:type="dxa"/>
          <w:bottom w:w="0" w:type="dxa"/>
          <w:right w:w="0" w:type="dxa"/>
        </w:tblCellMar>
      </w:tblPr>
      <w:tblGrid>
        <w:gridCol w:w="1398"/>
        <w:gridCol w:w="933"/>
        <w:gridCol w:w="1290"/>
        <w:gridCol w:w="1145"/>
        <w:gridCol w:w="1050"/>
        <w:gridCol w:w="117"/>
        <w:gridCol w:w="1138"/>
        <w:gridCol w:w="1014"/>
        <w:gridCol w:w="1016"/>
      </w:tblGrid>
      <w:tr w14:paraId="1B5BD1F9">
        <w:tblPrEx>
          <w:tblCellMar>
            <w:top w:w="0" w:type="dxa"/>
            <w:left w:w="0" w:type="dxa"/>
            <w:bottom w:w="0" w:type="dxa"/>
            <w:right w:w="0" w:type="dxa"/>
          </w:tblCellMar>
        </w:tblPrEx>
        <w:trPr>
          <w:trHeight w:val="593" w:hRule="atLeast"/>
          <w:jc w:val="center"/>
        </w:trPr>
        <w:tc>
          <w:tcPr>
            <w:tcW w:w="9101" w:type="dxa"/>
            <w:gridSpan w:val="9"/>
            <w:tcBorders>
              <w:top w:val="nil"/>
              <w:left w:val="nil"/>
              <w:bottom w:val="nil"/>
              <w:right w:val="nil"/>
            </w:tcBorders>
            <w:noWrap w:val="0"/>
            <w:tcMar>
              <w:top w:w="15" w:type="dxa"/>
              <w:left w:w="15" w:type="dxa"/>
              <w:right w:w="15" w:type="dxa"/>
            </w:tcMar>
            <w:vAlign w:val="center"/>
          </w:tcPr>
          <w:p w14:paraId="57AF3432">
            <w:pPr>
              <w:widowControl/>
              <w:spacing w:line="440" w:lineRule="exact"/>
              <w:jc w:val="center"/>
              <w:textAlignment w:val="center"/>
              <w:rPr>
                <w:rFonts w:hint="default" w:ascii="Nimbus Roman No9 L" w:hAnsi="Nimbus Roman No9 L" w:eastAsia="宋体" w:cs="Nimbus Roman No9 L"/>
                <w:b/>
                <w:color w:val="000000"/>
                <w:sz w:val="40"/>
                <w:szCs w:val="40"/>
                <w:highlight w:val="none"/>
              </w:rPr>
            </w:pPr>
            <w:r>
              <w:rPr>
                <w:rFonts w:hint="default" w:ascii="Nimbus Roman No9 L" w:hAnsi="Nimbus Roman No9 L" w:eastAsia="宋体" w:cs="Nimbus Roman No9 L"/>
                <w:b/>
                <w:color w:val="000000"/>
                <w:kern w:val="0"/>
                <w:sz w:val="36"/>
                <w:szCs w:val="36"/>
                <w:highlight w:val="none"/>
                <w:lang w:eastAsia="zh-CN" w:bidi="ar"/>
              </w:rPr>
              <w:t>定性评审</w:t>
            </w:r>
            <w:r>
              <w:rPr>
                <w:rFonts w:hint="default" w:ascii="Nimbus Roman No9 L" w:hAnsi="Nimbus Roman No9 L" w:eastAsia="宋体" w:cs="Nimbus Roman No9 L"/>
                <w:b/>
                <w:color w:val="000000"/>
                <w:kern w:val="0"/>
                <w:sz w:val="36"/>
                <w:szCs w:val="36"/>
                <w:highlight w:val="none"/>
                <w:lang w:bidi="ar"/>
              </w:rPr>
              <w:t>法</w:t>
            </w:r>
            <w:r>
              <w:rPr>
                <w:rFonts w:hint="default" w:ascii="Nimbus Roman No9 L" w:hAnsi="Nimbus Roman No9 L" w:eastAsia="微软雅黑" w:cs="Nimbus Roman No9 L"/>
                <w:b/>
                <w:color w:val="000000"/>
                <w:kern w:val="0"/>
                <w:sz w:val="36"/>
                <w:szCs w:val="36"/>
                <w:highlight w:val="none"/>
                <w:lang w:eastAsia="zh-CN" w:bidi="ar"/>
              </w:rPr>
              <w:t>—</w:t>
            </w:r>
            <w:r>
              <w:rPr>
                <w:rFonts w:hint="default" w:ascii="Nimbus Roman No9 L" w:hAnsi="Nimbus Roman No9 L" w:eastAsia="宋体" w:cs="Nimbus Roman No9 L"/>
                <w:b/>
                <w:color w:val="000000"/>
                <w:kern w:val="0"/>
                <w:sz w:val="36"/>
                <w:szCs w:val="36"/>
                <w:highlight w:val="none"/>
                <w:lang w:val="en-US" w:eastAsia="zh-CN" w:bidi="ar"/>
              </w:rPr>
              <w:t>合理</w:t>
            </w:r>
            <w:r>
              <w:rPr>
                <w:rFonts w:hint="default" w:ascii="Nimbus Roman No9 L" w:hAnsi="Nimbus Roman No9 L" w:eastAsia="宋体" w:cs="Nimbus Roman No9 L"/>
                <w:b/>
                <w:color w:val="000000"/>
                <w:kern w:val="0"/>
                <w:sz w:val="36"/>
                <w:szCs w:val="36"/>
                <w:highlight w:val="none"/>
                <w:lang w:bidi="ar"/>
              </w:rPr>
              <w:t>基准价计算表</w:t>
            </w:r>
          </w:p>
        </w:tc>
      </w:tr>
      <w:tr w14:paraId="5DCF5CB9">
        <w:tblPrEx>
          <w:tblCellMar>
            <w:top w:w="0" w:type="dxa"/>
            <w:left w:w="0" w:type="dxa"/>
            <w:bottom w:w="0" w:type="dxa"/>
            <w:right w:w="0" w:type="dxa"/>
          </w:tblCellMar>
        </w:tblPrEx>
        <w:trPr>
          <w:trHeight w:val="270" w:hRule="atLeast"/>
          <w:jc w:val="center"/>
        </w:trPr>
        <w:tc>
          <w:tcPr>
            <w:tcW w:w="9101" w:type="dxa"/>
            <w:gridSpan w:val="9"/>
            <w:tcBorders>
              <w:top w:val="nil"/>
              <w:left w:val="nil"/>
              <w:bottom w:val="nil"/>
              <w:right w:val="nil"/>
            </w:tcBorders>
            <w:noWrap w:val="0"/>
            <w:tcMar>
              <w:top w:w="15" w:type="dxa"/>
              <w:left w:w="15" w:type="dxa"/>
              <w:right w:w="15" w:type="dxa"/>
            </w:tcMar>
            <w:vAlign w:val="center"/>
          </w:tcPr>
          <w:p w14:paraId="534D2619">
            <w:pPr>
              <w:spacing w:line="320" w:lineRule="exact"/>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24"/>
                <w:szCs w:val="24"/>
                <w:highlight w:val="none"/>
                <w:lang w:bidi="ar"/>
              </w:rPr>
              <w:t>项目名称：</w:t>
            </w:r>
          </w:p>
        </w:tc>
      </w:tr>
      <w:tr w14:paraId="4B4BF3E3">
        <w:tblPrEx>
          <w:tblCellMar>
            <w:top w:w="0" w:type="dxa"/>
            <w:left w:w="0" w:type="dxa"/>
            <w:bottom w:w="0" w:type="dxa"/>
            <w:right w:w="0" w:type="dxa"/>
          </w:tblCellMar>
        </w:tblPrEx>
        <w:trPr>
          <w:trHeight w:val="285" w:hRule="atLeast"/>
          <w:jc w:val="center"/>
        </w:trPr>
        <w:tc>
          <w:tcPr>
            <w:tcW w:w="910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EB16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招标控制价部分</w:t>
            </w:r>
          </w:p>
        </w:tc>
      </w:tr>
      <w:tr w14:paraId="1462C7CD">
        <w:tblPrEx>
          <w:tblCellMar>
            <w:top w:w="0" w:type="dxa"/>
            <w:left w:w="0" w:type="dxa"/>
            <w:bottom w:w="0" w:type="dxa"/>
            <w:right w:w="0" w:type="dxa"/>
          </w:tblCellMar>
        </w:tblPrEx>
        <w:trPr>
          <w:trHeight w:val="400" w:hRule="atLeast"/>
          <w:jc w:val="center"/>
        </w:trPr>
        <w:tc>
          <w:tcPr>
            <w:tcW w:w="23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3E9F6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89C66">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250FCFBE">
        <w:tblPrEx>
          <w:tblCellMar>
            <w:top w:w="0" w:type="dxa"/>
            <w:left w:w="0" w:type="dxa"/>
            <w:bottom w:w="0" w:type="dxa"/>
            <w:right w:w="0" w:type="dxa"/>
          </w:tblCellMar>
        </w:tblPrEx>
        <w:trPr>
          <w:trHeight w:val="400" w:hRule="atLeast"/>
          <w:jc w:val="center"/>
        </w:trPr>
        <w:tc>
          <w:tcPr>
            <w:tcW w:w="2331" w:type="dxa"/>
            <w:gridSpan w:val="2"/>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8CFD43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其中：</w:t>
            </w:r>
          </w:p>
        </w:tc>
        <w:tc>
          <w:tcPr>
            <w:tcW w:w="360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0ED67">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暂列金</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CC6AB">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685612E3">
        <w:tblPrEx>
          <w:tblCellMar>
            <w:top w:w="0" w:type="dxa"/>
            <w:left w:w="0" w:type="dxa"/>
            <w:bottom w:w="0" w:type="dxa"/>
            <w:right w:w="0" w:type="dxa"/>
          </w:tblCellMar>
        </w:tblPrEx>
        <w:trPr>
          <w:trHeight w:val="400" w:hRule="atLeast"/>
          <w:jc w:val="center"/>
        </w:trPr>
        <w:tc>
          <w:tcPr>
            <w:tcW w:w="2331"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785807C1">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60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91173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kern w:val="0"/>
                <w:sz w:val="24"/>
                <w:highlight w:val="none"/>
                <w:lang w:bidi="ar"/>
              </w:rPr>
              <w:t>专业工程暂估</w:t>
            </w:r>
            <w:r>
              <w:rPr>
                <w:rFonts w:hint="default" w:ascii="Nimbus Roman No9 L" w:hAnsi="Nimbus Roman No9 L" w:eastAsia="宋体" w:cs="Nimbus Roman No9 L"/>
                <w:color w:val="000000"/>
                <w:kern w:val="0"/>
                <w:sz w:val="24"/>
                <w:highlight w:val="none"/>
                <w:lang w:val="en-US" w:eastAsia="zh-CN" w:bidi="ar"/>
              </w:rPr>
              <w:t>价</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A8C7F">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5B8AE516">
        <w:tblPrEx>
          <w:tblCellMar>
            <w:top w:w="0" w:type="dxa"/>
            <w:left w:w="0" w:type="dxa"/>
            <w:bottom w:w="0" w:type="dxa"/>
            <w:right w:w="0" w:type="dxa"/>
          </w:tblCellMar>
        </w:tblPrEx>
        <w:trPr>
          <w:trHeight w:val="400" w:hRule="atLeast"/>
          <w:jc w:val="center"/>
        </w:trPr>
        <w:tc>
          <w:tcPr>
            <w:tcW w:w="2331"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133E4335">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60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C0B5A">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cs="Nimbus Roman No9 L"/>
                <w:color w:val="000000"/>
                <w:kern w:val="0"/>
                <w:sz w:val="24"/>
                <w:highlight w:val="none"/>
                <w:lang w:val="en-US" w:eastAsia="zh-CN" w:bidi="ar"/>
              </w:rPr>
              <w:t>施工技术专项措施项目暂估价</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D1B1C">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1800C1D4">
        <w:tblPrEx>
          <w:tblCellMar>
            <w:top w:w="0" w:type="dxa"/>
            <w:left w:w="0" w:type="dxa"/>
            <w:bottom w:w="0" w:type="dxa"/>
            <w:right w:w="0" w:type="dxa"/>
          </w:tblCellMar>
        </w:tblPrEx>
        <w:trPr>
          <w:trHeight w:val="400" w:hRule="atLeast"/>
          <w:jc w:val="center"/>
        </w:trPr>
        <w:tc>
          <w:tcPr>
            <w:tcW w:w="2331"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17C8A504">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60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38B3A">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cs="Nimbus Roman No9 L"/>
                <w:color w:val="000000"/>
                <w:kern w:val="0"/>
                <w:sz w:val="24"/>
                <w:highlight w:val="none"/>
                <w:lang w:val="en-US" w:eastAsia="zh-CN" w:bidi="ar"/>
              </w:rPr>
              <w:t>增值税</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3880A6">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1F0EBFC4">
        <w:tblPrEx>
          <w:tblCellMar>
            <w:top w:w="0" w:type="dxa"/>
            <w:left w:w="0" w:type="dxa"/>
            <w:bottom w:w="0" w:type="dxa"/>
            <w:right w:w="0" w:type="dxa"/>
          </w:tblCellMar>
        </w:tblPrEx>
        <w:trPr>
          <w:trHeight w:val="400" w:hRule="atLeast"/>
          <w:jc w:val="center"/>
        </w:trPr>
        <w:tc>
          <w:tcPr>
            <w:tcW w:w="2331"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0094ECF8">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60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9FDCA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cs="Nimbus Roman No9 L"/>
                <w:color w:val="000000"/>
                <w:kern w:val="0"/>
                <w:sz w:val="24"/>
                <w:highlight w:val="none"/>
                <w:lang w:val="en-US" w:eastAsia="zh-CN" w:bidi="ar"/>
              </w:rPr>
              <w:t>安全生产措施费</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1EDFE">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454765B4">
        <w:tblPrEx>
          <w:tblCellMar>
            <w:top w:w="0" w:type="dxa"/>
            <w:left w:w="0" w:type="dxa"/>
            <w:bottom w:w="0" w:type="dxa"/>
            <w:right w:w="0" w:type="dxa"/>
          </w:tblCellMar>
        </w:tblPrEx>
        <w:trPr>
          <w:trHeight w:val="400" w:hRule="atLeast"/>
          <w:jc w:val="center"/>
        </w:trPr>
        <w:tc>
          <w:tcPr>
            <w:tcW w:w="2331"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6D905ADC">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60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84E4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智慧工地基础配置费用</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3DE5EF">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49829244">
        <w:tblPrEx>
          <w:tblCellMar>
            <w:top w:w="0" w:type="dxa"/>
            <w:left w:w="0" w:type="dxa"/>
            <w:bottom w:w="0" w:type="dxa"/>
            <w:right w:w="0" w:type="dxa"/>
          </w:tblCellMar>
        </w:tblPrEx>
        <w:trPr>
          <w:trHeight w:val="400" w:hRule="atLeast"/>
          <w:jc w:val="center"/>
        </w:trPr>
        <w:tc>
          <w:tcPr>
            <w:tcW w:w="2331"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61F73D3E">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60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EF5A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szCs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w:t>
            </w:r>
          </w:p>
        </w:tc>
        <w:tc>
          <w:tcPr>
            <w:tcW w:w="316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26888">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55F4AD91">
        <w:tblPrEx>
          <w:tblCellMar>
            <w:top w:w="0" w:type="dxa"/>
            <w:left w:w="0" w:type="dxa"/>
            <w:bottom w:w="0" w:type="dxa"/>
            <w:right w:w="0" w:type="dxa"/>
          </w:tblCellMar>
        </w:tblPrEx>
        <w:trPr>
          <w:trHeight w:val="460" w:hRule="atLeast"/>
          <w:jc w:val="center"/>
        </w:trPr>
        <w:tc>
          <w:tcPr>
            <w:tcW w:w="23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684C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eastAsia="zh-CN" w:bidi="ar"/>
              </w:rPr>
              <w:t>招标</w:t>
            </w:r>
            <w:r>
              <w:rPr>
                <w:rFonts w:hint="default" w:ascii="Nimbus Roman No9 L" w:hAnsi="Nimbus Roman No9 L" w:eastAsia="宋体" w:cs="Nimbus Roman No9 L"/>
                <w:color w:val="000000"/>
                <w:kern w:val="0"/>
                <w:sz w:val="24"/>
                <w:highlight w:val="none"/>
                <w:lang w:bidi="ar"/>
              </w:rPr>
              <w:t>控制价</w:t>
            </w:r>
            <w:r>
              <w:rPr>
                <w:rFonts w:hint="eastAsia" w:ascii="Nimbus Roman No9 L" w:hAnsi="Nimbus Roman No9 L" w:cs="Nimbus Roman No9 L"/>
                <w:color w:val="000000"/>
                <w:kern w:val="0"/>
                <w:sz w:val="24"/>
                <w:highlight w:val="none"/>
                <w:lang w:eastAsia="zh-CN" w:bidi="ar"/>
              </w:rPr>
              <w:t>（</w:t>
            </w:r>
            <w:r>
              <w:rPr>
                <w:rFonts w:hint="eastAsia" w:ascii="Nimbus Roman No9 L" w:hAnsi="Nimbus Roman No9 L" w:cs="Nimbus Roman No9 L"/>
                <w:color w:val="000000"/>
                <w:kern w:val="0"/>
                <w:sz w:val="24"/>
                <w:highlight w:val="none"/>
                <w:lang w:val="en-US" w:eastAsia="zh-CN" w:bidi="ar"/>
              </w:rPr>
              <w:t>不含P值</w:t>
            </w:r>
            <w:r>
              <w:rPr>
                <w:rFonts w:hint="eastAsia" w:ascii="Nimbus Roman No9 L" w:hAnsi="Nimbus Roman No9 L" w:cs="Nimbus Roman No9 L"/>
                <w:color w:val="000000"/>
                <w:kern w:val="0"/>
                <w:sz w:val="24"/>
                <w:highlight w:val="none"/>
                <w:lang w:eastAsia="zh-CN" w:bidi="ar"/>
              </w:rPr>
              <w:t>）</w:t>
            </w:r>
            <w:r>
              <w:rPr>
                <w:rFonts w:hint="default" w:ascii="Nimbus Roman No9 L" w:hAnsi="Nimbus Roman No9 L" w:eastAsia="宋体" w:cs="Nimbus Roman No9 L"/>
                <w:color w:val="000000"/>
                <w:kern w:val="0"/>
                <w:sz w:val="24"/>
                <w:highlight w:val="none"/>
                <w:lang w:bidi="ar"/>
              </w:rPr>
              <w:t>的下浮率K</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5FA421">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014DA79B">
        <w:tblPrEx>
          <w:tblCellMar>
            <w:top w:w="0" w:type="dxa"/>
            <w:left w:w="0" w:type="dxa"/>
            <w:bottom w:w="0" w:type="dxa"/>
            <w:right w:w="0" w:type="dxa"/>
          </w:tblCellMar>
        </w:tblPrEx>
        <w:trPr>
          <w:trHeight w:val="397" w:hRule="atLeast"/>
          <w:jc w:val="center"/>
        </w:trPr>
        <w:tc>
          <w:tcPr>
            <w:tcW w:w="23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46AC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ED2E0">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745DE0F1">
        <w:tblPrEx>
          <w:tblCellMar>
            <w:top w:w="0" w:type="dxa"/>
            <w:left w:w="0" w:type="dxa"/>
            <w:bottom w:w="0" w:type="dxa"/>
            <w:right w:w="0" w:type="dxa"/>
          </w:tblCellMar>
        </w:tblPrEx>
        <w:trPr>
          <w:trHeight w:val="400" w:hRule="atLeast"/>
          <w:jc w:val="center"/>
        </w:trPr>
        <w:tc>
          <w:tcPr>
            <w:tcW w:w="910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E4E85">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投标报价部分</w:t>
            </w:r>
          </w:p>
        </w:tc>
      </w:tr>
      <w:tr w14:paraId="0BC91731">
        <w:tblPrEx>
          <w:tblCellMar>
            <w:top w:w="0" w:type="dxa"/>
            <w:left w:w="0" w:type="dxa"/>
            <w:bottom w:w="0" w:type="dxa"/>
            <w:right w:w="0" w:type="dxa"/>
          </w:tblCellMar>
        </w:tblPrEx>
        <w:trPr>
          <w:trHeight w:val="400" w:hRule="atLeast"/>
          <w:jc w:val="center"/>
        </w:trPr>
        <w:tc>
          <w:tcPr>
            <w:tcW w:w="23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4FA55">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有效投标人家数</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7FCD1">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5F8E5831">
        <w:tblPrEx>
          <w:tblCellMar>
            <w:top w:w="0" w:type="dxa"/>
            <w:left w:w="0" w:type="dxa"/>
            <w:bottom w:w="0" w:type="dxa"/>
            <w:right w:w="0" w:type="dxa"/>
          </w:tblCellMar>
        </w:tblPrEx>
        <w:trPr>
          <w:trHeight w:val="400" w:hRule="atLeast"/>
          <w:jc w:val="center"/>
        </w:trPr>
        <w:tc>
          <w:tcPr>
            <w:tcW w:w="23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3B61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是否大于5家</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B09E1">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是</w:t>
            </w:r>
            <w:r>
              <w:rPr>
                <w:rFonts w:hint="default" w:ascii="Nimbus Roman No9 L" w:hAnsi="Nimbus Roman No9 L" w:eastAsia="宋体" w:cs="Nimbus Roman No9 L"/>
                <w:color w:val="000000"/>
                <w:sz w:val="24"/>
                <w:highlight w:val="none"/>
                <w:lang w:eastAsia="zh-CN"/>
              </w:rPr>
              <w:sym w:font="Wingdings" w:char="00A8"/>
            </w:r>
            <w:r>
              <w:rPr>
                <w:rFonts w:hint="default" w:ascii="Nimbus Roman No9 L" w:hAnsi="Nimbus Roman No9 L" w:eastAsia="宋体" w:cs="Nimbus Roman No9 L"/>
                <w:color w:val="000000"/>
                <w:sz w:val="24"/>
                <w:highlight w:val="none"/>
                <w:lang w:val="en-US" w:eastAsia="zh-CN"/>
              </w:rPr>
              <w:t xml:space="preserve">             </w:t>
            </w:r>
            <w:r>
              <w:rPr>
                <w:rFonts w:hint="default" w:ascii="Nimbus Roman No9 L" w:hAnsi="Nimbus Roman No9 L" w:eastAsia="宋体" w:cs="Nimbus Roman No9 L"/>
                <w:color w:val="000000"/>
                <w:sz w:val="24"/>
                <w:highlight w:val="none"/>
                <w:lang w:eastAsia="zh-CN"/>
              </w:rPr>
              <w:t>否</w:t>
            </w:r>
            <w:r>
              <w:rPr>
                <w:rFonts w:hint="default" w:ascii="Nimbus Roman No9 L" w:hAnsi="Nimbus Roman No9 L" w:eastAsia="宋体" w:cs="Nimbus Roman No9 L"/>
                <w:color w:val="000000"/>
                <w:sz w:val="24"/>
                <w:highlight w:val="none"/>
                <w:lang w:eastAsia="zh-CN"/>
              </w:rPr>
              <w:sym w:font="Wingdings" w:char="00A8"/>
            </w:r>
          </w:p>
        </w:tc>
      </w:tr>
      <w:tr w14:paraId="201F7219">
        <w:tblPrEx>
          <w:tblCellMar>
            <w:top w:w="0" w:type="dxa"/>
            <w:left w:w="0" w:type="dxa"/>
            <w:bottom w:w="0" w:type="dxa"/>
            <w:right w:w="0" w:type="dxa"/>
          </w:tblCellMar>
        </w:tblPrEx>
        <w:trPr>
          <w:trHeight w:val="418" w:hRule="atLeast"/>
          <w:jc w:val="center"/>
        </w:trPr>
        <w:tc>
          <w:tcPr>
            <w:tcW w:w="1398"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14:paraId="26EFBFD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bidi="ar"/>
              </w:rPr>
              <w:t>投标报价</w:t>
            </w:r>
          </w:p>
          <w:p w14:paraId="7F435C8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部分</w:t>
            </w:r>
          </w:p>
        </w:tc>
        <w:tc>
          <w:tcPr>
            <w:tcW w:w="9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C396E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少于5家</w:t>
            </w:r>
          </w:p>
          <w:p w14:paraId="577D632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val="en-US" w:eastAsia="zh-CN" w:bidi="ar"/>
              </w:rPr>
              <w:t>（不含）</w:t>
            </w:r>
          </w:p>
        </w:tc>
        <w:tc>
          <w:tcPr>
            <w:tcW w:w="6770" w:type="dxa"/>
            <w:gridSpan w:val="7"/>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70BF31C">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15E65AE6">
        <w:tblPrEx>
          <w:tblCellMar>
            <w:top w:w="0" w:type="dxa"/>
            <w:left w:w="0" w:type="dxa"/>
            <w:bottom w:w="0" w:type="dxa"/>
            <w:right w:w="0" w:type="dxa"/>
          </w:tblCellMar>
        </w:tblPrEx>
        <w:trPr>
          <w:trHeight w:val="400" w:hRule="atLeast"/>
          <w:jc w:val="center"/>
        </w:trPr>
        <w:tc>
          <w:tcPr>
            <w:tcW w:w="1398"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14:paraId="1C5859BA">
            <w:pPr>
              <w:keepNext w:val="0"/>
              <w:keepLines w:val="0"/>
              <w:pageBreakBefore w:val="0"/>
              <w:widowControl/>
              <w:kinsoku/>
              <w:wordWrap/>
              <w:overflowPunct/>
              <w:topLinePunct w:val="0"/>
              <w:autoSpaceDE/>
              <w:autoSpaceDN/>
              <w:bidi w:val="0"/>
              <w:adjustRightInd/>
              <w:snapToGrid/>
              <w:spacing w:line="320" w:lineRule="exact"/>
              <w:textAlignment w:val="center"/>
              <w:rPr>
                <w:rFonts w:hint="default" w:ascii="Nimbus Roman No9 L" w:hAnsi="Nimbus Roman No9 L" w:eastAsia="宋体" w:cs="Nimbus Roman No9 L"/>
                <w:color w:val="000000"/>
                <w:sz w:val="24"/>
                <w:highlight w:val="none"/>
              </w:rPr>
            </w:pPr>
          </w:p>
        </w:tc>
        <w:tc>
          <w:tcPr>
            <w:tcW w:w="9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6831E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val="en-US" w:eastAsia="zh-CN" w:bidi="ar"/>
              </w:rPr>
              <w:t>大于5家（含）</w:t>
            </w:r>
          </w:p>
        </w:tc>
        <w:tc>
          <w:tcPr>
            <w:tcW w:w="6770" w:type="dxa"/>
            <w:gridSpan w:val="7"/>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1CE32C9">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59F1644D">
        <w:tblPrEx>
          <w:tblCellMar>
            <w:top w:w="0" w:type="dxa"/>
            <w:left w:w="0" w:type="dxa"/>
            <w:bottom w:w="0" w:type="dxa"/>
            <w:right w:w="0" w:type="dxa"/>
          </w:tblCellMar>
        </w:tblPrEx>
        <w:trPr>
          <w:trHeight w:val="400" w:hRule="atLeast"/>
          <w:jc w:val="center"/>
        </w:trPr>
        <w:tc>
          <w:tcPr>
            <w:tcW w:w="9101"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957A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val="en-US" w:eastAsia="zh-CN" w:bidi="ar"/>
              </w:rPr>
              <w:t>合理</w:t>
            </w:r>
            <w:r>
              <w:rPr>
                <w:rFonts w:hint="default" w:ascii="Nimbus Roman No9 L" w:hAnsi="Nimbus Roman No9 L" w:eastAsia="宋体" w:cs="Nimbus Roman No9 L"/>
                <w:b/>
                <w:color w:val="000000"/>
                <w:kern w:val="0"/>
                <w:sz w:val="24"/>
                <w:highlight w:val="none"/>
                <w:lang w:bidi="ar"/>
              </w:rPr>
              <w:t>基准价计算</w:t>
            </w:r>
          </w:p>
        </w:tc>
      </w:tr>
      <w:tr w14:paraId="18147B5A">
        <w:tblPrEx>
          <w:tblCellMar>
            <w:top w:w="0" w:type="dxa"/>
            <w:left w:w="0" w:type="dxa"/>
            <w:bottom w:w="0" w:type="dxa"/>
            <w:right w:w="0" w:type="dxa"/>
          </w:tblCellMar>
        </w:tblPrEx>
        <w:trPr>
          <w:trHeight w:val="532" w:hRule="atLeast"/>
          <w:jc w:val="center"/>
        </w:trPr>
        <w:tc>
          <w:tcPr>
            <w:tcW w:w="233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853EB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3B04B1">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0ABB3E23">
        <w:tblPrEx>
          <w:tblCellMar>
            <w:top w:w="0" w:type="dxa"/>
            <w:left w:w="0" w:type="dxa"/>
            <w:bottom w:w="0" w:type="dxa"/>
            <w:right w:w="0" w:type="dxa"/>
          </w:tblCellMar>
        </w:tblPrEx>
        <w:trPr>
          <w:trHeight w:val="555" w:hRule="atLeast"/>
          <w:jc w:val="center"/>
        </w:trPr>
        <w:tc>
          <w:tcPr>
            <w:tcW w:w="2331"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D20D5E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投标报价部分</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7E1DB">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60197D61">
        <w:tblPrEx>
          <w:tblCellMar>
            <w:top w:w="0" w:type="dxa"/>
            <w:left w:w="0" w:type="dxa"/>
            <w:bottom w:w="0" w:type="dxa"/>
            <w:right w:w="0" w:type="dxa"/>
          </w:tblCellMar>
        </w:tblPrEx>
        <w:trPr>
          <w:trHeight w:val="400" w:hRule="atLeast"/>
          <w:jc w:val="center"/>
        </w:trPr>
        <w:tc>
          <w:tcPr>
            <w:tcW w:w="2331" w:type="dxa"/>
            <w:gridSpan w:val="2"/>
            <w:tcBorders>
              <w:top w:val="nil"/>
              <w:left w:val="single" w:color="auto" w:sz="4" w:space="0"/>
              <w:bottom w:val="nil"/>
              <w:right w:val="nil"/>
            </w:tcBorders>
            <w:noWrap w:val="0"/>
            <w:tcMar>
              <w:top w:w="15" w:type="dxa"/>
              <w:left w:w="15" w:type="dxa"/>
              <w:right w:w="15" w:type="dxa"/>
            </w:tcMar>
            <w:vAlign w:val="center"/>
          </w:tcPr>
          <w:p w14:paraId="1E91D72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eastAsia="zh-CN" w:bidi="ar"/>
              </w:rPr>
            </w:pPr>
            <w:r>
              <w:rPr>
                <w:rFonts w:hint="default" w:ascii="Nimbus Roman No9 L" w:hAnsi="Nimbus Roman No9 L" w:eastAsia="宋体" w:cs="Nimbus Roman No9 L"/>
                <w:color w:val="000000"/>
                <w:kern w:val="0"/>
                <w:sz w:val="24"/>
                <w:highlight w:val="none"/>
                <w:lang w:bidi="ar"/>
              </w:rPr>
              <w:t>评标基准价中</w:t>
            </w:r>
            <w:r>
              <w:rPr>
                <w:rFonts w:hint="default" w:ascii="Nimbus Roman No9 L" w:hAnsi="Nimbus Roman No9 L" w:eastAsia="宋体" w:cs="Nimbus Roman No9 L"/>
                <w:color w:val="000000"/>
                <w:kern w:val="0"/>
                <w:sz w:val="24"/>
                <w:highlight w:val="none"/>
                <w:lang w:eastAsia="zh-CN" w:bidi="ar"/>
              </w:rPr>
              <w:t>招标</w:t>
            </w:r>
          </w:p>
          <w:p w14:paraId="51906AD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控制价权重K1</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7B653">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59270405">
        <w:tblPrEx>
          <w:tblCellMar>
            <w:top w:w="0" w:type="dxa"/>
            <w:left w:w="0" w:type="dxa"/>
            <w:bottom w:w="0" w:type="dxa"/>
            <w:right w:w="0" w:type="dxa"/>
          </w:tblCellMar>
        </w:tblPrEx>
        <w:trPr>
          <w:trHeight w:val="400" w:hRule="atLeast"/>
          <w:jc w:val="center"/>
        </w:trPr>
        <w:tc>
          <w:tcPr>
            <w:tcW w:w="2331"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57F27F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工程类型</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1C243">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房屋建筑</w:t>
            </w:r>
          </w:p>
        </w:tc>
        <w:tc>
          <w:tcPr>
            <w:tcW w:w="11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F549D">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市政公用</w:t>
            </w: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F9619">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轨道交通</w:t>
            </w:r>
          </w:p>
        </w:tc>
        <w:tc>
          <w:tcPr>
            <w:tcW w:w="12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FF72F">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装饰装修</w:t>
            </w: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AE122">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园林、仿古</w:t>
            </w:r>
          </w:p>
        </w:tc>
        <w:tc>
          <w:tcPr>
            <w:tcW w:w="10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EFA94F">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sz w:val="24"/>
                <w:highlight w:val="none"/>
                <w:lang w:eastAsia="zh-CN"/>
              </w:rPr>
              <w:t>安装</w:t>
            </w:r>
          </w:p>
        </w:tc>
      </w:tr>
      <w:tr w14:paraId="69F0C3E5">
        <w:tblPrEx>
          <w:tblCellMar>
            <w:top w:w="0" w:type="dxa"/>
            <w:left w:w="0" w:type="dxa"/>
            <w:bottom w:w="0" w:type="dxa"/>
            <w:right w:w="0" w:type="dxa"/>
          </w:tblCellMar>
        </w:tblPrEx>
        <w:trPr>
          <w:trHeight w:val="400" w:hRule="atLeast"/>
          <w:jc w:val="center"/>
        </w:trPr>
        <w:tc>
          <w:tcPr>
            <w:tcW w:w="2331"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51714F4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K2</w:t>
            </w:r>
          </w:p>
        </w:tc>
        <w:tc>
          <w:tcPr>
            <w:tcW w:w="12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2F4E6">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0.9</w:t>
            </w:r>
          </w:p>
        </w:tc>
        <w:tc>
          <w:tcPr>
            <w:tcW w:w="11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5DA5B">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0.85</w:t>
            </w:r>
          </w:p>
        </w:tc>
        <w:tc>
          <w:tcPr>
            <w:tcW w:w="10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E42EE">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0.88</w:t>
            </w:r>
          </w:p>
        </w:tc>
        <w:tc>
          <w:tcPr>
            <w:tcW w:w="12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3B753">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0.92</w:t>
            </w:r>
          </w:p>
        </w:tc>
        <w:tc>
          <w:tcPr>
            <w:tcW w:w="101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294F0">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0.88</w:t>
            </w:r>
          </w:p>
        </w:tc>
        <w:tc>
          <w:tcPr>
            <w:tcW w:w="10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532C4">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sz w:val="24"/>
                <w:highlight w:val="none"/>
                <w:lang w:val="en-US" w:eastAsia="zh-CN"/>
              </w:rPr>
              <w:t>0.9</w:t>
            </w:r>
          </w:p>
        </w:tc>
      </w:tr>
      <w:tr w14:paraId="66419827">
        <w:tblPrEx>
          <w:tblCellMar>
            <w:top w:w="0" w:type="dxa"/>
            <w:left w:w="0" w:type="dxa"/>
            <w:bottom w:w="0" w:type="dxa"/>
            <w:right w:w="0" w:type="dxa"/>
          </w:tblCellMar>
        </w:tblPrEx>
        <w:trPr>
          <w:trHeight w:val="400" w:hRule="atLeast"/>
          <w:jc w:val="center"/>
        </w:trPr>
        <w:tc>
          <w:tcPr>
            <w:tcW w:w="2331"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B82CFD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val="en-US" w:eastAsia="zh-CN" w:bidi="ar"/>
              </w:rPr>
              <w:t>合理</w:t>
            </w:r>
            <w:r>
              <w:rPr>
                <w:rFonts w:hint="default" w:ascii="Nimbus Roman No9 L" w:hAnsi="Nimbus Roman No9 L" w:eastAsia="宋体" w:cs="Nimbus Roman No9 L"/>
                <w:color w:val="000000"/>
                <w:kern w:val="0"/>
                <w:sz w:val="24"/>
                <w:highlight w:val="none"/>
                <w:lang w:bidi="ar"/>
              </w:rPr>
              <w:t>基准价</w:t>
            </w:r>
          </w:p>
        </w:tc>
        <w:tc>
          <w:tcPr>
            <w:tcW w:w="677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7E1EE2">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bl>
    <w:p w14:paraId="0B9EAC3A">
      <w:pPr>
        <w:spacing w:line="440" w:lineRule="exact"/>
        <w:jc w:val="left"/>
        <w:rPr>
          <w:rFonts w:hint="default" w:ascii="Nimbus Roman No9 L" w:hAnsi="Nimbus Roman No9 L" w:eastAsia="仿宋" w:cs="Nimbus Roman No9 L"/>
          <w:b/>
          <w:bCs/>
          <w:sz w:val="32"/>
          <w:szCs w:val="32"/>
          <w:highlight w:val="none"/>
        </w:rPr>
      </w:pPr>
    </w:p>
    <w:p w14:paraId="100DC079">
      <w:pPr>
        <w:pStyle w:val="5"/>
        <w:rPr>
          <w:rFonts w:hint="default"/>
        </w:rPr>
      </w:pPr>
    </w:p>
    <w:p w14:paraId="40258238">
      <w:pPr>
        <w:spacing w:line="440" w:lineRule="exact"/>
        <w:jc w:val="left"/>
        <w:rPr>
          <w:rFonts w:hint="default" w:ascii="Nimbus Roman No9 L" w:hAnsi="Nimbus Roman No9 L" w:eastAsia="宋体" w:cs="Nimbus Roman No9 L"/>
          <w:b/>
          <w:sz w:val="24"/>
          <w:highlight w:val="none"/>
          <w:lang w:bidi="ar"/>
        </w:rPr>
      </w:pPr>
      <w:r>
        <w:rPr>
          <w:rFonts w:hint="default" w:ascii="Nimbus Roman No9 L" w:hAnsi="Nimbus Roman No9 L" w:eastAsia="仿宋" w:cs="Nimbus Roman No9 L"/>
          <w:b/>
          <w:bCs/>
          <w:sz w:val="32"/>
          <w:szCs w:val="32"/>
          <w:highlight w:val="none"/>
        </w:rPr>
        <w:t>附表3-</w:t>
      </w:r>
      <w:r>
        <w:rPr>
          <w:rFonts w:hint="default" w:ascii="Nimbus Roman No9 L" w:hAnsi="Nimbus Roman No9 L" w:eastAsia="仿宋" w:cs="Nimbus Roman No9 L"/>
          <w:b/>
          <w:bCs/>
          <w:sz w:val="32"/>
          <w:szCs w:val="32"/>
          <w:highlight w:val="none"/>
          <w:lang w:val="en-US" w:eastAsia="zh-CN"/>
        </w:rPr>
        <w:t>2</w:t>
      </w:r>
      <w:r>
        <w:rPr>
          <w:rFonts w:hint="default" w:ascii="Nimbus Roman No9 L" w:hAnsi="Nimbus Roman No9 L" w:eastAsia="宋体" w:cs="Nimbus Roman No9 L"/>
          <w:b/>
          <w:sz w:val="24"/>
          <w:highlight w:val="none"/>
          <w:lang w:bidi="ar"/>
        </w:rPr>
        <w:t xml:space="preserve"> </w:t>
      </w:r>
    </w:p>
    <w:p w14:paraId="519461F7">
      <w:pPr>
        <w:pStyle w:val="17"/>
        <w:ind w:left="0" w:leftChars="0" w:firstLine="0" w:firstLineChars="0"/>
        <w:jc w:val="center"/>
        <w:rPr>
          <w:rFonts w:hint="default" w:ascii="Nimbus Roman No9 L" w:hAnsi="Nimbus Roman No9 L" w:cs="Nimbus Roman No9 L"/>
          <w:highlight w:val="none"/>
        </w:rPr>
      </w:pPr>
      <w:r>
        <w:rPr>
          <w:rFonts w:hint="default" w:ascii="Nimbus Roman No9 L" w:hAnsi="Nimbus Roman No9 L" w:eastAsia="宋体" w:cs="Nimbus Roman No9 L"/>
          <w:b/>
          <w:color w:val="000000"/>
          <w:kern w:val="0"/>
          <w:sz w:val="40"/>
          <w:szCs w:val="40"/>
          <w:highlight w:val="none"/>
          <w:lang w:bidi="ar"/>
        </w:rPr>
        <w:t>定性评审法</w:t>
      </w:r>
      <w:r>
        <w:rPr>
          <w:rFonts w:hint="default" w:ascii="Nimbus Roman No9 L" w:hAnsi="Nimbus Roman No9 L" w:eastAsia="微软雅黑" w:cs="Nimbus Roman No9 L"/>
          <w:b/>
          <w:color w:val="000000"/>
          <w:kern w:val="0"/>
          <w:sz w:val="36"/>
          <w:szCs w:val="36"/>
          <w:highlight w:val="none"/>
          <w:lang w:eastAsia="zh-CN" w:bidi="ar"/>
        </w:rPr>
        <w:t>—</w:t>
      </w:r>
      <w:r>
        <w:rPr>
          <w:rFonts w:hint="default" w:ascii="Nimbus Roman No9 L" w:hAnsi="Nimbus Roman No9 L" w:eastAsia="宋体" w:cs="Nimbus Roman No9 L"/>
          <w:b/>
          <w:color w:val="000000"/>
          <w:kern w:val="0"/>
          <w:sz w:val="40"/>
          <w:szCs w:val="40"/>
          <w:highlight w:val="none"/>
          <w:lang w:bidi="ar"/>
        </w:rPr>
        <w:t>价格切线计算表</w:t>
      </w:r>
    </w:p>
    <w:tbl>
      <w:tblPr>
        <w:tblStyle w:val="12"/>
        <w:tblW w:w="0" w:type="auto"/>
        <w:jc w:val="center"/>
        <w:tblLayout w:type="fixed"/>
        <w:tblCellMar>
          <w:top w:w="0" w:type="dxa"/>
          <w:left w:w="0" w:type="dxa"/>
          <w:bottom w:w="0" w:type="dxa"/>
          <w:right w:w="0" w:type="dxa"/>
        </w:tblCellMar>
      </w:tblPr>
      <w:tblGrid>
        <w:gridCol w:w="1373"/>
        <w:gridCol w:w="1374"/>
        <w:gridCol w:w="3403"/>
        <w:gridCol w:w="3168"/>
      </w:tblGrid>
      <w:tr w14:paraId="0EF09BD3">
        <w:tblPrEx>
          <w:tblCellMar>
            <w:top w:w="0" w:type="dxa"/>
            <w:left w:w="0" w:type="dxa"/>
            <w:bottom w:w="0" w:type="dxa"/>
            <w:right w:w="0" w:type="dxa"/>
          </w:tblCellMar>
        </w:tblPrEx>
        <w:trPr>
          <w:trHeight w:val="467" w:hRule="atLeast"/>
          <w:jc w:val="center"/>
        </w:trPr>
        <w:tc>
          <w:tcPr>
            <w:tcW w:w="931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387D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招标控制价部分</w:t>
            </w:r>
          </w:p>
        </w:tc>
      </w:tr>
      <w:tr w14:paraId="6B47143E">
        <w:tblPrEx>
          <w:tblCellMar>
            <w:top w:w="0" w:type="dxa"/>
            <w:left w:w="0" w:type="dxa"/>
            <w:bottom w:w="0" w:type="dxa"/>
            <w:right w:w="0" w:type="dxa"/>
          </w:tblCellMar>
        </w:tblPrEx>
        <w:trPr>
          <w:trHeight w:val="400" w:hRule="atLeast"/>
          <w:jc w:val="center"/>
        </w:trPr>
        <w:tc>
          <w:tcPr>
            <w:tcW w:w="27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D6D1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313E0">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7810DFA9">
        <w:tblPrEx>
          <w:tblCellMar>
            <w:top w:w="0" w:type="dxa"/>
            <w:left w:w="0" w:type="dxa"/>
            <w:bottom w:w="0" w:type="dxa"/>
            <w:right w:w="0" w:type="dxa"/>
          </w:tblCellMar>
        </w:tblPrEx>
        <w:trPr>
          <w:trHeight w:val="400" w:hRule="atLeast"/>
          <w:jc w:val="center"/>
        </w:trPr>
        <w:tc>
          <w:tcPr>
            <w:tcW w:w="2747" w:type="dxa"/>
            <w:gridSpan w:val="2"/>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5010BB2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其中：</w:t>
            </w:r>
          </w:p>
        </w:tc>
        <w:tc>
          <w:tcPr>
            <w:tcW w:w="3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F9E9C">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暂列金</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159B7">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2C7F5872">
        <w:tblPrEx>
          <w:tblCellMar>
            <w:top w:w="0" w:type="dxa"/>
            <w:left w:w="0" w:type="dxa"/>
            <w:bottom w:w="0" w:type="dxa"/>
            <w:right w:w="0" w:type="dxa"/>
          </w:tblCellMar>
        </w:tblPrEx>
        <w:trPr>
          <w:trHeight w:val="400" w:hRule="atLeast"/>
          <w:jc w:val="center"/>
        </w:trPr>
        <w:tc>
          <w:tcPr>
            <w:tcW w:w="2747"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1C003840">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F4D6A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sz w:val="24"/>
                <w:highlight w:val="none"/>
                <w:lang w:val="en-US" w:eastAsia="zh-CN"/>
              </w:rPr>
            </w:pPr>
            <w:r>
              <w:rPr>
                <w:rFonts w:hint="default" w:ascii="Nimbus Roman No9 L" w:hAnsi="Nimbus Roman No9 L" w:eastAsia="宋体" w:cs="Nimbus Roman No9 L"/>
                <w:color w:val="000000"/>
                <w:kern w:val="0"/>
                <w:sz w:val="24"/>
                <w:highlight w:val="none"/>
                <w:lang w:bidi="ar"/>
              </w:rPr>
              <w:t>专业工程暂估</w:t>
            </w:r>
            <w:r>
              <w:rPr>
                <w:rFonts w:hint="default" w:ascii="Nimbus Roman No9 L" w:hAnsi="Nimbus Roman No9 L" w:eastAsia="宋体" w:cs="Nimbus Roman No9 L"/>
                <w:color w:val="000000"/>
                <w:kern w:val="0"/>
                <w:sz w:val="24"/>
                <w:highlight w:val="none"/>
                <w:lang w:val="en-US" w:eastAsia="zh-CN" w:bidi="ar"/>
              </w:rPr>
              <w:t>价</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04AD9">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695B41E7">
        <w:tblPrEx>
          <w:tblCellMar>
            <w:top w:w="0" w:type="dxa"/>
            <w:left w:w="0" w:type="dxa"/>
            <w:bottom w:w="0" w:type="dxa"/>
            <w:right w:w="0" w:type="dxa"/>
          </w:tblCellMar>
        </w:tblPrEx>
        <w:trPr>
          <w:trHeight w:val="400" w:hRule="atLeast"/>
          <w:jc w:val="center"/>
        </w:trPr>
        <w:tc>
          <w:tcPr>
            <w:tcW w:w="2747"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39C15A3E">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791E3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val="en-US" w:bidi="ar"/>
              </w:rPr>
            </w:pPr>
            <w:r>
              <w:rPr>
                <w:rFonts w:hint="eastAsia" w:ascii="Nimbus Roman No9 L" w:hAnsi="Nimbus Roman No9 L" w:cs="Nimbus Roman No9 L"/>
                <w:color w:val="000000"/>
                <w:kern w:val="0"/>
                <w:sz w:val="24"/>
                <w:highlight w:val="none"/>
                <w:lang w:val="en-US" w:eastAsia="zh-CN" w:bidi="ar"/>
              </w:rPr>
              <w:t>施工技术专项措施项目暂估价</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D8470">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61FB683A">
        <w:tblPrEx>
          <w:tblCellMar>
            <w:top w:w="0" w:type="dxa"/>
            <w:left w:w="0" w:type="dxa"/>
            <w:bottom w:w="0" w:type="dxa"/>
            <w:right w:w="0" w:type="dxa"/>
          </w:tblCellMar>
        </w:tblPrEx>
        <w:trPr>
          <w:trHeight w:val="400" w:hRule="atLeast"/>
          <w:jc w:val="center"/>
        </w:trPr>
        <w:tc>
          <w:tcPr>
            <w:tcW w:w="2747"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603F16BE">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F4CAA">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bidi="ar"/>
              </w:rPr>
            </w:pPr>
            <w:r>
              <w:rPr>
                <w:rFonts w:hint="eastAsia" w:ascii="Nimbus Roman No9 L" w:hAnsi="Nimbus Roman No9 L" w:cs="Nimbus Roman No9 L"/>
                <w:color w:val="000000"/>
                <w:kern w:val="0"/>
                <w:sz w:val="24"/>
                <w:highlight w:val="none"/>
                <w:lang w:val="en-US" w:eastAsia="zh-CN" w:bidi="ar"/>
              </w:rPr>
              <w:t>增值税</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2A9D1">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0336DFA4">
        <w:tblPrEx>
          <w:tblCellMar>
            <w:top w:w="0" w:type="dxa"/>
            <w:left w:w="0" w:type="dxa"/>
            <w:bottom w:w="0" w:type="dxa"/>
            <w:right w:w="0" w:type="dxa"/>
          </w:tblCellMar>
        </w:tblPrEx>
        <w:trPr>
          <w:trHeight w:val="400" w:hRule="atLeast"/>
          <w:jc w:val="center"/>
        </w:trPr>
        <w:tc>
          <w:tcPr>
            <w:tcW w:w="2747"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4D7B2A33">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A0937">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val="en-US" w:bidi="ar"/>
              </w:rPr>
            </w:pPr>
            <w:r>
              <w:rPr>
                <w:rFonts w:hint="eastAsia" w:ascii="Nimbus Roman No9 L" w:hAnsi="Nimbus Roman No9 L" w:cs="Nimbus Roman No9 L"/>
                <w:color w:val="000000"/>
                <w:kern w:val="0"/>
                <w:sz w:val="24"/>
                <w:highlight w:val="none"/>
                <w:lang w:val="en-US" w:eastAsia="zh-CN" w:bidi="ar"/>
              </w:rPr>
              <w:t>安全生产措施费</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144D9">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1AF0D34E">
        <w:tblPrEx>
          <w:tblCellMar>
            <w:top w:w="0" w:type="dxa"/>
            <w:left w:w="0" w:type="dxa"/>
            <w:bottom w:w="0" w:type="dxa"/>
            <w:right w:w="0" w:type="dxa"/>
          </w:tblCellMar>
        </w:tblPrEx>
        <w:trPr>
          <w:trHeight w:val="400" w:hRule="atLeast"/>
          <w:jc w:val="center"/>
        </w:trPr>
        <w:tc>
          <w:tcPr>
            <w:tcW w:w="2747" w:type="dxa"/>
            <w:gridSpan w:val="2"/>
            <w:vMerge w:val="continue"/>
            <w:tcBorders>
              <w:left w:val="single" w:color="000000" w:sz="4" w:space="0"/>
              <w:right w:val="single" w:color="000000" w:sz="4" w:space="0"/>
            </w:tcBorders>
            <w:noWrap w:val="0"/>
            <w:tcMar>
              <w:top w:w="15" w:type="dxa"/>
              <w:left w:w="15" w:type="dxa"/>
              <w:right w:w="15" w:type="dxa"/>
            </w:tcMar>
            <w:vAlign w:val="center"/>
          </w:tcPr>
          <w:p w14:paraId="327EF322">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E6B2C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val="en-US" w:eastAsia="zh-CN" w:bidi="ar"/>
              </w:rPr>
              <w:t>智慧工地基础配置费用</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E0C01">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4BE6EB85">
        <w:tblPrEx>
          <w:tblCellMar>
            <w:top w:w="0" w:type="dxa"/>
            <w:left w:w="0" w:type="dxa"/>
            <w:bottom w:w="0" w:type="dxa"/>
            <w:right w:w="0" w:type="dxa"/>
          </w:tblCellMar>
        </w:tblPrEx>
        <w:trPr>
          <w:trHeight w:val="400" w:hRule="atLeast"/>
          <w:jc w:val="center"/>
        </w:trPr>
        <w:tc>
          <w:tcPr>
            <w:tcW w:w="2747" w:type="dxa"/>
            <w:gridSpan w:val="2"/>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0E53A76">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c>
          <w:tcPr>
            <w:tcW w:w="34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DE12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w:t>
            </w:r>
          </w:p>
        </w:tc>
        <w:tc>
          <w:tcPr>
            <w:tcW w:w="316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B61C5">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r w14:paraId="5B538BD2">
        <w:tblPrEx>
          <w:tblCellMar>
            <w:top w:w="0" w:type="dxa"/>
            <w:left w:w="0" w:type="dxa"/>
            <w:bottom w:w="0" w:type="dxa"/>
            <w:right w:w="0" w:type="dxa"/>
          </w:tblCellMar>
        </w:tblPrEx>
        <w:trPr>
          <w:trHeight w:val="460" w:hRule="atLeast"/>
          <w:jc w:val="center"/>
        </w:trPr>
        <w:tc>
          <w:tcPr>
            <w:tcW w:w="27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26E8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Nimbus Roman No9 L" w:hAnsi="Nimbus Roman No9 L" w:eastAsia="宋体" w:cs="Nimbus Roman No9 L"/>
                <w:color w:val="000000"/>
                <w:kern w:val="0"/>
                <w:sz w:val="24"/>
                <w:highlight w:val="none"/>
                <w:lang w:eastAsia="zh-CN" w:bidi="ar"/>
              </w:rPr>
            </w:pPr>
            <w:r>
              <w:rPr>
                <w:rFonts w:hint="default" w:ascii="Nimbus Roman No9 L" w:hAnsi="Nimbus Roman No9 L" w:eastAsia="宋体" w:cs="Nimbus Roman No9 L"/>
                <w:color w:val="000000"/>
                <w:kern w:val="0"/>
                <w:sz w:val="24"/>
                <w:highlight w:val="none"/>
                <w:lang w:eastAsia="zh-CN" w:bidi="ar"/>
              </w:rPr>
              <w:t>招标</w:t>
            </w:r>
            <w:r>
              <w:rPr>
                <w:rFonts w:hint="default" w:ascii="Nimbus Roman No9 L" w:hAnsi="Nimbus Roman No9 L" w:eastAsia="宋体" w:cs="Nimbus Roman No9 L"/>
                <w:color w:val="000000"/>
                <w:kern w:val="0"/>
                <w:sz w:val="24"/>
                <w:highlight w:val="none"/>
                <w:lang w:bidi="ar"/>
              </w:rPr>
              <w:t>控制价</w:t>
            </w:r>
            <w:r>
              <w:rPr>
                <w:rFonts w:hint="eastAsia" w:ascii="Nimbus Roman No9 L" w:hAnsi="Nimbus Roman No9 L" w:cs="Nimbus Roman No9 L"/>
                <w:color w:val="000000"/>
                <w:kern w:val="0"/>
                <w:sz w:val="24"/>
                <w:highlight w:val="none"/>
                <w:lang w:eastAsia="zh-CN" w:bidi="ar"/>
              </w:rPr>
              <w:t>（</w:t>
            </w:r>
            <w:r>
              <w:rPr>
                <w:rFonts w:hint="eastAsia" w:ascii="Nimbus Roman No9 L" w:hAnsi="Nimbus Roman No9 L" w:cs="Nimbus Roman No9 L"/>
                <w:color w:val="000000"/>
                <w:kern w:val="0"/>
                <w:sz w:val="24"/>
                <w:highlight w:val="none"/>
                <w:lang w:val="en-US" w:eastAsia="zh-CN" w:bidi="ar"/>
              </w:rPr>
              <w:t>不含P值</w:t>
            </w:r>
            <w:r>
              <w:rPr>
                <w:rFonts w:hint="eastAsia" w:ascii="Nimbus Roman No9 L" w:hAnsi="Nimbus Roman No9 L" w:cs="Nimbus Roman No9 L"/>
                <w:color w:val="000000"/>
                <w:kern w:val="0"/>
                <w:sz w:val="24"/>
                <w:highlight w:val="none"/>
                <w:lang w:eastAsia="zh-CN" w:bidi="ar"/>
              </w:rPr>
              <w:t>）</w:t>
            </w:r>
          </w:p>
          <w:p w14:paraId="5918EAC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的下浮率K</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63592">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42719382">
        <w:tblPrEx>
          <w:tblCellMar>
            <w:top w:w="0" w:type="dxa"/>
            <w:left w:w="0" w:type="dxa"/>
            <w:bottom w:w="0" w:type="dxa"/>
            <w:right w:w="0" w:type="dxa"/>
          </w:tblCellMar>
        </w:tblPrEx>
        <w:trPr>
          <w:trHeight w:val="397" w:hRule="atLeast"/>
          <w:jc w:val="center"/>
        </w:trPr>
        <w:tc>
          <w:tcPr>
            <w:tcW w:w="27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FAAA5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0768B">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198D9064">
        <w:tblPrEx>
          <w:tblCellMar>
            <w:top w:w="0" w:type="dxa"/>
            <w:left w:w="0" w:type="dxa"/>
            <w:bottom w:w="0" w:type="dxa"/>
            <w:right w:w="0" w:type="dxa"/>
          </w:tblCellMar>
        </w:tblPrEx>
        <w:trPr>
          <w:trHeight w:val="555" w:hRule="atLeast"/>
          <w:jc w:val="center"/>
        </w:trPr>
        <w:tc>
          <w:tcPr>
            <w:tcW w:w="931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ABB0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bidi="ar"/>
              </w:rPr>
              <w:t>投标报价部分</w:t>
            </w:r>
          </w:p>
        </w:tc>
      </w:tr>
      <w:tr w14:paraId="59FAB34B">
        <w:tblPrEx>
          <w:tblCellMar>
            <w:top w:w="0" w:type="dxa"/>
            <w:left w:w="0" w:type="dxa"/>
            <w:bottom w:w="0" w:type="dxa"/>
            <w:right w:w="0" w:type="dxa"/>
          </w:tblCellMar>
        </w:tblPrEx>
        <w:trPr>
          <w:trHeight w:val="487" w:hRule="atLeast"/>
          <w:jc w:val="center"/>
        </w:trPr>
        <w:tc>
          <w:tcPr>
            <w:tcW w:w="27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AFFD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有效投标人家数</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39D20">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00A27DCD">
        <w:tblPrEx>
          <w:tblCellMar>
            <w:top w:w="0" w:type="dxa"/>
            <w:left w:w="0" w:type="dxa"/>
            <w:bottom w:w="0" w:type="dxa"/>
            <w:right w:w="0" w:type="dxa"/>
          </w:tblCellMar>
        </w:tblPrEx>
        <w:trPr>
          <w:trHeight w:val="514" w:hRule="atLeast"/>
          <w:jc w:val="center"/>
        </w:trPr>
        <w:tc>
          <w:tcPr>
            <w:tcW w:w="27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67075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是否大于5家</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2D3399">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sz w:val="24"/>
                <w:highlight w:val="none"/>
                <w:lang w:eastAsia="zh-CN"/>
              </w:rPr>
              <w:t>是</w:t>
            </w:r>
            <w:r>
              <w:rPr>
                <w:rFonts w:hint="default" w:ascii="Nimbus Roman No9 L" w:hAnsi="Nimbus Roman No9 L" w:eastAsia="宋体" w:cs="Nimbus Roman No9 L"/>
                <w:color w:val="000000"/>
                <w:sz w:val="24"/>
                <w:highlight w:val="none"/>
                <w:lang w:eastAsia="zh-CN"/>
              </w:rPr>
              <w:sym w:font="Wingdings" w:char="00A8"/>
            </w:r>
            <w:r>
              <w:rPr>
                <w:rFonts w:hint="default" w:ascii="Nimbus Roman No9 L" w:hAnsi="Nimbus Roman No9 L" w:eastAsia="宋体" w:cs="Nimbus Roman No9 L"/>
                <w:color w:val="000000"/>
                <w:sz w:val="24"/>
                <w:highlight w:val="none"/>
                <w:lang w:val="en-US" w:eastAsia="zh-CN"/>
              </w:rPr>
              <w:t xml:space="preserve">             </w:t>
            </w:r>
            <w:r>
              <w:rPr>
                <w:rFonts w:hint="default" w:ascii="Nimbus Roman No9 L" w:hAnsi="Nimbus Roman No9 L" w:eastAsia="宋体" w:cs="Nimbus Roman No9 L"/>
                <w:color w:val="000000"/>
                <w:sz w:val="24"/>
                <w:highlight w:val="none"/>
                <w:lang w:eastAsia="zh-CN"/>
              </w:rPr>
              <w:t>否</w:t>
            </w:r>
            <w:r>
              <w:rPr>
                <w:rFonts w:hint="default" w:ascii="Nimbus Roman No9 L" w:hAnsi="Nimbus Roman No9 L" w:eastAsia="宋体" w:cs="Nimbus Roman No9 L"/>
                <w:color w:val="000000"/>
                <w:sz w:val="24"/>
                <w:highlight w:val="none"/>
                <w:lang w:eastAsia="zh-CN"/>
              </w:rPr>
              <w:sym w:font="Wingdings" w:char="00A8"/>
            </w:r>
          </w:p>
        </w:tc>
      </w:tr>
      <w:tr w14:paraId="6A97EFB5">
        <w:tblPrEx>
          <w:tblCellMar>
            <w:top w:w="0" w:type="dxa"/>
            <w:left w:w="0" w:type="dxa"/>
            <w:bottom w:w="0" w:type="dxa"/>
            <w:right w:w="0" w:type="dxa"/>
          </w:tblCellMar>
        </w:tblPrEx>
        <w:trPr>
          <w:trHeight w:val="620" w:hRule="atLeast"/>
          <w:jc w:val="center"/>
        </w:trPr>
        <w:tc>
          <w:tcPr>
            <w:tcW w:w="1373"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0B9BB36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bidi="ar"/>
              </w:rPr>
            </w:pPr>
            <w:r>
              <w:rPr>
                <w:rFonts w:hint="default" w:ascii="Nimbus Roman No9 L" w:hAnsi="Nimbus Roman No9 L" w:eastAsia="宋体" w:cs="Nimbus Roman No9 L"/>
                <w:color w:val="000000"/>
                <w:kern w:val="0"/>
                <w:sz w:val="24"/>
                <w:highlight w:val="none"/>
                <w:lang w:bidi="ar"/>
              </w:rPr>
              <w:t>投标报价</w:t>
            </w:r>
          </w:p>
          <w:p w14:paraId="7AD9A23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部分</w:t>
            </w:r>
          </w:p>
        </w:tc>
        <w:tc>
          <w:tcPr>
            <w:tcW w:w="13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1287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少于5家</w:t>
            </w:r>
          </w:p>
          <w:p w14:paraId="76769AE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val="en-US" w:eastAsia="zh-CN" w:bidi="ar"/>
              </w:rPr>
              <w:t>（不含）</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D1418">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7DD27117">
        <w:tblPrEx>
          <w:tblCellMar>
            <w:top w:w="0" w:type="dxa"/>
            <w:left w:w="0" w:type="dxa"/>
            <w:bottom w:w="0" w:type="dxa"/>
            <w:right w:w="0" w:type="dxa"/>
          </w:tblCellMar>
        </w:tblPrEx>
        <w:trPr>
          <w:trHeight w:val="400" w:hRule="atLeast"/>
          <w:jc w:val="center"/>
        </w:trPr>
        <w:tc>
          <w:tcPr>
            <w:tcW w:w="1373"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8B3132E">
            <w:pPr>
              <w:keepNext w:val="0"/>
              <w:keepLines w:val="0"/>
              <w:pageBreakBefore w:val="0"/>
              <w:widowControl/>
              <w:kinsoku/>
              <w:wordWrap/>
              <w:overflowPunct/>
              <w:topLinePunct w:val="0"/>
              <w:autoSpaceDE/>
              <w:autoSpaceDN/>
              <w:bidi w:val="0"/>
              <w:adjustRightInd/>
              <w:snapToGrid/>
              <w:spacing w:line="320" w:lineRule="exact"/>
              <w:textAlignment w:val="center"/>
              <w:rPr>
                <w:rFonts w:hint="default" w:ascii="Nimbus Roman No9 L" w:hAnsi="Nimbus Roman No9 L" w:eastAsia="宋体" w:cs="Nimbus Roman No9 L"/>
                <w:color w:val="000000"/>
                <w:sz w:val="24"/>
                <w:highlight w:val="none"/>
              </w:rPr>
            </w:pPr>
          </w:p>
        </w:tc>
        <w:tc>
          <w:tcPr>
            <w:tcW w:w="13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CB89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val="en-US" w:eastAsia="zh-CN" w:bidi="ar"/>
              </w:rPr>
              <w:t>大于5家（含）</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E80C8E">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64E25DFB">
        <w:tblPrEx>
          <w:tblCellMar>
            <w:top w:w="0" w:type="dxa"/>
            <w:left w:w="0" w:type="dxa"/>
            <w:bottom w:w="0" w:type="dxa"/>
            <w:right w:w="0" w:type="dxa"/>
          </w:tblCellMar>
        </w:tblPrEx>
        <w:trPr>
          <w:trHeight w:val="528" w:hRule="atLeast"/>
          <w:jc w:val="center"/>
        </w:trPr>
        <w:tc>
          <w:tcPr>
            <w:tcW w:w="931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B293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b/>
                <w:color w:val="000000"/>
                <w:sz w:val="24"/>
                <w:highlight w:val="none"/>
              </w:rPr>
            </w:pPr>
            <w:r>
              <w:rPr>
                <w:rFonts w:hint="default" w:ascii="Nimbus Roman No9 L" w:hAnsi="Nimbus Roman No9 L" w:eastAsia="宋体" w:cs="Nimbus Roman No9 L"/>
                <w:b/>
                <w:color w:val="000000"/>
                <w:kern w:val="0"/>
                <w:sz w:val="24"/>
                <w:highlight w:val="none"/>
                <w:lang w:val="en-US" w:eastAsia="zh-CN" w:bidi="ar"/>
              </w:rPr>
              <w:t>价格切线</w:t>
            </w:r>
            <w:r>
              <w:rPr>
                <w:rFonts w:hint="default" w:ascii="Nimbus Roman No9 L" w:hAnsi="Nimbus Roman No9 L" w:eastAsia="宋体" w:cs="Nimbus Roman No9 L"/>
                <w:b/>
                <w:color w:val="000000"/>
                <w:kern w:val="0"/>
                <w:sz w:val="24"/>
                <w:highlight w:val="none"/>
                <w:lang w:bidi="ar"/>
              </w:rPr>
              <w:t>计算</w:t>
            </w:r>
          </w:p>
        </w:tc>
      </w:tr>
      <w:tr w14:paraId="28E3B1CA">
        <w:tblPrEx>
          <w:tblCellMar>
            <w:top w:w="0" w:type="dxa"/>
            <w:left w:w="0" w:type="dxa"/>
            <w:bottom w:w="0" w:type="dxa"/>
            <w:right w:w="0" w:type="dxa"/>
          </w:tblCellMar>
        </w:tblPrEx>
        <w:trPr>
          <w:trHeight w:val="547" w:hRule="atLeast"/>
          <w:jc w:val="center"/>
        </w:trPr>
        <w:tc>
          <w:tcPr>
            <w:tcW w:w="27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69F75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招标控制价部分</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EA10A">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34A245D7">
        <w:tblPrEx>
          <w:tblCellMar>
            <w:top w:w="0" w:type="dxa"/>
            <w:left w:w="0" w:type="dxa"/>
            <w:bottom w:w="0" w:type="dxa"/>
            <w:right w:w="0" w:type="dxa"/>
          </w:tblCellMar>
        </w:tblPrEx>
        <w:trPr>
          <w:trHeight w:val="532" w:hRule="atLeast"/>
          <w:jc w:val="center"/>
        </w:trPr>
        <w:tc>
          <w:tcPr>
            <w:tcW w:w="2747" w:type="dxa"/>
            <w:gridSpan w:val="2"/>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14:paraId="11466A2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投标报价部分</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F4FA3">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403D1316">
        <w:tblPrEx>
          <w:tblCellMar>
            <w:top w:w="0" w:type="dxa"/>
            <w:left w:w="0" w:type="dxa"/>
            <w:bottom w:w="0" w:type="dxa"/>
            <w:right w:w="0" w:type="dxa"/>
          </w:tblCellMar>
        </w:tblPrEx>
        <w:trPr>
          <w:trHeight w:val="400" w:hRule="atLeast"/>
          <w:jc w:val="center"/>
        </w:trPr>
        <w:tc>
          <w:tcPr>
            <w:tcW w:w="2747"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B1873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eastAsia="zh-CN" w:bidi="ar"/>
              </w:rPr>
            </w:pPr>
            <w:r>
              <w:rPr>
                <w:rFonts w:hint="default" w:ascii="Nimbus Roman No9 L" w:hAnsi="Nimbus Roman No9 L" w:eastAsia="宋体" w:cs="Nimbus Roman No9 L"/>
                <w:color w:val="000000"/>
                <w:kern w:val="0"/>
                <w:sz w:val="24"/>
                <w:highlight w:val="none"/>
                <w:lang w:bidi="ar"/>
              </w:rPr>
              <w:t>评标基准价中</w:t>
            </w:r>
            <w:r>
              <w:rPr>
                <w:rFonts w:hint="default" w:ascii="Nimbus Roman No9 L" w:hAnsi="Nimbus Roman No9 L" w:eastAsia="宋体" w:cs="Nimbus Roman No9 L"/>
                <w:color w:val="000000"/>
                <w:kern w:val="0"/>
                <w:sz w:val="24"/>
                <w:highlight w:val="none"/>
                <w:lang w:eastAsia="zh-CN" w:bidi="ar"/>
              </w:rPr>
              <w:t>招标</w:t>
            </w:r>
          </w:p>
          <w:p w14:paraId="20D00E0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控制价权重K1</w:t>
            </w:r>
          </w:p>
        </w:tc>
        <w:tc>
          <w:tcPr>
            <w:tcW w:w="6571"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1B4A168C">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3FFCF487">
        <w:tblPrEx>
          <w:tblCellMar>
            <w:top w:w="0" w:type="dxa"/>
            <w:left w:w="0" w:type="dxa"/>
            <w:bottom w:w="0" w:type="dxa"/>
            <w:right w:w="0" w:type="dxa"/>
          </w:tblCellMar>
        </w:tblPrEx>
        <w:trPr>
          <w:trHeight w:val="573" w:hRule="atLeast"/>
          <w:jc w:val="center"/>
        </w:trPr>
        <w:tc>
          <w:tcPr>
            <w:tcW w:w="2747"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E565C8">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kern w:val="0"/>
                <w:sz w:val="24"/>
                <w:highlight w:val="none"/>
                <w:lang w:val="en-US" w:eastAsia="zh-CN" w:bidi="ar"/>
              </w:rPr>
            </w:pPr>
            <w:r>
              <w:rPr>
                <w:rFonts w:hint="default" w:ascii="Nimbus Roman No9 L" w:hAnsi="Nimbus Roman No9 L" w:eastAsia="宋体" w:cs="Nimbus Roman No9 L"/>
                <w:color w:val="000000"/>
                <w:kern w:val="0"/>
                <w:sz w:val="24"/>
                <w:highlight w:val="none"/>
                <w:lang w:val="en-US" w:eastAsia="zh-CN" w:bidi="ar"/>
              </w:rPr>
              <w:t>随机下浮率K2</w:t>
            </w:r>
          </w:p>
        </w:tc>
        <w:tc>
          <w:tcPr>
            <w:tcW w:w="6571" w:type="dxa"/>
            <w:gridSpan w:val="2"/>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BFE4EE9">
            <w:pPr>
              <w:keepNext w:val="0"/>
              <w:keepLines w:val="0"/>
              <w:pageBreakBefore w:val="0"/>
              <w:widowControl/>
              <w:kinsoku/>
              <w:wordWrap/>
              <w:overflowPunct/>
              <w:topLinePunct w:val="0"/>
              <w:autoSpaceDE/>
              <w:autoSpaceDN/>
              <w:bidi w:val="0"/>
              <w:adjustRightInd/>
              <w:snapToGrid/>
              <w:spacing w:line="320" w:lineRule="exact"/>
              <w:jc w:val="center"/>
              <w:rPr>
                <w:rFonts w:hint="default" w:ascii="Nimbus Roman No9 L" w:hAnsi="Nimbus Roman No9 L" w:eastAsia="宋体" w:cs="Nimbus Roman No9 L"/>
                <w:color w:val="000000"/>
                <w:sz w:val="24"/>
                <w:highlight w:val="none"/>
              </w:rPr>
            </w:pPr>
          </w:p>
        </w:tc>
      </w:tr>
      <w:tr w14:paraId="334818C0">
        <w:tblPrEx>
          <w:tblCellMar>
            <w:top w:w="0" w:type="dxa"/>
            <w:left w:w="0" w:type="dxa"/>
            <w:bottom w:w="0" w:type="dxa"/>
            <w:right w:w="0" w:type="dxa"/>
          </w:tblCellMar>
        </w:tblPrEx>
        <w:trPr>
          <w:trHeight w:val="551" w:hRule="atLeast"/>
          <w:jc w:val="center"/>
        </w:trPr>
        <w:tc>
          <w:tcPr>
            <w:tcW w:w="2747" w:type="dxa"/>
            <w:gridSpan w:val="2"/>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6FCF8EA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Nimbus Roman No9 L" w:hAnsi="Nimbus Roman No9 L" w:eastAsia="宋体" w:cs="Nimbus Roman No9 L"/>
                <w:color w:val="000000"/>
                <w:sz w:val="24"/>
                <w:highlight w:val="none"/>
                <w:lang w:eastAsia="zh-CN"/>
              </w:rPr>
            </w:pPr>
            <w:r>
              <w:rPr>
                <w:rFonts w:hint="default" w:ascii="Nimbus Roman No9 L" w:hAnsi="Nimbus Roman No9 L" w:eastAsia="宋体" w:cs="Nimbus Roman No9 L"/>
                <w:color w:val="000000"/>
                <w:kern w:val="0"/>
                <w:sz w:val="24"/>
                <w:highlight w:val="none"/>
                <w:lang w:val="en-US" w:eastAsia="zh-CN" w:bidi="ar"/>
              </w:rPr>
              <w:t>评标价格切线</w:t>
            </w:r>
          </w:p>
        </w:tc>
        <w:tc>
          <w:tcPr>
            <w:tcW w:w="657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509111">
            <w:pPr>
              <w:keepNext w:val="0"/>
              <w:keepLines w:val="0"/>
              <w:pageBreakBefore w:val="0"/>
              <w:widowControl/>
              <w:kinsoku/>
              <w:wordWrap/>
              <w:overflowPunct/>
              <w:topLinePunct w:val="0"/>
              <w:autoSpaceDE/>
              <w:autoSpaceDN/>
              <w:bidi w:val="0"/>
              <w:adjustRightInd/>
              <w:snapToGrid/>
              <w:spacing w:line="320" w:lineRule="exact"/>
              <w:rPr>
                <w:rFonts w:hint="default" w:ascii="Nimbus Roman No9 L" w:hAnsi="Nimbus Roman No9 L" w:eastAsia="宋体" w:cs="Nimbus Roman No9 L"/>
                <w:color w:val="000000"/>
                <w:sz w:val="24"/>
                <w:highlight w:val="none"/>
              </w:rPr>
            </w:pPr>
          </w:p>
        </w:tc>
      </w:tr>
    </w:tbl>
    <w:p w14:paraId="2DA1ACFA">
      <w:pPr>
        <w:spacing w:line="240" w:lineRule="auto"/>
        <w:jc w:val="left"/>
        <w:rPr>
          <w:rFonts w:hint="default" w:ascii="Nimbus Roman No9 L" w:hAnsi="Nimbus Roman No9 L" w:eastAsia="仿宋" w:cs="Nimbus Roman No9 L"/>
          <w:b/>
          <w:bCs/>
          <w:sz w:val="32"/>
          <w:szCs w:val="32"/>
          <w:highlight w:val="none"/>
        </w:rPr>
      </w:pPr>
      <w:r>
        <w:rPr>
          <w:rFonts w:hint="default" w:ascii="Nimbus Roman No9 L" w:hAnsi="Nimbus Roman No9 L" w:eastAsia="宋体" w:cs="Nimbus Roman No9 L"/>
          <w:szCs w:val="21"/>
          <w:highlight w:val="none"/>
          <w:lang w:bidi="ar"/>
        </w:rPr>
        <w:br w:type="page"/>
      </w:r>
      <w:r>
        <w:rPr>
          <w:rFonts w:hint="default" w:ascii="Nimbus Roman No9 L" w:hAnsi="Nimbus Roman No9 L" w:eastAsia="仿宋" w:cs="Nimbus Roman No9 L"/>
          <w:b/>
          <w:bCs/>
          <w:sz w:val="32"/>
          <w:szCs w:val="32"/>
          <w:highlight w:val="none"/>
        </w:rPr>
        <w:t>附表3-</w:t>
      </w:r>
      <w:r>
        <w:rPr>
          <w:rFonts w:hint="default" w:ascii="Nimbus Roman No9 L" w:hAnsi="Nimbus Roman No9 L" w:eastAsia="仿宋" w:cs="Nimbus Roman No9 L"/>
          <w:b/>
          <w:bCs/>
          <w:sz w:val="32"/>
          <w:szCs w:val="32"/>
          <w:highlight w:val="none"/>
          <w:lang w:val="en-US" w:eastAsia="zh-CN"/>
        </w:rPr>
        <w:t>3</w:t>
      </w:r>
    </w:p>
    <w:tbl>
      <w:tblPr>
        <w:tblStyle w:val="12"/>
        <w:tblW w:w="0" w:type="auto"/>
        <w:jc w:val="center"/>
        <w:tblLayout w:type="fixed"/>
        <w:tblCellMar>
          <w:top w:w="0" w:type="dxa"/>
          <w:left w:w="0" w:type="dxa"/>
          <w:bottom w:w="0" w:type="dxa"/>
          <w:right w:w="0" w:type="dxa"/>
        </w:tblCellMar>
      </w:tblPr>
      <w:tblGrid>
        <w:gridCol w:w="635"/>
        <w:gridCol w:w="1391"/>
        <w:gridCol w:w="3965"/>
        <w:gridCol w:w="1835"/>
        <w:gridCol w:w="1970"/>
      </w:tblGrid>
      <w:tr w14:paraId="5E90144C">
        <w:tblPrEx>
          <w:tblCellMar>
            <w:top w:w="0" w:type="dxa"/>
            <w:left w:w="0" w:type="dxa"/>
            <w:bottom w:w="0" w:type="dxa"/>
            <w:right w:w="0" w:type="dxa"/>
          </w:tblCellMar>
        </w:tblPrEx>
        <w:trPr>
          <w:trHeight w:val="510" w:hRule="atLeast"/>
          <w:jc w:val="center"/>
        </w:trPr>
        <w:tc>
          <w:tcPr>
            <w:tcW w:w="9796" w:type="dxa"/>
            <w:gridSpan w:val="5"/>
            <w:tcBorders>
              <w:top w:val="nil"/>
              <w:left w:val="nil"/>
              <w:bottom w:val="nil"/>
              <w:right w:val="nil"/>
            </w:tcBorders>
            <w:noWrap w:val="0"/>
            <w:tcMar>
              <w:top w:w="15" w:type="dxa"/>
              <w:left w:w="15" w:type="dxa"/>
              <w:right w:w="15" w:type="dxa"/>
            </w:tcMar>
            <w:vAlign w:val="center"/>
          </w:tcPr>
          <w:p w14:paraId="1EAD66A0">
            <w:pPr>
              <w:jc w:val="center"/>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b/>
                <w:color w:val="000000"/>
                <w:kern w:val="0"/>
                <w:sz w:val="36"/>
                <w:szCs w:val="36"/>
                <w:highlight w:val="none"/>
                <w:lang w:bidi="ar"/>
              </w:rPr>
              <w:t>技术标</w:t>
            </w:r>
            <w:r>
              <w:rPr>
                <w:rFonts w:hint="default" w:ascii="Nimbus Roman No9 L" w:hAnsi="Nimbus Roman No9 L" w:eastAsia="宋体" w:cs="Nimbus Roman No9 L"/>
                <w:b/>
                <w:color w:val="000000"/>
                <w:kern w:val="0"/>
                <w:sz w:val="36"/>
                <w:szCs w:val="36"/>
                <w:highlight w:val="none"/>
                <w:lang w:val="en-US" w:eastAsia="zh-CN" w:bidi="ar"/>
              </w:rPr>
              <w:t>评审标准</w:t>
            </w:r>
          </w:p>
        </w:tc>
      </w:tr>
      <w:tr w14:paraId="00ED949F">
        <w:tblPrEx>
          <w:tblCellMar>
            <w:top w:w="0" w:type="dxa"/>
            <w:left w:w="0" w:type="dxa"/>
            <w:bottom w:w="0" w:type="dxa"/>
            <w:right w:w="0" w:type="dxa"/>
          </w:tblCellMar>
        </w:tblPrEx>
        <w:trPr>
          <w:trHeight w:val="405" w:hRule="atLeast"/>
          <w:jc w:val="center"/>
        </w:trPr>
        <w:tc>
          <w:tcPr>
            <w:tcW w:w="5991" w:type="dxa"/>
            <w:gridSpan w:val="3"/>
            <w:tcBorders>
              <w:top w:val="nil"/>
              <w:left w:val="nil"/>
              <w:bottom w:val="nil"/>
              <w:right w:val="nil"/>
            </w:tcBorders>
            <w:noWrap w:val="0"/>
            <w:tcMar>
              <w:top w:w="15" w:type="dxa"/>
              <w:left w:w="15" w:type="dxa"/>
              <w:right w:w="15" w:type="dxa"/>
            </w:tcMar>
            <w:vAlign w:val="center"/>
          </w:tcPr>
          <w:p w14:paraId="35CE6CCB">
            <w:pPr>
              <w:jc w:val="left"/>
              <w:rPr>
                <w:rFonts w:hint="default" w:ascii="Nimbus Roman No9 L" w:hAnsi="Nimbus Roman No9 L" w:eastAsia="黑体" w:cs="Nimbus Roman No9 L"/>
                <w:b/>
                <w:color w:val="000000"/>
                <w:sz w:val="32"/>
                <w:szCs w:val="32"/>
                <w:highlight w:val="none"/>
              </w:rPr>
            </w:pPr>
            <w:r>
              <w:rPr>
                <w:rFonts w:hint="default" w:ascii="Nimbus Roman No9 L" w:hAnsi="Nimbus Roman No9 L" w:eastAsia="宋体" w:cs="Nimbus Roman No9 L"/>
                <w:b/>
                <w:color w:val="000000"/>
                <w:kern w:val="0"/>
                <w:sz w:val="24"/>
                <w:szCs w:val="24"/>
                <w:highlight w:val="none"/>
                <w:lang w:bidi="ar"/>
              </w:rPr>
              <w:t>项目名称：</w:t>
            </w:r>
          </w:p>
        </w:tc>
        <w:tc>
          <w:tcPr>
            <w:tcW w:w="1835" w:type="dxa"/>
            <w:tcBorders>
              <w:top w:val="nil"/>
              <w:left w:val="nil"/>
              <w:bottom w:val="nil"/>
              <w:right w:val="nil"/>
            </w:tcBorders>
            <w:noWrap w:val="0"/>
            <w:tcMar>
              <w:top w:w="15" w:type="dxa"/>
              <w:left w:w="15" w:type="dxa"/>
              <w:right w:w="15" w:type="dxa"/>
            </w:tcMar>
            <w:vAlign w:val="center"/>
          </w:tcPr>
          <w:p w14:paraId="337F22A8">
            <w:pPr>
              <w:jc w:val="center"/>
              <w:rPr>
                <w:rFonts w:hint="default" w:ascii="Nimbus Roman No9 L" w:hAnsi="Nimbus Roman No9 L" w:eastAsia="黑体" w:cs="Nimbus Roman No9 L"/>
                <w:b/>
                <w:color w:val="000000"/>
                <w:sz w:val="32"/>
                <w:szCs w:val="32"/>
                <w:highlight w:val="none"/>
              </w:rPr>
            </w:pPr>
          </w:p>
        </w:tc>
        <w:tc>
          <w:tcPr>
            <w:tcW w:w="1970" w:type="dxa"/>
            <w:tcBorders>
              <w:top w:val="nil"/>
              <w:left w:val="nil"/>
              <w:bottom w:val="nil"/>
              <w:right w:val="nil"/>
            </w:tcBorders>
            <w:noWrap w:val="0"/>
            <w:tcMar>
              <w:top w:w="15" w:type="dxa"/>
              <w:left w:w="15" w:type="dxa"/>
              <w:right w:w="15" w:type="dxa"/>
            </w:tcMar>
            <w:vAlign w:val="center"/>
          </w:tcPr>
          <w:p w14:paraId="0E631112">
            <w:pPr>
              <w:rPr>
                <w:rFonts w:hint="default" w:ascii="Nimbus Roman No9 L" w:hAnsi="Nimbus Roman No9 L" w:eastAsia="宋体" w:cs="Nimbus Roman No9 L"/>
                <w:color w:val="000000"/>
                <w:sz w:val="22"/>
                <w:szCs w:val="22"/>
                <w:highlight w:val="none"/>
              </w:rPr>
            </w:pPr>
          </w:p>
        </w:tc>
      </w:tr>
      <w:tr w14:paraId="5214BC88">
        <w:tblPrEx>
          <w:tblCellMar>
            <w:top w:w="0" w:type="dxa"/>
            <w:left w:w="0" w:type="dxa"/>
            <w:bottom w:w="0" w:type="dxa"/>
            <w:right w:w="0" w:type="dxa"/>
          </w:tblCellMar>
        </w:tblPrEx>
        <w:trPr>
          <w:trHeight w:val="1174" w:hRule="atLeast"/>
          <w:jc w:val="center"/>
        </w:trPr>
        <w:tc>
          <w:tcPr>
            <w:tcW w:w="635"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A329934">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序号</w:t>
            </w:r>
          </w:p>
        </w:tc>
        <w:tc>
          <w:tcPr>
            <w:tcW w:w="1391"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2E142B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评审项目</w:t>
            </w:r>
          </w:p>
        </w:tc>
        <w:tc>
          <w:tcPr>
            <w:tcW w:w="3965"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C2DB8F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评审标准</w:t>
            </w:r>
          </w:p>
        </w:tc>
        <w:tc>
          <w:tcPr>
            <w:tcW w:w="1835"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2F51A1A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优点</w:t>
            </w: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EBD2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b/>
                <w:color w:val="000000"/>
                <w:kern w:val="0"/>
                <w:sz w:val="24"/>
                <w:highlight w:val="none"/>
                <w:lang w:val="en-US" w:eastAsia="zh-CN" w:bidi="ar"/>
              </w:rPr>
            </w:pPr>
            <w:r>
              <w:rPr>
                <w:rFonts w:hint="default" w:ascii="Nimbus Roman No9 L" w:hAnsi="Nimbus Roman No9 L" w:eastAsia="宋体" w:cs="Nimbus Roman No9 L"/>
                <w:b/>
                <w:color w:val="000000"/>
                <w:kern w:val="0"/>
                <w:sz w:val="24"/>
                <w:highlight w:val="none"/>
                <w:lang w:val="en-US" w:eastAsia="zh-CN" w:bidi="ar"/>
              </w:rPr>
              <w:t>存在缺陷或签订合同前应注意和澄清事项</w:t>
            </w:r>
          </w:p>
        </w:tc>
      </w:tr>
      <w:tr w14:paraId="3A690A8C">
        <w:tblPrEx>
          <w:tblCellMar>
            <w:top w:w="0" w:type="dxa"/>
            <w:left w:w="0" w:type="dxa"/>
            <w:bottom w:w="0" w:type="dxa"/>
            <w:right w:w="0" w:type="dxa"/>
          </w:tblCellMar>
        </w:tblPrEx>
        <w:trPr>
          <w:trHeight w:val="41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6939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4E6B0D">
            <w:pPr>
              <w:pStyle w:val="16"/>
              <w:keepNext w:val="0"/>
              <w:keepLines w:val="0"/>
              <w:pageBreakBefore w:val="0"/>
              <w:kinsoku/>
              <w:wordWrap/>
              <w:overflowPunct/>
              <w:topLinePunct w:val="0"/>
              <w:autoSpaceDE/>
              <w:autoSpaceDN/>
              <w:bidi w:val="0"/>
              <w:adjustRightInd/>
              <w:snapToGrid/>
              <w:spacing w:before="42" w:line="400" w:lineRule="exact"/>
              <w:ind w:left="4" w:leftChars="0" w:right="0" w:righ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工程概况</w:t>
            </w:r>
          </w:p>
          <w:p w14:paraId="7ABFACAF">
            <w:pPr>
              <w:pStyle w:val="16"/>
              <w:keepNext w:val="0"/>
              <w:keepLines w:val="0"/>
              <w:pageBreakBefore w:val="0"/>
              <w:kinsoku/>
              <w:wordWrap/>
              <w:overflowPunct/>
              <w:topLinePunct w:val="0"/>
              <w:autoSpaceDE/>
              <w:autoSpaceDN/>
              <w:bidi w:val="0"/>
              <w:adjustRightInd/>
              <w:snapToGrid/>
              <w:spacing w:before="42" w:line="400" w:lineRule="exact"/>
              <w:ind w:left="4" w:leftChars="0" w:right="0" w:righ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及特点</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6B273C">
            <w:pPr>
              <w:pStyle w:val="16"/>
              <w:keepNext w:val="0"/>
              <w:keepLines w:val="0"/>
              <w:pageBreakBefore w:val="0"/>
              <w:kinsoku/>
              <w:wordWrap/>
              <w:overflowPunct/>
              <w:topLinePunct w:val="0"/>
              <w:autoSpaceDE/>
              <w:autoSpaceDN/>
              <w:bidi w:val="0"/>
              <w:adjustRightInd/>
              <w:snapToGrid/>
              <w:spacing w:before="42" w:line="400" w:lineRule="exact"/>
              <w:ind w:left="4" w:leftChars="0" w:right="0" w:righ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对工程总体概况及特点表述清晰、完整、符合实际</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B778E">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1CBB5">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423188FD">
        <w:tblPrEx>
          <w:tblCellMar>
            <w:top w:w="0" w:type="dxa"/>
            <w:left w:w="0" w:type="dxa"/>
            <w:bottom w:w="0" w:type="dxa"/>
            <w:right w:w="0" w:type="dxa"/>
          </w:tblCellMar>
        </w:tblPrEx>
        <w:trPr>
          <w:trHeight w:val="41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E06F76">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2</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A264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施工准备</w:t>
            </w:r>
          </w:p>
          <w:p w14:paraId="6A15060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计划</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6C67D">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施工技术、现场、物资与机械、队伍准备计划充分保证工程需要</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026819">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5ECA60">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120CB456">
        <w:tblPrEx>
          <w:tblCellMar>
            <w:top w:w="0" w:type="dxa"/>
            <w:left w:w="0" w:type="dxa"/>
            <w:bottom w:w="0" w:type="dxa"/>
            <w:right w:w="0" w:type="dxa"/>
          </w:tblCellMar>
        </w:tblPrEx>
        <w:trPr>
          <w:trHeight w:val="475"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C4AD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3</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FCA6F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施工方案</w:t>
            </w:r>
          </w:p>
          <w:p w14:paraId="5B1DC76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与技术措施</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4F1E27">
            <w:pPr>
              <w:pStyle w:val="16"/>
              <w:keepNext w:val="0"/>
              <w:keepLines w:val="0"/>
              <w:pageBreakBefore w:val="0"/>
              <w:kinsoku/>
              <w:wordWrap/>
              <w:overflowPunct/>
              <w:topLinePunct w:val="0"/>
              <w:autoSpaceDE/>
              <w:autoSpaceDN/>
              <w:bidi w:val="0"/>
              <w:adjustRightInd/>
              <w:snapToGrid/>
              <w:spacing w:before="42" w:line="400" w:lineRule="exact"/>
              <w:ind w:left="4"/>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施工方案符合工程实际情况，部署及措施先进、可靠；针对项目的重点、难点分析应透彻，解决方案切实可行；</w:t>
            </w:r>
          </w:p>
          <w:p w14:paraId="65FB7A10">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市政基础设施项目，交通组织规划合理、可行，交通组织措施得力。</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88D6DD">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F1A7E">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417273BF">
        <w:tblPrEx>
          <w:tblCellMar>
            <w:top w:w="0" w:type="dxa"/>
            <w:left w:w="0" w:type="dxa"/>
            <w:bottom w:w="0" w:type="dxa"/>
            <w:right w:w="0" w:type="dxa"/>
          </w:tblCellMar>
        </w:tblPrEx>
        <w:trPr>
          <w:trHeight w:val="379"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E75C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4</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B3B4DF">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施工进度</w:t>
            </w:r>
          </w:p>
          <w:p w14:paraId="78E42F06">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计划</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F0C5F">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进度计划应在空间和时间上做合理的统筹安排且符合施工的科学规律</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CAED6">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7A0F04">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4D6446F0">
        <w:tblPrEx>
          <w:tblCellMar>
            <w:top w:w="0" w:type="dxa"/>
            <w:left w:w="0" w:type="dxa"/>
            <w:bottom w:w="0" w:type="dxa"/>
            <w:right w:w="0" w:type="dxa"/>
          </w:tblCellMar>
        </w:tblPrEx>
        <w:trPr>
          <w:trHeight w:val="346"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B9713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5</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53B5A8">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施工平面</w:t>
            </w:r>
          </w:p>
          <w:p w14:paraId="37C6D131">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布置</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8553A">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施工平面布置应符合工程实际，有针对性、布置合理，满足施工需要，便于施工和管理并符合安全、文明生产要求。</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82145">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159F4">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3F516682">
        <w:tblPrEx>
          <w:tblCellMar>
            <w:top w:w="0" w:type="dxa"/>
            <w:left w:w="0" w:type="dxa"/>
            <w:bottom w:w="0" w:type="dxa"/>
            <w:right w:w="0" w:type="dxa"/>
          </w:tblCellMar>
        </w:tblPrEx>
        <w:trPr>
          <w:trHeight w:val="40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5B38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6</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DEE16C">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劳动力</w:t>
            </w:r>
          </w:p>
          <w:p w14:paraId="389E5FAC">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F7DF3">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劳动力投入计划与施工部署、施工方法及进度计划能够相互呼应并较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E4CF3">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0E66A">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4C5EE4E8">
        <w:tblPrEx>
          <w:tblCellMar>
            <w:top w:w="0" w:type="dxa"/>
            <w:left w:w="0" w:type="dxa"/>
            <w:bottom w:w="0" w:type="dxa"/>
            <w:right w:w="0" w:type="dxa"/>
          </w:tblCellMar>
        </w:tblPrEx>
        <w:trPr>
          <w:trHeight w:val="427"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32068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7</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E4F35">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材料</w:t>
            </w:r>
          </w:p>
          <w:p w14:paraId="07BC68FC">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B0789">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材料投入计划与施工部署、施工方法及进度计划能够相互呼应并较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F95A2">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51934">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4FDB04FC">
        <w:tblPrEx>
          <w:tblCellMar>
            <w:top w:w="0" w:type="dxa"/>
            <w:left w:w="0" w:type="dxa"/>
            <w:bottom w:w="0" w:type="dxa"/>
            <w:right w:w="0" w:type="dxa"/>
          </w:tblCellMar>
        </w:tblPrEx>
        <w:trPr>
          <w:trHeight w:val="371"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C44C88">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8</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F4BB0">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机械设备</w:t>
            </w:r>
          </w:p>
          <w:p w14:paraId="7104AD36">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需用量计划</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5B5248">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机械投入计划与施工部署、施工方法及进度计划能够相互呼应并较</w:t>
            </w:r>
            <w:r>
              <w:rPr>
                <w:rFonts w:hint="eastAsia" w:ascii="Nimbus Roman No9 L" w:hAnsi="Nimbus Roman No9 L" w:cs="Nimbus Roman No9 L"/>
                <w:color w:val="000000"/>
                <w:kern w:val="0"/>
                <w:sz w:val="24"/>
                <w:szCs w:val="24"/>
                <w:highlight w:val="none"/>
                <w:lang w:val="en-US" w:eastAsia="zh-CN" w:bidi="ar-SA"/>
              </w:rPr>
              <w:t>好地</w:t>
            </w:r>
            <w:r>
              <w:rPr>
                <w:rFonts w:hint="default" w:ascii="Nimbus Roman No9 L" w:hAnsi="Nimbus Roman No9 L" w:eastAsia="宋体" w:cs="Nimbus Roman No9 L"/>
                <w:color w:val="000000"/>
                <w:kern w:val="0"/>
                <w:sz w:val="24"/>
                <w:szCs w:val="24"/>
                <w:highlight w:val="none"/>
                <w:lang w:val="en-US" w:eastAsia="zh-CN" w:bidi="ar-SA"/>
              </w:rPr>
              <w:t>满足施工需要</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5720F">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DAF48">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137DC787">
        <w:tblPrEx>
          <w:tblCellMar>
            <w:top w:w="0" w:type="dxa"/>
            <w:left w:w="0" w:type="dxa"/>
            <w:bottom w:w="0" w:type="dxa"/>
            <w:right w:w="0" w:type="dxa"/>
          </w:tblCellMar>
        </w:tblPrEx>
        <w:trPr>
          <w:trHeight w:val="349"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51DDA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9</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EA736">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质量保证</w:t>
            </w:r>
          </w:p>
          <w:p w14:paraId="60596451">
            <w:pPr>
              <w:pStyle w:val="16"/>
              <w:keepNext w:val="0"/>
              <w:keepLines w:val="0"/>
              <w:pageBreakBefore w:val="0"/>
              <w:kinsoku/>
              <w:wordWrap/>
              <w:overflowPunct/>
              <w:topLinePunct w:val="0"/>
              <w:autoSpaceDE/>
              <w:autoSpaceDN/>
              <w:bidi w:val="0"/>
              <w:adjustRightInd/>
              <w:snapToGrid/>
              <w:spacing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措施和体系</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BEC25">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保证措施应符合科学的施工规律、国家规定的强制性标准并有针对性，同时要符合实际情况，切实可行。质量目标明确，管理机构健全，职责分工明确；管理制度齐全；实施措施全面、有效。</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3BDAF">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3963F0">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550F2B3B">
        <w:tblPrEx>
          <w:tblCellMar>
            <w:top w:w="0" w:type="dxa"/>
            <w:left w:w="0" w:type="dxa"/>
            <w:bottom w:w="0" w:type="dxa"/>
            <w:right w:w="0" w:type="dxa"/>
          </w:tblCellMar>
        </w:tblPrEx>
        <w:trPr>
          <w:trHeight w:val="427"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36E0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10</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B73C2">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工期保证</w:t>
            </w:r>
          </w:p>
          <w:p w14:paraId="2C7D1AA0">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措施和体系</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CF5F2">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总工期及节点工期满足招标文件要求；施工进度计划内容全面，线路清晰、准确、完整，计划编制合理、可行；措施有力、合理、可行。</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051EC">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279A88">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592CBF4D">
        <w:tblPrEx>
          <w:tblCellMar>
            <w:top w:w="0" w:type="dxa"/>
            <w:left w:w="0" w:type="dxa"/>
            <w:bottom w:w="0" w:type="dxa"/>
            <w:right w:w="0" w:type="dxa"/>
          </w:tblCellMar>
        </w:tblPrEx>
        <w:trPr>
          <w:trHeight w:val="62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BDE0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11</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87379">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zh-CN" w:eastAsia="zh-CN" w:bidi="ar-SA"/>
              </w:rPr>
              <w:t>安全保证</w:t>
            </w:r>
          </w:p>
          <w:p w14:paraId="06E846FF">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zh-CN" w:eastAsia="zh-CN" w:bidi="ar-SA"/>
              </w:rPr>
              <w:t>措施和体系</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B85B6D">
            <w:pPr>
              <w:pStyle w:val="16"/>
              <w:keepNext w:val="0"/>
              <w:keepLines w:val="0"/>
              <w:pageBreakBefore w:val="0"/>
              <w:kinsoku/>
              <w:wordWrap/>
              <w:overflowPunct/>
              <w:topLinePunct w:val="0"/>
              <w:autoSpaceDE/>
              <w:autoSpaceDN/>
              <w:bidi w:val="0"/>
              <w:adjustRightInd/>
              <w:snapToGrid/>
              <w:spacing w:before="32" w:line="400" w:lineRule="exact"/>
              <w:ind w:left="4"/>
              <w:jc w:val="both"/>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en-US" w:eastAsia="zh-CN" w:bidi="ar-SA"/>
              </w:rPr>
              <w:t>保证措施应符合国家及自治区规定的强制性标准并有针对性，同时要符合实际情况，切实可行。</w:t>
            </w:r>
          </w:p>
          <w:p w14:paraId="2426777C">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安全目标明确，优于招标文件要求；管理机构健全，职责分工明确；管理制度齐全；实施与监控措施全面、有效。</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1B9DA">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6EA48">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10D6E06A">
        <w:tblPrEx>
          <w:tblCellMar>
            <w:top w:w="0" w:type="dxa"/>
            <w:left w:w="0" w:type="dxa"/>
            <w:bottom w:w="0" w:type="dxa"/>
            <w:right w:w="0" w:type="dxa"/>
          </w:tblCellMar>
        </w:tblPrEx>
        <w:trPr>
          <w:trHeight w:val="62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09B2E">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12</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06A6A">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szCs w:val="24"/>
                <w:highlight w:val="none"/>
                <w:lang w:val="zh-CN" w:eastAsia="zh-CN" w:bidi="ar-SA"/>
              </w:rPr>
            </w:pPr>
            <w:r>
              <w:rPr>
                <w:rFonts w:hint="default" w:ascii="Nimbus Roman No9 L" w:hAnsi="Nimbus Roman No9 L" w:eastAsia="宋体" w:cs="Nimbus Roman No9 L"/>
                <w:color w:val="000000"/>
                <w:kern w:val="0"/>
                <w:sz w:val="24"/>
                <w:szCs w:val="24"/>
                <w:highlight w:val="none"/>
                <w:lang w:val="zh-CN" w:eastAsia="zh-CN" w:bidi="ar-SA"/>
              </w:rPr>
              <w:t>现场文明</w:t>
            </w:r>
          </w:p>
          <w:p w14:paraId="5F3E4FC4">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zh-CN" w:eastAsia="zh-CN" w:bidi="ar-SA"/>
              </w:rPr>
              <w:t>施工措施</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FDA98">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zh-CN" w:eastAsia="zh-CN" w:bidi="ar-SA"/>
              </w:rPr>
              <w:t>管理措施目标明确，符合工程实际情况，切实可行；管理机构健全，职责分工明确；管理制度齐全；</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0C9C9">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03DD21">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0F04F3AC">
        <w:tblPrEx>
          <w:tblCellMar>
            <w:top w:w="0" w:type="dxa"/>
            <w:left w:w="0" w:type="dxa"/>
            <w:bottom w:w="0" w:type="dxa"/>
            <w:right w:w="0" w:type="dxa"/>
          </w:tblCellMar>
        </w:tblPrEx>
        <w:trPr>
          <w:trHeight w:val="62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106C9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13</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7C922">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智慧工地</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3E99E">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智慧工地系统应用实施方案切实可行。</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DE572">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F5D9AA">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4F24A3E2">
        <w:tblPrEx>
          <w:tblCellMar>
            <w:top w:w="0" w:type="dxa"/>
            <w:left w:w="0" w:type="dxa"/>
            <w:bottom w:w="0" w:type="dxa"/>
            <w:right w:w="0" w:type="dxa"/>
          </w:tblCellMar>
        </w:tblPrEx>
        <w:trPr>
          <w:trHeight w:val="62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F559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highlight w:val="none"/>
                <w:lang w:val="en-US" w:eastAsia="zh-CN"/>
              </w:rPr>
              <w:t>14</w:t>
            </w: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49546">
            <w:pPr>
              <w:pStyle w:val="16"/>
              <w:keepNext w:val="0"/>
              <w:keepLines w:val="0"/>
              <w:pageBreakBefore w:val="0"/>
              <w:kinsoku/>
              <w:wordWrap/>
              <w:overflowPunct/>
              <w:topLinePunct w:val="0"/>
              <w:autoSpaceDE/>
              <w:autoSpaceDN/>
              <w:bidi w:val="0"/>
              <w:adjustRightInd/>
              <w:snapToGrid/>
              <w:spacing w:before="32" w:line="400" w:lineRule="exact"/>
              <w:ind w:left="4"/>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szCs w:val="24"/>
                <w:highlight w:val="none"/>
                <w:lang w:val="en-US" w:eastAsia="zh-CN" w:bidi="ar-SA"/>
              </w:rPr>
              <w:t>BIM技术应用</w:t>
            </w:r>
          </w:p>
          <w:p w14:paraId="0EDA452C">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（如有）</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A2C47">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highlight w:val="none"/>
                <w:lang w:val="en-US" w:eastAsia="zh-CN"/>
              </w:rPr>
            </w:pPr>
            <w:r>
              <w:rPr>
                <w:rFonts w:hint="default" w:ascii="Nimbus Roman No9 L" w:hAnsi="Nimbus Roman No9 L" w:eastAsia="宋体" w:cs="Nimbus Roman No9 L"/>
                <w:color w:val="000000"/>
                <w:kern w:val="0"/>
                <w:sz w:val="24"/>
                <w:szCs w:val="24"/>
                <w:highlight w:val="none"/>
                <w:lang w:val="en-US" w:eastAsia="zh-CN" w:bidi="ar-SA"/>
              </w:rPr>
              <w:t>BIM技术应用管理体系健全，管理制度、保障措施齐全；BIM应用流程与计划完整、有效；重点工艺节点及施工流程BIM三维模型科学、合理等。</w:t>
            </w: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B91D9">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B8AE2">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12514F98">
        <w:tblPrEx>
          <w:tblCellMar>
            <w:top w:w="0" w:type="dxa"/>
            <w:left w:w="0" w:type="dxa"/>
            <w:bottom w:w="0" w:type="dxa"/>
            <w:right w:w="0" w:type="dxa"/>
          </w:tblCellMar>
        </w:tblPrEx>
        <w:trPr>
          <w:trHeight w:val="620" w:hRule="atLeast"/>
          <w:jc w:val="center"/>
        </w:trPr>
        <w:tc>
          <w:tcPr>
            <w:tcW w:w="6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DEDB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kern w:val="0"/>
                <w:sz w:val="24"/>
                <w:highlight w:val="none"/>
                <w:lang w:val="en-US" w:eastAsia="zh-CN"/>
              </w:rPr>
            </w:pPr>
          </w:p>
        </w:tc>
        <w:tc>
          <w:tcPr>
            <w:tcW w:w="13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F2EA5">
            <w:pPr>
              <w:pStyle w:val="16"/>
              <w:keepNext w:val="0"/>
              <w:keepLines w:val="0"/>
              <w:pageBreakBefore w:val="0"/>
              <w:kinsoku/>
              <w:wordWrap/>
              <w:overflowPunct/>
              <w:topLinePunct w:val="0"/>
              <w:autoSpaceDE/>
              <w:autoSpaceDN/>
              <w:bidi w:val="0"/>
              <w:adjustRightInd/>
              <w:snapToGrid/>
              <w:spacing w:before="32" w:line="400" w:lineRule="exact"/>
              <w:ind w:left="4" w:leftChars="0"/>
              <w:jc w:val="center"/>
              <w:rPr>
                <w:rFonts w:hint="default" w:ascii="Nimbus Roman No9 L" w:hAnsi="Nimbus Roman No9 L" w:eastAsia="宋体" w:cs="Nimbus Roman No9 L"/>
                <w:color w:val="000000"/>
                <w:kern w:val="0"/>
                <w:sz w:val="24"/>
                <w:szCs w:val="24"/>
                <w:highlight w:val="none"/>
                <w:lang w:val="en-US" w:eastAsia="zh-CN" w:bidi="ar-SA"/>
              </w:rPr>
            </w:pPr>
            <w:r>
              <w:rPr>
                <w:rFonts w:hint="default" w:ascii="Nimbus Roman No9 L" w:hAnsi="Nimbus Roman No9 L" w:eastAsia="宋体" w:cs="Nimbus Roman No9 L"/>
                <w:color w:val="000000"/>
                <w:kern w:val="0"/>
                <w:sz w:val="24"/>
                <w:highlight w:val="none"/>
                <w:lang w:val="en-US" w:eastAsia="zh-CN"/>
              </w:rPr>
              <w:t>……</w:t>
            </w:r>
          </w:p>
        </w:tc>
        <w:tc>
          <w:tcPr>
            <w:tcW w:w="39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F70420">
            <w:pPr>
              <w:pStyle w:val="16"/>
              <w:keepNext w:val="0"/>
              <w:keepLines w:val="0"/>
              <w:pageBreakBefore w:val="0"/>
              <w:kinsoku/>
              <w:wordWrap/>
              <w:overflowPunct/>
              <w:topLinePunct w:val="0"/>
              <w:autoSpaceDE/>
              <w:autoSpaceDN/>
              <w:bidi w:val="0"/>
              <w:adjustRightInd/>
              <w:snapToGrid/>
              <w:spacing w:before="32" w:line="400" w:lineRule="exact"/>
              <w:ind w:left="4" w:leftChars="0"/>
              <w:jc w:val="both"/>
              <w:rPr>
                <w:rFonts w:hint="default" w:ascii="Nimbus Roman No9 L" w:hAnsi="Nimbus Roman No9 L" w:eastAsia="宋体" w:cs="Nimbus Roman No9 L"/>
                <w:color w:val="000000"/>
                <w:kern w:val="0"/>
                <w:sz w:val="24"/>
                <w:szCs w:val="24"/>
                <w:highlight w:val="none"/>
                <w:lang w:val="en-US" w:eastAsia="zh-CN" w:bidi="ar-SA"/>
              </w:rPr>
            </w:pPr>
          </w:p>
        </w:tc>
        <w:tc>
          <w:tcPr>
            <w:tcW w:w="183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8CB74">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c>
          <w:tcPr>
            <w:tcW w:w="19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AC2834">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2"/>
                <w:szCs w:val="22"/>
                <w:highlight w:val="none"/>
              </w:rPr>
            </w:pPr>
          </w:p>
        </w:tc>
      </w:tr>
      <w:tr w14:paraId="12DF7B33">
        <w:tblPrEx>
          <w:tblCellMar>
            <w:top w:w="0" w:type="dxa"/>
            <w:left w:w="0" w:type="dxa"/>
            <w:bottom w:w="0" w:type="dxa"/>
            <w:right w:w="0" w:type="dxa"/>
          </w:tblCellMar>
        </w:tblPrEx>
        <w:trPr>
          <w:trHeight w:val="620" w:hRule="atLeast"/>
          <w:jc w:val="center"/>
        </w:trPr>
        <w:tc>
          <w:tcPr>
            <w:tcW w:w="979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1FC0A">
            <w:pPr>
              <w:keepNext w:val="0"/>
              <w:keepLines w:val="0"/>
              <w:pageBreakBefore w:val="0"/>
              <w:kinsoku/>
              <w:wordWrap/>
              <w:overflowPunct/>
              <w:topLinePunct w:val="0"/>
              <w:autoSpaceDE/>
              <w:autoSpaceDN/>
              <w:bidi w:val="0"/>
              <w:adjustRightInd/>
              <w:snapToGrid/>
              <w:spacing w:line="400" w:lineRule="exact"/>
              <w:jc w:val="both"/>
              <w:rPr>
                <w:rFonts w:hint="default" w:ascii="Nimbus Roman No9 L" w:hAnsi="Nimbus Roman No9 L" w:eastAsia="宋体" w:cs="Nimbus Roman No9 L"/>
                <w:color w:val="000000"/>
                <w:sz w:val="22"/>
                <w:szCs w:val="22"/>
                <w:highlight w:val="none"/>
                <w:lang w:val="en-US" w:eastAsia="zh-CN"/>
              </w:rPr>
            </w:pPr>
            <w:r>
              <w:rPr>
                <w:rFonts w:hint="default" w:ascii="Nimbus Roman No9 L" w:hAnsi="Nimbus Roman No9 L" w:eastAsia="宋体" w:cs="Nimbus Roman No9 L"/>
                <w:color w:val="000000"/>
                <w:sz w:val="22"/>
                <w:szCs w:val="22"/>
                <w:highlight w:val="none"/>
                <w:lang w:val="en-US" w:eastAsia="zh-CN"/>
              </w:rPr>
              <w:t>备注：1</w:t>
            </w:r>
            <w:r>
              <w:rPr>
                <w:rFonts w:hint="eastAsia" w:ascii="Nimbus Roman No9 L" w:hAnsi="Nimbus Roman No9 L" w:cs="Nimbus Roman No9 L"/>
                <w:color w:val="000000"/>
                <w:sz w:val="22"/>
                <w:szCs w:val="22"/>
                <w:highlight w:val="none"/>
                <w:lang w:val="en-US" w:eastAsia="zh-CN"/>
              </w:rPr>
              <w:t>.</w:t>
            </w:r>
            <w:r>
              <w:rPr>
                <w:rFonts w:hint="default" w:ascii="Nimbus Roman No9 L" w:hAnsi="Nimbus Roman No9 L" w:eastAsia="宋体" w:cs="Nimbus Roman No9 L"/>
                <w:color w:val="000000"/>
                <w:sz w:val="22"/>
                <w:szCs w:val="22"/>
                <w:highlight w:val="none"/>
                <w:lang w:val="en-US" w:eastAsia="zh-CN"/>
              </w:rPr>
              <w:t>本表适用于专家独立评审使用；</w:t>
            </w:r>
          </w:p>
          <w:p w14:paraId="1FA5D803">
            <w:pPr>
              <w:keepNext w:val="0"/>
              <w:keepLines w:val="0"/>
              <w:pageBreakBefore w:val="0"/>
              <w:kinsoku/>
              <w:wordWrap/>
              <w:overflowPunct/>
              <w:topLinePunct w:val="0"/>
              <w:autoSpaceDE/>
              <w:autoSpaceDN/>
              <w:bidi w:val="0"/>
              <w:adjustRightInd/>
              <w:snapToGrid/>
              <w:spacing w:line="400" w:lineRule="exact"/>
              <w:ind w:firstLine="660" w:firstLineChars="300"/>
              <w:jc w:val="both"/>
              <w:rPr>
                <w:rFonts w:hint="default" w:ascii="Nimbus Roman No9 L" w:hAnsi="Nimbus Roman No9 L" w:eastAsia="宋体" w:cs="Nimbus Roman No9 L"/>
                <w:color w:val="000000"/>
                <w:sz w:val="22"/>
                <w:szCs w:val="22"/>
                <w:highlight w:val="none"/>
                <w:lang w:val="en-US" w:eastAsia="zh-CN"/>
              </w:rPr>
            </w:pPr>
            <w:r>
              <w:rPr>
                <w:rFonts w:hint="default" w:ascii="Nimbus Roman No9 L" w:hAnsi="Nimbus Roman No9 L" w:eastAsia="宋体" w:cs="Nimbus Roman No9 L"/>
                <w:color w:val="000000"/>
                <w:sz w:val="22"/>
                <w:szCs w:val="22"/>
                <w:highlight w:val="none"/>
                <w:lang w:val="en-US" w:eastAsia="zh-CN"/>
              </w:rPr>
              <w:t>2</w:t>
            </w:r>
            <w:r>
              <w:rPr>
                <w:rFonts w:hint="eastAsia" w:ascii="Nimbus Roman No9 L" w:hAnsi="Nimbus Roman No9 L" w:cs="Nimbus Roman No9 L"/>
                <w:color w:val="000000"/>
                <w:sz w:val="22"/>
                <w:szCs w:val="22"/>
                <w:highlight w:val="none"/>
                <w:lang w:val="en-US" w:eastAsia="zh-CN"/>
              </w:rPr>
              <w:t>.</w:t>
            </w:r>
            <w:r>
              <w:rPr>
                <w:rFonts w:hint="default" w:ascii="Nimbus Roman No9 L" w:hAnsi="Nimbus Roman No9 L" w:eastAsia="宋体" w:cs="Nimbus Roman No9 L"/>
                <w:color w:val="000000"/>
                <w:sz w:val="22"/>
                <w:szCs w:val="22"/>
                <w:highlight w:val="none"/>
                <w:lang w:val="en-US" w:eastAsia="zh-CN"/>
              </w:rPr>
              <w:t>评审时需指出各评审项的优点、存在缺陷或签订合同前应注意和澄清事项；</w:t>
            </w:r>
          </w:p>
          <w:p w14:paraId="51C7EC52">
            <w:pPr>
              <w:keepNext w:val="0"/>
              <w:keepLines w:val="0"/>
              <w:pageBreakBefore w:val="0"/>
              <w:kinsoku/>
              <w:wordWrap/>
              <w:overflowPunct/>
              <w:topLinePunct w:val="0"/>
              <w:autoSpaceDE/>
              <w:autoSpaceDN/>
              <w:bidi w:val="0"/>
              <w:adjustRightInd/>
              <w:snapToGrid/>
              <w:spacing w:line="400" w:lineRule="exact"/>
              <w:jc w:val="both"/>
              <w:rPr>
                <w:rFonts w:hint="default" w:ascii="Nimbus Roman No9 L" w:hAnsi="Nimbus Roman No9 L" w:eastAsia="宋体" w:cs="Nimbus Roman No9 L"/>
                <w:color w:val="000000"/>
                <w:sz w:val="22"/>
                <w:szCs w:val="22"/>
                <w:highlight w:val="none"/>
                <w:lang w:val="en-US" w:eastAsia="zh-CN"/>
              </w:rPr>
            </w:pPr>
            <w:r>
              <w:rPr>
                <w:rFonts w:hint="default" w:ascii="Nimbus Roman No9 L" w:hAnsi="Nimbus Roman No9 L" w:eastAsia="宋体" w:cs="Nimbus Roman No9 L"/>
                <w:color w:val="000000"/>
                <w:sz w:val="22"/>
                <w:szCs w:val="22"/>
                <w:highlight w:val="none"/>
                <w:lang w:val="en-US" w:eastAsia="zh-CN"/>
              </w:rPr>
              <w:t xml:space="preserve">      3</w:t>
            </w:r>
            <w:r>
              <w:rPr>
                <w:rFonts w:hint="eastAsia" w:ascii="Nimbus Roman No9 L" w:hAnsi="Nimbus Roman No9 L" w:cs="Nimbus Roman No9 L"/>
                <w:color w:val="000000"/>
                <w:sz w:val="22"/>
                <w:szCs w:val="22"/>
                <w:highlight w:val="none"/>
                <w:lang w:val="en-US" w:eastAsia="zh-CN"/>
              </w:rPr>
              <w:t>.</w:t>
            </w:r>
            <w:r>
              <w:rPr>
                <w:rFonts w:hint="default" w:ascii="Nimbus Roman No9 L" w:hAnsi="Nimbus Roman No9 L" w:eastAsia="宋体" w:cs="Nimbus Roman No9 L"/>
                <w:color w:val="000000"/>
                <w:sz w:val="22"/>
                <w:szCs w:val="22"/>
                <w:highlight w:val="none"/>
                <w:lang w:val="en-US" w:eastAsia="zh-CN"/>
              </w:rPr>
              <w:t>评委在评审时可参照附表1-5备注中的《技术标评审要素》进行综合评定。</w:t>
            </w:r>
          </w:p>
        </w:tc>
      </w:tr>
    </w:tbl>
    <w:p w14:paraId="0BA00BEE">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仿宋" w:cs="Nimbus Roman No9 L"/>
          <w:b/>
          <w:bCs/>
          <w:sz w:val="32"/>
          <w:szCs w:val="32"/>
          <w:highlight w:val="none"/>
        </w:rPr>
      </w:pPr>
    </w:p>
    <w:p w14:paraId="4FEC8F8E">
      <w:pPr>
        <w:pStyle w:val="5"/>
        <w:rPr>
          <w:rFonts w:hint="default"/>
        </w:rPr>
      </w:pPr>
    </w:p>
    <w:p w14:paraId="10B13570">
      <w:pPr>
        <w:spacing w:line="440" w:lineRule="exact"/>
        <w:jc w:val="left"/>
        <w:rPr>
          <w:rFonts w:hint="default" w:ascii="Nimbus Roman No9 L" w:hAnsi="Nimbus Roman No9 L" w:eastAsia="仿宋" w:cs="Nimbus Roman No9 L"/>
          <w:b/>
          <w:bCs/>
          <w:sz w:val="32"/>
          <w:szCs w:val="32"/>
          <w:highlight w:val="none"/>
        </w:rPr>
      </w:pPr>
    </w:p>
    <w:p w14:paraId="64C959CF">
      <w:pPr>
        <w:spacing w:line="440" w:lineRule="exact"/>
        <w:jc w:val="left"/>
        <w:rPr>
          <w:rFonts w:hint="default" w:ascii="Nimbus Roman No9 L" w:hAnsi="Nimbus Roman No9 L" w:eastAsia="仿宋" w:cs="Nimbus Roman No9 L"/>
          <w:b/>
          <w:bCs/>
          <w:sz w:val="32"/>
          <w:szCs w:val="32"/>
          <w:highlight w:val="none"/>
          <w:lang w:val="en-US" w:eastAsia="zh-CN"/>
        </w:rPr>
      </w:pPr>
      <w:r>
        <w:rPr>
          <w:rFonts w:hint="default" w:ascii="Nimbus Roman No9 L" w:hAnsi="Nimbus Roman No9 L" w:eastAsia="仿宋" w:cs="Nimbus Roman No9 L"/>
          <w:b/>
          <w:bCs/>
          <w:sz w:val="32"/>
          <w:szCs w:val="32"/>
          <w:highlight w:val="none"/>
        </w:rPr>
        <w:t>附表3-</w:t>
      </w:r>
      <w:r>
        <w:rPr>
          <w:rFonts w:hint="default" w:ascii="Nimbus Roman No9 L" w:hAnsi="Nimbus Roman No9 L" w:eastAsia="仿宋" w:cs="Nimbus Roman No9 L"/>
          <w:b/>
          <w:bCs/>
          <w:sz w:val="32"/>
          <w:szCs w:val="32"/>
          <w:highlight w:val="none"/>
          <w:lang w:val="en-US" w:eastAsia="zh-CN"/>
        </w:rPr>
        <w:t>4</w:t>
      </w:r>
    </w:p>
    <w:p w14:paraId="5357F533">
      <w:pPr>
        <w:spacing w:line="440" w:lineRule="exact"/>
        <w:jc w:val="left"/>
        <w:rPr>
          <w:rFonts w:hint="default" w:ascii="Nimbus Roman No9 L" w:hAnsi="Nimbus Roman No9 L" w:eastAsia="仿宋" w:cs="Nimbus Roman No9 L"/>
          <w:b/>
          <w:bCs/>
          <w:sz w:val="32"/>
          <w:szCs w:val="32"/>
          <w:highlight w:val="none"/>
          <w:lang w:val="en-US" w:eastAsia="zh-CN"/>
        </w:rPr>
      </w:pPr>
    </w:p>
    <w:tbl>
      <w:tblPr>
        <w:tblStyle w:val="12"/>
        <w:tblW w:w="0" w:type="auto"/>
        <w:jc w:val="center"/>
        <w:tblLayout w:type="fixed"/>
        <w:tblCellMar>
          <w:top w:w="0" w:type="dxa"/>
          <w:left w:w="0" w:type="dxa"/>
          <w:bottom w:w="0" w:type="dxa"/>
          <w:right w:w="0" w:type="dxa"/>
        </w:tblCellMar>
      </w:tblPr>
      <w:tblGrid>
        <w:gridCol w:w="1080"/>
        <w:gridCol w:w="1515"/>
        <w:gridCol w:w="1515"/>
        <w:gridCol w:w="2100"/>
        <w:gridCol w:w="2343"/>
      </w:tblGrid>
      <w:tr w14:paraId="6C08C7CF">
        <w:tblPrEx>
          <w:tblCellMar>
            <w:top w:w="0" w:type="dxa"/>
            <w:left w:w="0" w:type="dxa"/>
            <w:bottom w:w="0" w:type="dxa"/>
            <w:right w:w="0" w:type="dxa"/>
          </w:tblCellMar>
        </w:tblPrEx>
        <w:trPr>
          <w:trHeight w:val="465" w:hRule="atLeast"/>
          <w:jc w:val="center"/>
        </w:trPr>
        <w:tc>
          <w:tcPr>
            <w:tcW w:w="8553" w:type="dxa"/>
            <w:gridSpan w:val="5"/>
            <w:tcBorders>
              <w:top w:val="nil"/>
              <w:left w:val="nil"/>
              <w:bottom w:val="nil"/>
              <w:right w:val="nil"/>
            </w:tcBorders>
            <w:noWrap w:val="0"/>
            <w:tcMar>
              <w:top w:w="15" w:type="dxa"/>
              <w:left w:w="15" w:type="dxa"/>
              <w:right w:w="15" w:type="dxa"/>
            </w:tcMar>
            <w:vAlign w:val="center"/>
          </w:tcPr>
          <w:p w14:paraId="17ACA2A7">
            <w:pPr>
              <w:jc w:val="center"/>
              <w:rPr>
                <w:rFonts w:hint="default" w:ascii="Nimbus Roman No9 L" w:hAnsi="Nimbus Roman No9 L" w:eastAsia="等线" w:cs="Nimbus Roman No9 L"/>
                <w:b/>
                <w:color w:val="000000"/>
                <w:sz w:val="36"/>
                <w:szCs w:val="36"/>
                <w:highlight w:val="none"/>
              </w:rPr>
            </w:pPr>
            <w:r>
              <w:rPr>
                <w:rFonts w:hint="default" w:ascii="Nimbus Roman No9 L" w:hAnsi="Nimbus Roman No9 L" w:eastAsia="宋体" w:cs="Nimbus Roman No9 L"/>
                <w:b/>
                <w:color w:val="000000"/>
                <w:kern w:val="0"/>
                <w:sz w:val="40"/>
                <w:szCs w:val="40"/>
                <w:highlight w:val="none"/>
                <w:lang w:bidi="ar"/>
              </w:rPr>
              <w:t>技术标定性评审</w:t>
            </w:r>
            <w:r>
              <w:rPr>
                <w:rFonts w:hint="default" w:ascii="Nimbus Roman No9 L" w:hAnsi="Nimbus Roman No9 L" w:eastAsia="宋体" w:cs="Nimbus Roman No9 L"/>
                <w:b/>
                <w:color w:val="000000"/>
                <w:kern w:val="0"/>
                <w:sz w:val="40"/>
                <w:szCs w:val="40"/>
                <w:highlight w:val="none"/>
                <w:lang w:val="en-US" w:eastAsia="zh-CN" w:bidi="ar"/>
              </w:rPr>
              <w:t>汇总</w:t>
            </w:r>
            <w:r>
              <w:rPr>
                <w:rFonts w:hint="default" w:ascii="Nimbus Roman No9 L" w:hAnsi="Nimbus Roman No9 L" w:eastAsia="宋体" w:cs="Nimbus Roman No9 L"/>
                <w:b/>
                <w:color w:val="000000"/>
                <w:kern w:val="0"/>
                <w:sz w:val="40"/>
                <w:szCs w:val="40"/>
                <w:highlight w:val="none"/>
                <w:lang w:bidi="ar"/>
              </w:rPr>
              <w:t>表</w:t>
            </w:r>
          </w:p>
        </w:tc>
      </w:tr>
      <w:tr w14:paraId="6EABFB32">
        <w:tblPrEx>
          <w:tblCellMar>
            <w:top w:w="0" w:type="dxa"/>
            <w:left w:w="0" w:type="dxa"/>
            <w:bottom w:w="0" w:type="dxa"/>
            <w:right w:w="0" w:type="dxa"/>
          </w:tblCellMar>
        </w:tblPrEx>
        <w:trPr>
          <w:trHeight w:val="480" w:hRule="atLeast"/>
          <w:jc w:val="center"/>
        </w:trPr>
        <w:tc>
          <w:tcPr>
            <w:tcW w:w="8553" w:type="dxa"/>
            <w:gridSpan w:val="5"/>
            <w:tcBorders>
              <w:top w:val="nil"/>
              <w:left w:val="nil"/>
              <w:bottom w:val="nil"/>
              <w:right w:val="nil"/>
            </w:tcBorders>
            <w:noWrap w:val="0"/>
            <w:tcMar>
              <w:top w:w="15" w:type="dxa"/>
              <w:left w:w="15" w:type="dxa"/>
              <w:right w:w="15" w:type="dxa"/>
            </w:tcMar>
            <w:vAlign w:val="center"/>
          </w:tcPr>
          <w:p w14:paraId="58D6D41C">
            <w:pPr>
              <w:widowControl/>
              <w:jc w:val="left"/>
              <w:textAlignment w:val="center"/>
              <w:rPr>
                <w:rFonts w:hint="default" w:ascii="Nimbus Roman No9 L" w:hAnsi="Nimbus Roman No9 L" w:eastAsia="等线" w:cs="Nimbus Roman No9 L"/>
                <w:color w:val="000000"/>
                <w:szCs w:val="21"/>
                <w:highlight w:val="none"/>
              </w:rPr>
            </w:pPr>
            <w:r>
              <w:rPr>
                <w:rFonts w:hint="default" w:ascii="Nimbus Roman No9 L" w:hAnsi="Nimbus Roman No9 L" w:eastAsia="宋体" w:cs="Nimbus Roman No9 L"/>
                <w:b/>
                <w:color w:val="000000"/>
                <w:kern w:val="0"/>
                <w:sz w:val="24"/>
                <w:szCs w:val="24"/>
                <w:highlight w:val="none"/>
                <w:lang w:bidi="ar"/>
              </w:rPr>
              <w:t xml:space="preserve">项目名称： </w:t>
            </w:r>
          </w:p>
        </w:tc>
      </w:tr>
      <w:tr w14:paraId="5C68E5E7">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B4C1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序号</w:t>
            </w: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9ECCC27">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评审项目</w:t>
            </w: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E408603">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评审内容</w:t>
            </w:r>
          </w:p>
        </w:tc>
        <w:tc>
          <w:tcPr>
            <w:tcW w:w="210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46E07FC">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优点</w:t>
            </w:r>
          </w:p>
        </w:tc>
        <w:tc>
          <w:tcPr>
            <w:tcW w:w="234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F84147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Nimbus Roman No9 L" w:hAnsi="Nimbus Roman No9 L" w:eastAsia="宋体" w:cs="Nimbus Roman No9 L"/>
                <w:color w:val="000000"/>
                <w:sz w:val="24"/>
                <w:highlight w:val="none"/>
              </w:rPr>
            </w:pPr>
            <w:r>
              <w:rPr>
                <w:rFonts w:hint="default" w:ascii="Nimbus Roman No9 L" w:hAnsi="Nimbus Roman No9 L" w:eastAsia="宋体" w:cs="Nimbus Roman No9 L"/>
                <w:color w:val="000000"/>
                <w:kern w:val="0"/>
                <w:sz w:val="24"/>
                <w:highlight w:val="none"/>
                <w:lang w:bidi="ar"/>
              </w:rPr>
              <w:t>存在缺陷或签订合同前应注意和澄清事项</w:t>
            </w:r>
          </w:p>
        </w:tc>
      </w:tr>
      <w:tr w14:paraId="6A17AE8D">
        <w:tblPrEx>
          <w:tblCellMar>
            <w:top w:w="0" w:type="dxa"/>
            <w:left w:w="0" w:type="dxa"/>
            <w:bottom w:w="0" w:type="dxa"/>
            <w:right w:w="0" w:type="dxa"/>
          </w:tblCellMar>
        </w:tblPrEx>
        <w:trPr>
          <w:trHeight w:val="56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1F1F6">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01612CA">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404203A9">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10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B3D3712">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34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C542D22">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r>
      <w:tr w14:paraId="3DAD785C">
        <w:tblPrEx>
          <w:tblCellMar>
            <w:top w:w="0" w:type="dxa"/>
            <w:left w:w="0" w:type="dxa"/>
            <w:bottom w:w="0" w:type="dxa"/>
            <w:right w:w="0" w:type="dxa"/>
          </w:tblCellMar>
        </w:tblPrEx>
        <w:trPr>
          <w:trHeight w:val="56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80434">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30ED196">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CCD8AC0">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10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1B5175F">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34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7EEA0C7">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r>
      <w:tr w14:paraId="09F8BF1B">
        <w:tblPrEx>
          <w:tblCellMar>
            <w:top w:w="0" w:type="dxa"/>
            <w:left w:w="0" w:type="dxa"/>
            <w:bottom w:w="0" w:type="dxa"/>
            <w:right w:w="0" w:type="dxa"/>
          </w:tblCellMar>
        </w:tblPrEx>
        <w:trPr>
          <w:trHeight w:val="56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4294C">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4462BCE0">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61AB59ED">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10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BA3B099">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34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E451F3F">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r>
      <w:tr w14:paraId="59F0C94F">
        <w:tblPrEx>
          <w:tblCellMar>
            <w:top w:w="0" w:type="dxa"/>
            <w:left w:w="0" w:type="dxa"/>
            <w:bottom w:w="0" w:type="dxa"/>
            <w:right w:w="0" w:type="dxa"/>
          </w:tblCellMar>
        </w:tblPrEx>
        <w:trPr>
          <w:trHeight w:val="56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AFC18">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4B6D35C">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1515"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22C3CD9">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10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9E4E36B">
            <w:pPr>
              <w:keepNext w:val="0"/>
              <w:keepLines w:val="0"/>
              <w:pageBreakBefore w:val="0"/>
              <w:kinsoku/>
              <w:wordWrap/>
              <w:overflowPunct/>
              <w:topLinePunct w:val="0"/>
              <w:autoSpaceDE/>
              <w:autoSpaceDN/>
              <w:bidi w:val="0"/>
              <w:adjustRightInd/>
              <w:snapToGrid/>
              <w:spacing w:line="400" w:lineRule="exact"/>
              <w:jc w:val="left"/>
              <w:rPr>
                <w:rFonts w:hint="default" w:ascii="Nimbus Roman No9 L" w:hAnsi="Nimbus Roman No9 L" w:eastAsia="宋体" w:cs="Nimbus Roman No9 L"/>
                <w:color w:val="000000"/>
                <w:sz w:val="24"/>
                <w:highlight w:val="none"/>
              </w:rPr>
            </w:pPr>
          </w:p>
        </w:tc>
        <w:tc>
          <w:tcPr>
            <w:tcW w:w="2343"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D913820">
            <w:pPr>
              <w:keepNext w:val="0"/>
              <w:keepLines w:val="0"/>
              <w:pageBreakBefore w:val="0"/>
              <w:kinsoku/>
              <w:wordWrap/>
              <w:overflowPunct/>
              <w:topLinePunct w:val="0"/>
              <w:autoSpaceDE/>
              <w:autoSpaceDN/>
              <w:bidi w:val="0"/>
              <w:adjustRightInd/>
              <w:snapToGrid/>
              <w:spacing w:line="400" w:lineRule="exact"/>
              <w:jc w:val="center"/>
              <w:rPr>
                <w:rFonts w:hint="default" w:ascii="Nimbus Roman No9 L" w:hAnsi="Nimbus Roman No9 L" w:eastAsia="宋体" w:cs="Nimbus Roman No9 L"/>
                <w:color w:val="000000"/>
                <w:sz w:val="24"/>
                <w:highlight w:val="none"/>
              </w:rPr>
            </w:pPr>
          </w:p>
        </w:tc>
      </w:tr>
      <w:tr w14:paraId="726BEDA2">
        <w:tblPrEx>
          <w:tblCellMar>
            <w:top w:w="0" w:type="dxa"/>
            <w:left w:w="0" w:type="dxa"/>
            <w:bottom w:w="0" w:type="dxa"/>
            <w:right w:w="0" w:type="dxa"/>
          </w:tblCellMar>
        </w:tblPrEx>
        <w:trPr>
          <w:trHeight w:val="560" w:hRule="atLeast"/>
          <w:jc w:val="center"/>
        </w:trPr>
        <w:tc>
          <w:tcPr>
            <w:tcW w:w="8553" w:type="dxa"/>
            <w:gridSpan w:val="5"/>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A3032D1">
            <w:pPr>
              <w:keepNext w:val="0"/>
              <w:keepLines w:val="0"/>
              <w:pageBreakBefore w:val="0"/>
              <w:widowControl/>
              <w:kinsoku/>
              <w:wordWrap/>
              <w:overflowPunct/>
              <w:topLinePunct w:val="0"/>
              <w:autoSpaceDE/>
              <w:autoSpaceDN/>
              <w:bidi w:val="0"/>
              <w:adjustRightInd/>
              <w:snapToGrid/>
              <w:spacing w:line="400" w:lineRule="exact"/>
              <w:jc w:val="left"/>
              <w:textAlignment w:val="center"/>
              <w:rPr>
                <w:rFonts w:hint="default" w:ascii="Nimbus Roman No9 L" w:hAnsi="Nimbus Roman No9 L" w:eastAsia="宋体" w:cs="Nimbus Roman No9 L"/>
                <w:color w:val="000000"/>
                <w:sz w:val="20"/>
                <w:szCs w:val="20"/>
                <w:highlight w:val="none"/>
              </w:rPr>
            </w:pPr>
            <w:r>
              <w:rPr>
                <w:rFonts w:hint="default" w:ascii="Nimbus Roman No9 L" w:hAnsi="Nimbus Roman No9 L" w:eastAsia="宋体" w:cs="Nimbus Roman No9 L"/>
                <w:i w:val="0"/>
                <w:color w:val="000000"/>
                <w:kern w:val="0"/>
                <w:sz w:val="22"/>
                <w:szCs w:val="22"/>
                <w:highlight w:val="none"/>
                <w:lang w:val="en-US" w:eastAsia="zh-CN" w:bidi="ar"/>
              </w:rPr>
              <w:t>评标委员会签字：</w:t>
            </w:r>
          </w:p>
        </w:tc>
      </w:tr>
      <w:tr w14:paraId="69810F42">
        <w:tblPrEx>
          <w:tblCellMar>
            <w:top w:w="0" w:type="dxa"/>
            <w:left w:w="0" w:type="dxa"/>
            <w:bottom w:w="0" w:type="dxa"/>
            <w:right w:w="0" w:type="dxa"/>
          </w:tblCellMar>
        </w:tblPrEx>
        <w:trPr>
          <w:trHeight w:val="270" w:hRule="atLeast"/>
          <w:jc w:val="center"/>
        </w:trPr>
        <w:tc>
          <w:tcPr>
            <w:tcW w:w="8553" w:type="dxa"/>
            <w:gridSpan w:val="5"/>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77C173">
            <w:pPr>
              <w:keepNext w:val="0"/>
              <w:keepLines w:val="0"/>
              <w:pageBreakBefore w:val="0"/>
              <w:kinsoku/>
              <w:wordWrap/>
              <w:overflowPunct/>
              <w:topLinePunct w:val="0"/>
              <w:autoSpaceDE/>
              <w:autoSpaceDN/>
              <w:bidi w:val="0"/>
              <w:adjustRightInd/>
              <w:snapToGrid/>
              <w:spacing w:line="400" w:lineRule="exact"/>
              <w:rPr>
                <w:rFonts w:hint="default" w:ascii="Nimbus Roman No9 L" w:hAnsi="Nimbus Roman No9 L" w:eastAsia="宋体" w:cs="Nimbus Roman No9 L"/>
                <w:color w:val="000000"/>
                <w:sz w:val="22"/>
                <w:szCs w:val="22"/>
                <w:highlight w:val="none"/>
              </w:rPr>
            </w:pPr>
            <w:r>
              <w:rPr>
                <w:rFonts w:hint="default" w:ascii="Nimbus Roman No9 L" w:hAnsi="Nimbus Roman No9 L" w:eastAsia="宋体" w:cs="Nimbus Roman No9 L"/>
                <w:i w:val="0"/>
                <w:color w:val="000000"/>
                <w:kern w:val="0"/>
                <w:sz w:val="22"/>
                <w:szCs w:val="22"/>
                <w:highlight w:val="none"/>
                <w:lang w:val="en-US" w:eastAsia="zh-CN" w:bidi="ar"/>
              </w:rPr>
              <w:t>注：由评标委员会组长组织评标委员会成员</w:t>
            </w:r>
            <w:r>
              <w:rPr>
                <w:rFonts w:hint="default" w:ascii="Nimbus Roman No9 L" w:hAnsi="Nimbus Roman No9 L" w:cs="Nimbus Roman No9 L"/>
                <w:i w:val="0"/>
                <w:color w:val="000000"/>
                <w:kern w:val="0"/>
                <w:sz w:val="22"/>
                <w:szCs w:val="22"/>
                <w:highlight w:val="none"/>
                <w:lang w:val="en-US" w:eastAsia="zh-CN" w:bidi="ar"/>
              </w:rPr>
              <w:t>根据每</w:t>
            </w:r>
            <w:r>
              <w:rPr>
                <w:rFonts w:hint="default" w:ascii="Nimbus Roman No9 L" w:hAnsi="Nimbus Roman No9 L" w:eastAsia="宋体" w:cs="Nimbus Roman No9 L"/>
                <w:i w:val="0"/>
                <w:color w:val="000000"/>
                <w:kern w:val="0"/>
                <w:sz w:val="22"/>
                <w:szCs w:val="22"/>
                <w:highlight w:val="none"/>
                <w:lang w:val="en-US" w:eastAsia="zh-CN" w:bidi="ar"/>
              </w:rPr>
              <w:t>个评委</w:t>
            </w:r>
            <w:r>
              <w:rPr>
                <w:rFonts w:hint="default" w:ascii="Nimbus Roman No9 L" w:hAnsi="Nimbus Roman No9 L" w:cs="Nimbus Roman No9 L"/>
                <w:i w:val="0"/>
                <w:color w:val="000000"/>
                <w:kern w:val="0"/>
                <w:sz w:val="22"/>
                <w:szCs w:val="22"/>
                <w:highlight w:val="none"/>
                <w:lang w:val="en-US" w:eastAsia="zh-CN" w:bidi="ar"/>
              </w:rPr>
              <w:t>对投标企业</w:t>
            </w:r>
            <w:r>
              <w:rPr>
                <w:rFonts w:hint="default" w:ascii="Nimbus Roman No9 L" w:hAnsi="Nimbus Roman No9 L" w:eastAsia="宋体" w:cs="Nimbus Roman No9 L"/>
                <w:i w:val="0"/>
                <w:color w:val="000000"/>
                <w:kern w:val="0"/>
                <w:sz w:val="22"/>
                <w:szCs w:val="22"/>
                <w:highlight w:val="none"/>
                <w:lang w:val="en-US" w:eastAsia="zh-CN" w:bidi="ar"/>
              </w:rPr>
              <w:t>技术标定性评审</w:t>
            </w:r>
            <w:r>
              <w:rPr>
                <w:rFonts w:hint="default" w:ascii="Nimbus Roman No9 L" w:hAnsi="Nimbus Roman No9 L" w:cs="Nimbus Roman No9 L"/>
                <w:i w:val="0"/>
                <w:color w:val="000000"/>
                <w:kern w:val="0"/>
                <w:sz w:val="22"/>
                <w:szCs w:val="22"/>
                <w:highlight w:val="none"/>
                <w:lang w:val="en-US" w:eastAsia="zh-CN" w:bidi="ar"/>
              </w:rPr>
              <w:t>意见情况</w:t>
            </w:r>
            <w:r>
              <w:rPr>
                <w:rFonts w:hint="default" w:ascii="Nimbus Roman No9 L" w:hAnsi="Nimbus Roman No9 L" w:eastAsia="宋体" w:cs="Nimbus Roman No9 L"/>
                <w:i w:val="0"/>
                <w:color w:val="000000"/>
                <w:kern w:val="0"/>
                <w:sz w:val="22"/>
                <w:szCs w:val="22"/>
                <w:highlight w:val="none"/>
                <w:lang w:val="en-US" w:eastAsia="zh-CN" w:bidi="ar"/>
              </w:rPr>
              <w:t>汇总评审</w:t>
            </w:r>
            <w:r>
              <w:rPr>
                <w:rFonts w:hint="default" w:ascii="Nimbus Roman No9 L" w:hAnsi="Nimbus Roman No9 L" w:cs="Nimbus Roman No9 L"/>
                <w:i w:val="0"/>
                <w:color w:val="000000"/>
                <w:kern w:val="0"/>
                <w:sz w:val="22"/>
                <w:szCs w:val="22"/>
                <w:highlight w:val="none"/>
                <w:lang w:val="en-US" w:eastAsia="zh-CN" w:bidi="ar"/>
              </w:rPr>
              <w:t>意见</w:t>
            </w:r>
            <w:r>
              <w:rPr>
                <w:rFonts w:hint="default" w:ascii="Nimbus Roman No9 L" w:hAnsi="Nimbus Roman No9 L" w:eastAsia="宋体" w:cs="Nimbus Roman No9 L"/>
                <w:i w:val="0"/>
                <w:color w:val="000000"/>
                <w:kern w:val="0"/>
                <w:sz w:val="22"/>
                <w:szCs w:val="22"/>
                <w:highlight w:val="none"/>
                <w:lang w:val="en-US" w:eastAsia="zh-CN" w:bidi="ar"/>
              </w:rPr>
              <w:t>。</w:t>
            </w:r>
          </w:p>
        </w:tc>
      </w:tr>
    </w:tbl>
    <w:p w14:paraId="7449C2F4">
      <w:pPr>
        <w:pStyle w:val="8"/>
        <w:bidi w:val="0"/>
        <w:spacing w:line="480" w:lineRule="exact"/>
        <w:rPr>
          <w:rFonts w:ascii="Nimbus Roman No9 L" w:hAnsi="Nimbus Roman No9 L" w:eastAsia="仿宋_GB2312" w:cs="Nimbus Roman No9 L"/>
          <w:sz w:val="32"/>
          <w:szCs w:val="32"/>
          <w:highlight w:val="none"/>
        </w:rPr>
        <w:sectPr>
          <w:pgSz w:w="11906" w:h="16838"/>
          <w:pgMar w:top="1531" w:right="1531" w:bottom="1417"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40E8CF79">
      <w:pPr>
        <w:pStyle w:val="8"/>
        <w:bidi w:val="0"/>
        <w:spacing w:line="480" w:lineRule="exact"/>
        <w:rPr>
          <w:rFonts w:ascii="Nimbus Roman No9 L" w:hAnsi="Nimbus Roman No9 L" w:eastAsia="仿宋_GB2312" w:cs="Nimbus Roman No9 L"/>
          <w:sz w:val="32"/>
          <w:szCs w:val="32"/>
          <w:highlight w:val="none"/>
        </w:rPr>
      </w:pPr>
    </w:p>
    <w:sectPr>
      <w:footerReference r:id="rId4" w:type="default"/>
      <w:pgSz w:w="11906" w:h="16838"/>
      <w:pgMar w:top="2098" w:right="1531" w:bottom="1984"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49110E2-36E7-451A-83A3-97D7F104195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E2020EF-A053-4B77-AC36-F8D15E52529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C2B4D88-4987-433F-ABC0-58CDC711AD80}"/>
  </w:font>
  <w:font w:name="仿宋_GB2312">
    <w:panose1 w:val="02010609030101010101"/>
    <w:charset w:val="86"/>
    <w:family w:val="auto"/>
    <w:pitch w:val="default"/>
    <w:sig w:usb0="00000001" w:usb1="080E0000" w:usb2="00000000" w:usb3="00000000" w:csb0="00040000" w:csb1="00000000"/>
    <w:embedRegular r:id="rId4" w:fontKey="{2F70B9C6-E6A7-4F90-9A5E-2DCB463141BA}"/>
  </w:font>
  <w:font w:name="Nimbus Roman No9 L">
    <w:altName w:val="宋体"/>
    <w:panose1 w:val="00000000000000000000"/>
    <w:charset w:val="00"/>
    <w:family w:val="auto"/>
    <w:pitch w:val="default"/>
    <w:sig w:usb0="00000000" w:usb1="00000000" w:usb2="00000000" w:usb3="00000000" w:csb0="00040001" w:csb1="00000000"/>
    <w:embedRegular r:id="rId5" w:fontKey="{06151CAD-8627-447C-B52C-FF1E63B4A4C4}"/>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6" w:fontKey="{C021D9CC-4036-4CD9-BBFA-EAFCA3F1362B}"/>
  </w:font>
  <w:font w:name="楷体">
    <w:panose1 w:val="02010609060101010101"/>
    <w:charset w:val="86"/>
    <w:family w:val="modern"/>
    <w:pitch w:val="default"/>
    <w:sig w:usb0="800002BF" w:usb1="38CF7CFA" w:usb2="00000016" w:usb3="00000000" w:csb0="00040001" w:csb1="00000000"/>
    <w:embedRegular r:id="rId7" w:fontKey="{A1FF58A0-2396-45DC-B17E-13248A427CF6}"/>
  </w:font>
  <w:font w:name="微软雅黑">
    <w:panose1 w:val="020B0503020204020204"/>
    <w:charset w:val="86"/>
    <w:family w:val="auto"/>
    <w:pitch w:val="default"/>
    <w:sig w:usb0="80000287" w:usb1="2ACF3C50" w:usb2="00000016" w:usb3="00000000" w:csb0="0004001F" w:csb1="00000000"/>
    <w:embedRegular r:id="rId8" w:fontKey="{3337815D-CD5F-4BE4-AB4E-EC4699A63532}"/>
  </w:font>
  <w:font w:name="方正公文小标宋">
    <w:panose1 w:val="02000500000000000000"/>
    <w:charset w:val="86"/>
    <w:family w:val="auto"/>
    <w:pitch w:val="default"/>
    <w:sig w:usb0="A00002BF" w:usb1="38CF7CFA" w:usb2="00000016" w:usb3="00000000" w:csb0="00040001" w:csb1="00000000"/>
    <w:embedRegular r:id="rId9" w:fontKey="{B8DA70C9-7065-482C-BB18-D7B571FB936F}"/>
  </w:font>
  <w:font w:name="等线">
    <w:panose1 w:val="02010600030101010101"/>
    <w:charset w:val="86"/>
    <w:family w:val="auto"/>
    <w:pitch w:val="default"/>
    <w:sig w:usb0="A00002BF" w:usb1="38CF7CFA" w:usb2="00000016" w:usb3="00000000" w:csb0="0004000F" w:csb1="00000000"/>
    <w:embedRegular r:id="rId10" w:fontKey="{1D68C388-CD0B-4EEB-BB95-B225B7B2A7EE}"/>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16E4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-328930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8B50ADD">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25.9pt;height:144pt;width:144pt;mso-position-horizontal:outside;mso-position-horizontal-relative:margin;mso-wrap-style:none;z-index:251659264;mso-width-relative:page;mso-height-relative:page;" filled="f" stroked="f" coordsize="21600,21600" o:gfxdata="UEsDBAoAAAAAAIdO4kAAAAAAAAAAAAAAAAAEAAAAZHJzL1BLAwQUAAAACACHTuJALb8LAt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2/CwLWAAAA&#10;CAEAAA8AAAAAAAAAAQAgAAAAIgAAAGRycy9kb3ducmV2LnhtbFBLAQIUABQAAAAIAIdO4kDuVCfm&#10;5gEAAMcDAAAOAAAAAAAAAAEAIAAAACUBAABkcnMvZTJvRG9jLnhtbFBLBQYAAAAABgAGAFkBAAB9&#10;BQAAAAA=&#10;">
              <v:fill on="f" focussize="0,0"/>
              <v:stroke on="f" weight="0.5pt"/>
              <v:imagedata o:title=""/>
              <o:lock v:ext="edit" aspectratio="f"/>
              <v:textbox inset="0mm,0mm,0mm,0mm" style="mso-fit-shape-to-text:t;">
                <w:txbxContent>
                  <w:p w14:paraId="68B50ADD">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CFC37">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-328930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6B73A29">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25.9pt;height:144pt;width:144pt;mso-position-horizontal:outside;mso-position-horizontal-relative:margin;mso-wrap-style:none;z-index:251660288;mso-width-relative:page;mso-height-relative:page;" filled="f" stroked="f" coordsize="21600,21600" o:gfxdata="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tvwsC1gAA&#10;AAgBAAAPAAAAAAAAAAEAIAAAACIAAABkcnMvZG93bnJldi54bWxQSwECFAAUAAAACACHTuJAMEIB&#10;h+cBAADHAwAADgAAAAAAAAABACAAAAAlAQAAZHJzL2Uyb0RvYy54bWxQSwUGAAAAAAYABgBZAQAA&#10;fgUAAAAA&#10;">
              <v:fill on="f" focussize="0,0"/>
              <v:stroke on="f" weight="0.5pt"/>
              <v:imagedata o:title=""/>
              <o:lock v:ext="edit" aspectratio="f"/>
              <v:textbox inset="0mm,0mm,0mm,0mm" style="mso-fit-shape-to-text:t;">
                <w:txbxContent>
                  <w:p w14:paraId="46B73A29">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7DED31"/>
    <w:multiLevelType w:val="singleLevel"/>
    <w:tmpl w:val="217DED3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NDNiOGYwYmE3ZmNkNDZhOWFkODRiN2I1NjIxMjEifQ=="/>
  </w:docVars>
  <w:rsids>
    <w:rsidRoot w:val="4BF952DF"/>
    <w:rsid w:val="01D97791"/>
    <w:rsid w:val="07131A79"/>
    <w:rsid w:val="099336CA"/>
    <w:rsid w:val="0C206F52"/>
    <w:rsid w:val="0C2A099E"/>
    <w:rsid w:val="14436755"/>
    <w:rsid w:val="162F457B"/>
    <w:rsid w:val="18B146E3"/>
    <w:rsid w:val="1A2406EC"/>
    <w:rsid w:val="1A8C3900"/>
    <w:rsid w:val="1D7E2FF4"/>
    <w:rsid w:val="20027D40"/>
    <w:rsid w:val="2EB84F76"/>
    <w:rsid w:val="33123327"/>
    <w:rsid w:val="3B763B5F"/>
    <w:rsid w:val="3CCD49EA"/>
    <w:rsid w:val="3D6A288A"/>
    <w:rsid w:val="422A1AAD"/>
    <w:rsid w:val="47F457FD"/>
    <w:rsid w:val="489D741A"/>
    <w:rsid w:val="48E872EB"/>
    <w:rsid w:val="4B3C4B0D"/>
    <w:rsid w:val="4BF952DF"/>
    <w:rsid w:val="54907F63"/>
    <w:rsid w:val="57FF2514"/>
    <w:rsid w:val="5E3B1D24"/>
    <w:rsid w:val="5F6ACC59"/>
    <w:rsid w:val="67FF5CF7"/>
    <w:rsid w:val="6C0F1C15"/>
    <w:rsid w:val="70187047"/>
    <w:rsid w:val="7DA27FCE"/>
    <w:rsid w:val="9E747932"/>
    <w:rsid w:val="CF312D43"/>
    <w:rsid w:val="D7FF7D54"/>
    <w:rsid w:val="DCFC5708"/>
    <w:rsid w:val="ED53889C"/>
    <w:rsid w:val="F458AF2F"/>
    <w:rsid w:val="FDFFA794"/>
    <w:rsid w:val="FE4E2954"/>
    <w:rsid w:val="FF7BE0EA"/>
    <w:rsid w:val="FFBA83A0"/>
    <w:rsid w:val="FFDB1E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0"/>
    <w:pPr>
      <w:adjustRightInd w:val="0"/>
      <w:spacing w:line="360" w:lineRule="atLeast"/>
      <w:ind w:firstLine="420"/>
      <w:textAlignment w:val="baseline"/>
    </w:pPr>
    <w:rPr>
      <w:rFonts w:ascii="Times New Roman" w:hAnsi="Times New Roman" w:eastAsia="宋体" w:cs="Times New Roman"/>
    </w:rPr>
  </w:style>
  <w:style w:type="paragraph" w:styleId="3">
    <w:name w:val="index 5"/>
    <w:basedOn w:val="1"/>
    <w:next w:val="1"/>
    <w:autoRedefine/>
    <w:qFormat/>
    <w:uiPriority w:val="0"/>
    <w:pPr>
      <w:widowControl w:val="0"/>
      <w:ind w:left="1680"/>
      <w:jc w:val="both"/>
    </w:pPr>
    <w:rPr>
      <w:rFonts w:ascii="Calibri" w:hAnsi="Calibri" w:eastAsia="宋体" w:cs="Times New Roman"/>
      <w:kern w:val="2"/>
      <w:sz w:val="21"/>
      <w:szCs w:val="24"/>
      <w:lang w:val="en-US" w:eastAsia="zh-CN" w:bidi="ar-SA"/>
    </w:rPr>
  </w:style>
  <w:style w:type="paragraph" w:styleId="4">
    <w:name w:val="annotation text"/>
    <w:basedOn w:val="1"/>
    <w:qFormat/>
    <w:uiPriority w:val="0"/>
    <w:pPr>
      <w:jc w:val="left"/>
    </w:pPr>
  </w:style>
  <w:style w:type="paragraph" w:styleId="5">
    <w:name w:val="Body Text"/>
    <w:basedOn w:val="1"/>
    <w:next w:val="6"/>
    <w:qFormat/>
    <w:uiPriority w:val="0"/>
    <w:pPr>
      <w:spacing w:after="120"/>
    </w:pPr>
  </w:style>
  <w:style w:type="paragraph" w:styleId="6">
    <w:name w:val="Body Text First Indent"/>
    <w:basedOn w:val="5"/>
    <w:next w:val="5"/>
    <w:autoRedefine/>
    <w:qFormat/>
    <w:uiPriority w:val="0"/>
    <w:pPr>
      <w:spacing w:after="120"/>
      <w:ind w:firstLine="420" w:firstLineChars="100"/>
    </w:pPr>
    <w:rPr>
      <w:sz w:val="30"/>
    </w:rPr>
  </w:style>
  <w:style w:type="paragraph" w:styleId="7">
    <w:name w:val="Body Text Indent"/>
    <w:basedOn w:val="1"/>
    <w:next w:val="8"/>
    <w:autoRedefine/>
    <w:qFormat/>
    <w:uiPriority w:val="99"/>
    <w:pPr>
      <w:spacing w:after="120"/>
      <w:ind w:left="420" w:leftChars="200"/>
    </w:pPr>
  </w:style>
  <w:style w:type="paragraph" w:styleId="8">
    <w:name w:val="Normal (Web)"/>
    <w:basedOn w:val="1"/>
    <w:next w:val="1"/>
    <w:autoRedefine/>
    <w:qFormat/>
    <w:uiPriority w:val="0"/>
    <w:rPr>
      <w:sz w:val="24"/>
    </w:rPr>
  </w:style>
  <w:style w:type="paragraph" w:styleId="9">
    <w:name w:val="footer"/>
    <w:basedOn w:val="1"/>
    <w:next w:val="3"/>
    <w:autoRedefine/>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2"/>
    <w:basedOn w:val="7"/>
    <w:autoRedefine/>
    <w:qFormat/>
    <w:uiPriority w:val="99"/>
    <w:pPr>
      <w:ind w:firstLine="420" w:firstLineChars="200"/>
    </w:pPr>
  </w:style>
  <w:style w:type="table" w:styleId="13">
    <w:name w:val="Table Grid"/>
    <w:basedOn w:val="12"/>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p0"/>
    <w:basedOn w:val="1"/>
    <w:autoRedefine/>
    <w:qFormat/>
    <w:uiPriority w:val="0"/>
    <w:pPr>
      <w:widowControl/>
    </w:pPr>
    <w:rPr>
      <w:rFonts w:ascii="Calibri" w:hAnsi="Calibri" w:cs="宋体"/>
      <w:kern w:val="0"/>
      <w:szCs w:val="21"/>
    </w:rPr>
  </w:style>
  <w:style w:type="paragraph" w:customStyle="1" w:styleId="16">
    <w:name w:val="Table Paragraph"/>
    <w:basedOn w:val="1"/>
    <w:autoRedefine/>
    <w:qFormat/>
    <w:uiPriority w:val="1"/>
    <w:rPr>
      <w:rFonts w:ascii="宋体" w:hAnsi="宋体" w:eastAsia="宋体" w:cs="宋体"/>
      <w:lang w:val="zh-CN" w:eastAsia="zh-CN" w:bidi="zh-CN"/>
    </w:rPr>
  </w:style>
  <w:style w:type="paragraph" w:customStyle="1" w:styleId="17">
    <w:name w:val="table of authorities"/>
    <w:next w:val="1"/>
    <w:autoRedefine/>
    <w:qFormat/>
    <w:uiPriority w:val="0"/>
    <w:pPr>
      <w:widowControl w:val="0"/>
      <w:spacing w:before="0" w:beforeLines="0" w:after="0" w:afterLines="0"/>
      <w:ind w:left="420" w:leftChars="200" w:right="0"/>
      <w:jc w:val="both"/>
    </w:pPr>
    <w:rPr>
      <w:rFonts w:ascii="Calibri" w:hAnsi="Calibri" w:eastAsia="宋体"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b6deacc8-30ca-44db-883a-4475b2d8c68c</errorID>
      <errorWord>标示</errorWord>
      <group>L1_Word</group>
      <groupName>字词问题</groupName>
      <ability>L2_Typo</ability>
      <abilityName>字词错误</abilityName>
      <candidateList>
        <item>标识</item>
      </candidateList>
      <explain>存在发音相同字词的误用。</explain>
      <paraID>39C138D6</paraID>
      <start>135</start>
      <end>137</end>
      <status>ignored</status>
      <modifiedWord/>
      <trackRevisions>false</trackRevisions>
    </reviewItem>
    <reviewItem>
      <errorID>7a9e9474-acb5-491d-99d3-6c0619bfbb12</errorID>
      <errorWord>标示</errorWord>
      <group>L1_Word</group>
      <groupName>字词问题</groupName>
      <ability>L2_Typo</ability>
      <abilityName>字词错误</abilityName>
      <candidateList>
        <item>标识</item>
      </candidateList>
      <explain>存在发音相同字词的误用。</explain>
      <paraID>6A60812F</paraID>
      <start>67</start>
      <end>69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d890fc-6994-4e45-afa6-c3d30e979ac4}">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19002</Words>
  <Characters>19788</Characters>
  <Lines>0</Lines>
  <Paragraphs>0</Paragraphs>
  <TotalTime>1</TotalTime>
  <ScaleCrop>false</ScaleCrop>
  <LinksUpToDate>false</LinksUpToDate>
  <CharactersWithSpaces>20072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2023-12-17T03:05:00Z</dcterms:created>
  <dc:creator>greatwall</dc:creator>
  <cp:lastModifiedBy>.ysFrk</cp:lastModifiedBy>
  <cp:lastPrinted>2025-10-14T15:40:00Z</cp:lastPrinted>
  <dcterms:modified xsi:type="dcterms:W3CDTF">2026-07-30T09:30:16Z</dcterms:modified>
  <dc:title>关于印发《新疆维吾尔自治区房屋建筑</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5754668CBAF74B378A060738411F7849_13</vt:lpwstr>
  </property>
  <property fmtid="{D5CDD505-2E9C-101B-9397-08002B2CF9AE}" pid="4" name="KSOTemplateDocerSaveRecord">
    <vt:lpwstr>eyJoZGlkIjoiNTMzNzcyNzZmYzNiN2RhZDk2YzhiOTEyMTgzMGJmMTIiLCJ1c2VySWQiOiI0NjEwMjA3NjEifQ==</vt:lpwstr>
  </property>
</Properties>
</file>