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A91AC">
      <w:pPr>
        <w:rPr>
          <w:rFonts w:hint="default" w:ascii="黑体" w:hAnsi="黑体" w:eastAsia="黑体" w:cs="黑体"/>
          <w:i w:val="0"/>
          <w:iCs w:val="0"/>
          <w:caps w:val="0"/>
          <w:color w:val="333333"/>
          <w:spacing w:val="0"/>
          <w:sz w:val="32"/>
          <w:szCs w:val="32"/>
          <w:shd w:val="clear" w:color="auto" w:fill="auto"/>
          <w:lang w:val="en-US" w:eastAsia="zh-CN"/>
        </w:rPr>
      </w:pPr>
      <w:bookmarkStart w:id="0" w:name="_GoBack"/>
      <w:bookmarkEnd w:id="0"/>
      <w:r>
        <w:rPr>
          <w:rFonts w:hint="eastAsia" w:ascii="黑体" w:hAnsi="黑体" w:eastAsia="黑体" w:cs="黑体"/>
          <w:i w:val="0"/>
          <w:iCs w:val="0"/>
          <w:caps w:val="0"/>
          <w:color w:val="333333"/>
          <w:spacing w:val="0"/>
          <w:sz w:val="32"/>
          <w:szCs w:val="32"/>
          <w:shd w:val="clear" w:color="auto" w:fill="auto"/>
          <w:lang w:val="en-US" w:eastAsia="zh-CN"/>
        </w:rPr>
        <w:t>附件1</w:t>
      </w:r>
    </w:p>
    <w:p w14:paraId="1F4C9DE2">
      <w:pPr>
        <w:rPr>
          <w:rFonts w:hint="eastAsia" w:ascii="黑体" w:hAnsi="黑体" w:eastAsia="黑体" w:cs="黑体"/>
          <w:i w:val="0"/>
          <w:iCs w:val="0"/>
          <w:caps w:val="0"/>
          <w:color w:val="333333"/>
          <w:spacing w:val="0"/>
          <w:sz w:val="32"/>
          <w:szCs w:val="32"/>
          <w:shd w:val="clear" w:color="auto" w:fill="auto"/>
          <w:lang w:val="en-US" w:eastAsia="zh-CN"/>
        </w:rPr>
      </w:pPr>
    </w:p>
    <w:p w14:paraId="12BBBBFD">
      <w:pPr>
        <w:keepNext w:val="0"/>
        <w:keepLines w:val="0"/>
        <w:pageBreakBefore w:val="0"/>
        <w:widowControl w:val="0"/>
        <w:kinsoku/>
        <w:wordWrap/>
        <w:overflowPunct/>
        <w:topLinePunct w:val="0"/>
        <w:autoSpaceDE/>
        <w:autoSpaceDN/>
        <w:bidi w:val="0"/>
        <w:adjustRightInd/>
        <w:snapToGrid w:val="0"/>
        <w:spacing w:line="560" w:lineRule="exact"/>
        <w:ind w:left="0"/>
        <w:jc w:val="center"/>
        <w:textAlignment w:val="auto"/>
        <w:rPr>
          <w:rFonts w:hint="default" w:ascii="Times New Roman" w:hAnsi="Times New Roman" w:eastAsia="方正小标宋简体" w:cs="Times New Roman"/>
          <w:i w:val="0"/>
          <w:iCs w:val="0"/>
          <w:caps w:val="0"/>
          <w:color w:val="333333"/>
          <w:spacing w:val="0"/>
          <w:sz w:val="44"/>
          <w:szCs w:val="44"/>
          <w:shd w:val="clear" w:color="auto" w:fill="auto"/>
        </w:rPr>
      </w:pPr>
      <w:r>
        <w:rPr>
          <w:rFonts w:hint="default" w:ascii="Times New Roman" w:hAnsi="Times New Roman" w:eastAsia="方正小标宋简体" w:cs="Times New Roman"/>
          <w:i w:val="0"/>
          <w:iCs w:val="0"/>
          <w:caps w:val="0"/>
          <w:color w:val="333333"/>
          <w:spacing w:val="-11"/>
          <w:sz w:val="44"/>
          <w:szCs w:val="44"/>
          <w:shd w:val="clear" w:color="auto" w:fill="auto"/>
        </w:rPr>
        <w:t>新疆维吾尔自治区房屋安全与抗震</w:t>
      </w:r>
      <w:r>
        <w:rPr>
          <w:rFonts w:hint="eastAsia" w:ascii="Times New Roman" w:hAnsi="Times New Roman" w:eastAsia="方正小标宋简体" w:cs="Times New Roman"/>
          <w:i w:val="0"/>
          <w:iCs w:val="0"/>
          <w:caps w:val="0"/>
          <w:color w:val="333333"/>
          <w:spacing w:val="-11"/>
          <w:sz w:val="44"/>
          <w:szCs w:val="44"/>
          <w:shd w:val="clear" w:color="auto" w:fill="auto"/>
          <w:lang w:eastAsia="zh-CN"/>
        </w:rPr>
        <w:t>性能</w:t>
      </w:r>
      <w:r>
        <w:rPr>
          <w:rFonts w:hint="default" w:ascii="Times New Roman" w:hAnsi="Times New Roman" w:eastAsia="方正小标宋简体" w:cs="Times New Roman"/>
          <w:i w:val="0"/>
          <w:iCs w:val="0"/>
          <w:caps w:val="0"/>
          <w:color w:val="333333"/>
          <w:spacing w:val="-11"/>
          <w:sz w:val="44"/>
          <w:szCs w:val="44"/>
          <w:shd w:val="clear" w:color="auto" w:fill="auto"/>
        </w:rPr>
        <w:t>鉴定机构</w:t>
      </w:r>
      <w:r>
        <w:rPr>
          <w:rFonts w:hint="default" w:ascii="Times New Roman" w:hAnsi="Times New Roman" w:eastAsia="方正小标宋简体" w:cs="Times New Roman"/>
          <w:i w:val="0"/>
          <w:iCs w:val="0"/>
          <w:caps w:val="0"/>
          <w:color w:val="333333"/>
          <w:spacing w:val="0"/>
          <w:sz w:val="44"/>
          <w:szCs w:val="44"/>
          <w:shd w:val="clear" w:color="auto" w:fill="auto"/>
        </w:rPr>
        <w:t>信用评价管理办法</w:t>
      </w:r>
    </w:p>
    <w:p w14:paraId="44896CE4">
      <w:pPr>
        <w:keepNext w:val="0"/>
        <w:keepLines w:val="0"/>
        <w:pageBreakBefore w:val="0"/>
        <w:widowControl w:val="0"/>
        <w:kinsoku/>
        <w:wordWrap/>
        <w:overflowPunct/>
        <w:topLinePunct w:val="0"/>
        <w:autoSpaceDE/>
        <w:autoSpaceDN/>
        <w:bidi w:val="0"/>
        <w:adjustRightInd/>
        <w:snapToGrid w:val="0"/>
        <w:spacing w:line="560" w:lineRule="exact"/>
        <w:ind w:left="0"/>
        <w:jc w:val="center"/>
        <w:textAlignment w:val="auto"/>
        <w:rPr>
          <w:rFonts w:hint="default" w:ascii="Times New Roman" w:hAnsi="Times New Roman" w:eastAsia="方正楷体_GB2312" w:cs="Times New Roman"/>
          <w:i w:val="0"/>
          <w:iCs w:val="0"/>
          <w:caps w:val="0"/>
          <w:color w:val="333333"/>
          <w:spacing w:val="0"/>
          <w:sz w:val="32"/>
          <w:szCs w:val="32"/>
          <w:shd w:val="clear" w:color="auto" w:fill="FFFFFF"/>
          <w:lang w:eastAsia="zh-CN"/>
        </w:rPr>
      </w:pPr>
      <w:r>
        <w:rPr>
          <w:rFonts w:hint="default" w:ascii="Times New Roman" w:hAnsi="Times New Roman" w:eastAsia="方正楷体_GB2312" w:cs="Times New Roman"/>
          <w:i w:val="0"/>
          <w:iCs w:val="0"/>
          <w:caps w:val="0"/>
          <w:color w:val="333333"/>
          <w:spacing w:val="0"/>
          <w:sz w:val="32"/>
          <w:szCs w:val="32"/>
          <w:shd w:val="clear" w:color="auto" w:fill="FFFFFF"/>
          <w:lang w:eastAsia="zh-CN"/>
        </w:rPr>
        <w:t>（</w:t>
      </w:r>
      <w:r>
        <w:rPr>
          <w:rFonts w:hint="default" w:ascii="Times New Roman" w:hAnsi="Times New Roman" w:eastAsia="方正楷体_GB2312" w:cs="Times New Roman"/>
          <w:i w:val="0"/>
          <w:iCs w:val="0"/>
          <w:caps w:val="0"/>
          <w:color w:val="333333"/>
          <w:spacing w:val="0"/>
          <w:sz w:val="32"/>
          <w:szCs w:val="32"/>
          <w:shd w:val="clear" w:color="auto" w:fill="FFFFFF"/>
          <w:lang w:val="en-US" w:eastAsia="zh-CN"/>
        </w:rPr>
        <w:t>征求意见稿</w:t>
      </w:r>
      <w:r>
        <w:rPr>
          <w:rFonts w:hint="default" w:ascii="Times New Roman" w:hAnsi="Times New Roman" w:eastAsia="方正楷体_GB2312" w:cs="Times New Roman"/>
          <w:i w:val="0"/>
          <w:iCs w:val="0"/>
          <w:caps w:val="0"/>
          <w:color w:val="333333"/>
          <w:spacing w:val="0"/>
          <w:sz w:val="32"/>
          <w:szCs w:val="32"/>
          <w:shd w:val="clear" w:color="auto" w:fill="FFFFFF"/>
          <w:lang w:eastAsia="zh-CN"/>
        </w:rPr>
        <w:t>）</w:t>
      </w:r>
    </w:p>
    <w:p w14:paraId="50EEF5DF">
      <w:pPr>
        <w:keepNext w:val="0"/>
        <w:keepLines w:val="0"/>
        <w:pageBreakBefore w:val="0"/>
        <w:widowControl w:val="0"/>
        <w:kinsoku/>
        <w:wordWrap/>
        <w:overflowPunct/>
        <w:topLinePunct w:val="0"/>
        <w:autoSpaceDE/>
        <w:autoSpaceDN/>
        <w:bidi w:val="0"/>
        <w:adjustRightInd/>
        <w:snapToGrid w:val="0"/>
        <w:spacing w:line="560" w:lineRule="exact"/>
        <w:ind w:left="0"/>
        <w:jc w:val="center"/>
        <w:textAlignment w:val="auto"/>
        <w:rPr>
          <w:rFonts w:hint="default" w:ascii="Times New Roman" w:hAnsi="Times New Roman" w:eastAsia="方正小标宋_GBK" w:cs="Times New Roman"/>
          <w:i w:val="0"/>
          <w:iCs w:val="0"/>
          <w:caps w:val="0"/>
          <w:color w:val="333333"/>
          <w:spacing w:val="0"/>
          <w:sz w:val="44"/>
          <w:szCs w:val="44"/>
          <w:shd w:val="clear" w:color="auto" w:fill="FFFFFF"/>
        </w:rPr>
      </w:pPr>
    </w:p>
    <w:p w14:paraId="5DE37D99">
      <w:pPr>
        <w:pStyle w:val="12"/>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firstLine="0" w:firstLineChars="0"/>
        <w:jc w:val="center"/>
        <w:textAlignment w:val="auto"/>
        <w:rPr>
          <w:rFonts w:ascii="Times New Roman" w:hAnsi="Times New Roman" w:eastAsia="黑体"/>
          <w:sz w:val="32"/>
          <w:szCs w:val="32"/>
        </w:rPr>
      </w:pPr>
      <w:r>
        <w:rPr>
          <w:rFonts w:hint="default" w:ascii="Times New Roman" w:hAnsi="Times New Roman" w:eastAsia="黑体"/>
          <w:sz w:val="32"/>
          <w:szCs w:val="32"/>
        </w:rPr>
        <w:t>第一章  总 则</w:t>
      </w:r>
    </w:p>
    <w:p w14:paraId="42BAC9E8">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firstLine="643"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b/>
          <w:bCs/>
          <w:color w:val="auto"/>
          <w:sz w:val="32"/>
          <w:szCs w:val="32"/>
          <w:lang w:eastAsia="zh-CN"/>
        </w:rPr>
        <w:t>第一条【目的】</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sz w:val="32"/>
          <w:szCs w:val="32"/>
          <w:shd w:val="clear" w:color="auto" w:fill="FFFFFF"/>
        </w:rPr>
        <w:t>为推进自治区</w:t>
      </w:r>
      <w:r>
        <w:rPr>
          <w:rFonts w:hint="default" w:ascii="Times New Roman" w:hAnsi="Times New Roman" w:eastAsia="仿宋_GB2312" w:cs="Times New Roman"/>
          <w:sz w:val="32"/>
          <w:szCs w:val="32"/>
          <w:shd w:val="clear" w:color="auto" w:fill="FFFFFF"/>
          <w:lang w:eastAsia="zh-CN"/>
        </w:rPr>
        <w:t>房屋建筑安全与抗震性能鉴定</w:t>
      </w:r>
      <w:r>
        <w:rPr>
          <w:rFonts w:hint="default" w:ascii="Times New Roman" w:hAnsi="Times New Roman" w:eastAsia="仿宋_GB2312" w:cs="Times New Roman"/>
          <w:sz w:val="32"/>
          <w:szCs w:val="32"/>
          <w:shd w:val="clear" w:color="auto" w:fill="FFFFFF"/>
        </w:rPr>
        <w:t>行业信用体系建设，规范市场行为，构建以信用为基础的监管机制，优化营商环境，</w:t>
      </w:r>
      <w:r>
        <w:rPr>
          <w:rFonts w:hint="eastAsia" w:ascii="Times New Roman" w:hAnsi="Times New Roman" w:eastAsia="仿宋_GB2312" w:cs="Times New Roman"/>
          <w:sz w:val="32"/>
          <w:szCs w:val="32"/>
          <w:shd w:val="clear" w:color="auto" w:fill="FFFFFF"/>
          <w:lang w:eastAsia="zh-CN"/>
        </w:rPr>
        <w:t>提升</w:t>
      </w:r>
      <w:r>
        <w:rPr>
          <w:rFonts w:hint="default" w:ascii="Times New Roman" w:hAnsi="Times New Roman" w:eastAsia="仿宋_GB2312" w:cs="Times New Roman"/>
          <w:sz w:val="32"/>
          <w:szCs w:val="32"/>
          <w:shd w:val="clear" w:color="auto" w:fill="FFFFFF"/>
        </w:rPr>
        <w:t>鉴定</w:t>
      </w:r>
      <w:r>
        <w:rPr>
          <w:rFonts w:hint="default" w:ascii="Times New Roman" w:hAnsi="Times New Roman" w:eastAsia="仿宋_GB2312" w:cs="Times New Roman"/>
          <w:sz w:val="32"/>
          <w:szCs w:val="32"/>
          <w:shd w:val="clear" w:color="auto" w:fill="FFFFFF"/>
          <w:lang w:val="en-US" w:eastAsia="zh-CN"/>
        </w:rPr>
        <w:t>工作</w:t>
      </w:r>
      <w:r>
        <w:rPr>
          <w:rFonts w:hint="default" w:ascii="Times New Roman" w:hAnsi="Times New Roman" w:eastAsia="仿宋_GB2312" w:cs="Times New Roman"/>
          <w:sz w:val="32"/>
          <w:szCs w:val="32"/>
          <w:shd w:val="clear" w:color="auto" w:fill="FFFFFF"/>
        </w:rPr>
        <w:t>质量</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结合我区实际，制定本办法。</w:t>
      </w:r>
    </w:p>
    <w:p w14:paraId="1C9D38E9">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firstLine="643" w:firstLineChars="200"/>
        <w:textAlignment w:val="auto"/>
        <w:rPr>
          <w:rFonts w:hint="eastAsia"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sz w:val="32"/>
          <w:szCs w:val="32"/>
          <w:shd w:val="clear" w:color="auto" w:fill="FFFFFF"/>
          <w:lang w:eastAsia="zh-CN"/>
        </w:rPr>
        <w:t>第</w:t>
      </w:r>
      <w:r>
        <w:rPr>
          <w:rFonts w:hint="default" w:ascii="Times New Roman" w:hAnsi="Times New Roman" w:eastAsia="仿宋_GB2312" w:cs="Times New Roman"/>
          <w:b/>
          <w:bCs/>
          <w:sz w:val="32"/>
          <w:szCs w:val="32"/>
          <w:shd w:val="clear" w:color="auto" w:fill="FFFFFF"/>
          <w:lang w:val="en-US" w:eastAsia="zh-CN"/>
        </w:rPr>
        <w:t>二</w:t>
      </w:r>
      <w:r>
        <w:rPr>
          <w:rFonts w:hint="default" w:ascii="Times New Roman" w:hAnsi="Times New Roman" w:eastAsia="仿宋_GB2312" w:cs="Times New Roman"/>
          <w:b/>
          <w:bCs/>
          <w:sz w:val="32"/>
          <w:szCs w:val="32"/>
          <w:shd w:val="clear" w:color="auto" w:fill="FFFFFF"/>
          <w:lang w:eastAsia="zh-CN"/>
        </w:rPr>
        <w:t>条</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val="en-US" w:eastAsia="zh-CN"/>
        </w:rPr>
        <w:t>定义</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sz w:val="32"/>
          <w:szCs w:val="32"/>
          <w:shd w:val="clear" w:color="auto" w:fill="FFFFFF"/>
          <w:lang w:eastAsia="zh-CN"/>
        </w:rPr>
        <w:t>本办法所称信用信息是指</w:t>
      </w:r>
      <w:r>
        <w:rPr>
          <w:rFonts w:hint="eastAsia" w:ascii="Times New Roman" w:hAnsi="Times New Roman" w:eastAsia="仿宋_GB2312" w:cs="Times New Roman"/>
          <w:sz w:val="32"/>
          <w:szCs w:val="32"/>
          <w:shd w:val="clear" w:color="auto" w:fill="FFFFFF"/>
          <w:lang w:eastAsia="zh-CN"/>
        </w:rPr>
        <w:t>房屋建筑安全与抗震性能</w:t>
      </w:r>
      <w:r>
        <w:rPr>
          <w:rFonts w:hint="default" w:ascii="Times New Roman" w:hAnsi="Times New Roman" w:eastAsia="仿宋_GB2312" w:cs="Times New Roman"/>
          <w:sz w:val="32"/>
          <w:szCs w:val="32"/>
          <w:shd w:val="clear" w:color="auto" w:fill="FFFFFF"/>
          <w:lang w:eastAsia="zh-CN"/>
        </w:rPr>
        <w:t>鉴定机构（以下简称“鉴定机构”）在从事房屋建筑安全与抗震性能鉴定活动中形成的能够用以识别、分析、判断其信用状况的信息。</w:t>
      </w:r>
    </w:p>
    <w:p w14:paraId="1772F5EA">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firstLine="640" w:firstLineChars="200"/>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spacing w:val="0"/>
          <w:sz w:val="32"/>
          <w:szCs w:val="32"/>
          <w:shd w:val="clear" w:color="auto" w:fill="FFFFFF"/>
          <w:lang w:eastAsia="zh-CN"/>
        </w:rPr>
        <w:t>本办法所称鉴定</w:t>
      </w:r>
      <w:r>
        <w:rPr>
          <w:rFonts w:hint="default" w:ascii="Times New Roman" w:hAnsi="Times New Roman" w:eastAsia="仿宋_GB2312" w:cs="Times New Roman"/>
          <w:spacing w:val="0"/>
          <w:sz w:val="32"/>
          <w:szCs w:val="32"/>
          <w:shd w:val="clear" w:color="auto" w:fill="FFFFFF"/>
          <w:lang w:val="en-US" w:eastAsia="zh-CN"/>
        </w:rPr>
        <w:t>机构</w:t>
      </w:r>
      <w:r>
        <w:rPr>
          <w:rFonts w:hint="default" w:ascii="Times New Roman" w:hAnsi="Times New Roman" w:eastAsia="仿宋_GB2312" w:cs="Times New Roman"/>
          <w:spacing w:val="0"/>
          <w:sz w:val="32"/>
          <w:szCs w:val="32"/>
          <w:shd w:val="clear" w:color="auto" w:fill="FFFFFF"/>
          <w:lang w:eastAsia="zh-CN"/>
        </w:rPr>
        <w:t>是指</w:t>
      </w:r>
      <w:r>
        <w:rPr>
          <w:rFonts w:ascii="Times New Roman" w:hAnsi="Times New Roman" w:eastAsia="仿宋_GB2312" w:cs="Times New Roman"/>
          <w:i w:val="0"/>
          <w:iCs w:val="0"/>
          <w:caps w:val="0"/>
          <w:color w:val="000000"/>
          <w:spacing w:val="0"/>
          <w:sz w:val="32"/>
          <w:szCs w:val="32"/>
          <w:shd w:val="clear" w:color="auto" w:fill="FFFFFF"/>
        </w:rPr>
        <w:t>对</w:t>
      </w:r>
      <w:r>
        <w:rPr>
          <w:rFonts w:hint="default" w:ascii="Times New Roman" w:hAnsi="Times New Roman" w:eastAsia="仿宋_GB2312" w:cs="Times New Roman"/>
          <w:i w:val="0"/>
          <w:iCs w:val="0"/>
          <w:caps w:val="0"/>
          <w:color w:val="000000"/>
          <w:spacing w:val="0"/>
          <w:sz w:val="32"/>
          <w:szCs w:val="32"/>
          <w:shd w:val="clear" w:color="auto" w:fill="FFFFFF"/>
        </w:rPr>
        <w:t>房屋建筑的结构承载力和结构整体稳定性所进行的调查、检测、验算、分析和评定等一系列活动</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以及</w:t>
      </w:r>
      <w:r>
        <w:rPr>
          <w:rFonts w:ascii="Times New Roman" w:hAnsi="Times New Roman" w:eastAsia="仿宋_GB2312" w:cs="Times New Roman"/>
          <w:i w:val="0"/>
          <w:iCs w:val="0"/>
          <w:caps w:val="0"/>
          <w:color w:val="000000"/>
          <w:spacing w:val="0"/>
          <w:sz w:val="32"/>
          <w:szCs w:val="32"/>
          <w:shd w:val="clear" w:color="auto" w:fill="FFFFFF"/>
        </w:rPr>
        <w:t>通过检查现有建筑的设计、施工质量和现状，</w:t>
      </w:r>
      <w:r>
        <w:rPr>
          <w:rFonts w:hint="default" w:ascii="Times New Roman" w:hAnsi="Times New Roman" w:eastAsia="仿宋_GB2312" w:cs="Times New Roman"/>
          <w:i w:val="0"/>
          <w:iCs w:val="0"/>
          <w:caps w:val="0"/>
          <w:color w:val="000000"/>
          <w:spacing w:val="0"/>
          <w:sz w:val="32"/>
          <w:szCs w:val="32"/>
          <w:shd w:val="clear" w:color="auto" w:fill="FFFFFF"/>
          <w:lang w:eastAsia="zh-CN"/>
        </w:rPr>
        <w:t>按照</w:t>
      </w:r>
      <w:r>
        <w:rPr>
          <w:rFonts w:ascii="Times New Roman" w:hAnsi="Times New Roman" w:eastAsia="仿宋_GB2312" w:cs="Times New Roman"/>
          <w:i w:val="0"/>
          <w:iCs w:val="0"/>
          <w:caps w:val="0"/>
          <w:color w:val="000000"/>
          <w:spacing w:val="0"/>
          <w:sz w:val="32"/>
          <w:szCs w:val="32"/>
          <w:shd w:val="clear" w:color="auto" w:fill="FFFFFF"/>
        </w:rPr>
        <w:t>规定的抗震设防要求，对其在地震作用下的安全性进行评估的活动</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spacing w:val="0"/>
          <w:sz w:val="32"/>
          <w:szCs w:val="32"/>
          <w:shd w:val="clear" w:color="auto" w:fill="FFFFFF"/>
          <w:lang w:eastAsia="zh-CN"/>
        </w:rPr>
        <w:t>并出具房屋安全与抗震性能鉴定报告（以下简称“鉴定</w:t>
      </w:r>
      <w:r>
        <w:rPr>
          <w:rFonts w:hint="eastAsia" w:ascii="Times New Roman" w:hAnsi="Times New Roman" w:eastAsia="仿宋_GB2312" w:cs="Times New Roman"/>
          <w:spacing w:val="0"/>
          <w:sz w:val="32"/>
          <w:szCs w:val="32"/>
          <w:shd w:val="clear" w:color="auto" w:fill="FFFFFF"/>
          <w:lang w:eastAsia="zh-CN"/>
        </w:rPr>
        <w:t>报告</w:t>
      </w:r>
      <w:r>
        <w:rPr>
          <w:rFonts w:hint="default" w:ascii="Times New Roman" w:hAnsi="Times New Roman" w:eastAsia="仿宋_GB2312" w:cs="Times New Roman"/>
          <w:spacing w:val="0"/>
          <w:sz w:val="32"/>
          <w:szCs w:val="32"/>
          <w:shd w:val="clear" w:color="auto" w:fill="FFFFFF"/>
          <w:lang w:eastAsia="zh-CN"/>
        </w:rPr>
        <w:t>”）的机构。</w:t>
      </w:r>
    </w:p>
    <w:p w14:paraId="526CBF3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firstLine="643" w:firstLineChars="200"/>
        <w:textAlignment w:val="auto"/>
        <w:rPr>
          <w:rFonts w:hint="default"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color w:val="auto"/>
          <w:sz w:val="32"/>
          <w:szCs w:val="32"/>
          <w:lang w:eastAsia="zh-CN"/>
        </w:rPr>
        <w:t>第</w:t>
      </w:r>
      <w:r>
        <w:rPr>
          <w:rFonts w:hint="eastAsia" w:ascii="Times New Roman" w:hAnsi="Times New Roman" w:eastAsia="仿宋_GB2312" w:cs="Times New Roman"/>
          <w:b/>
          <w:bCs/>
          <w:color w:val="auto"/>
          <w:sz w:val="32"/>
          <w:szCs w:val="32"/>
          <w:lang w:val="en-US" w:eastAsia="zh-CN"/>
        </w:rPr>
        <w:t>三</w:t>
      </w:r>
      <w:r>
        <w:rPr>
          <w:rFonts w:hint="eastAsia" w:ascii="Times New Roman" w:hAnsi="Times New Roman" w:eastAsia="仿宋_GB2312" w:cs="Times New Roman"/>
          <w:b/>
          <w:bCs/>
          <w:color w:val="auto"/>
          <w:sz w:val="32"/>
          <w:szCs w:val="32"/>
          <w:lang w:eastAsia="zh-CN"/>
        </w:rPr>
        <w:t>条</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val="en-US" w:eastAsia="zh-CN"/>
        </w:rPr>
        <w:t>适用范围</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sz w:val="32"/>
          <w:szCs w:val="32"/>
          <w:shd w:val="clear" w:color="auto" w:fill="FFFFFF"/>
        </w:rPr>
        <w:t>本办法适用于鉴定机构在自治区行政区域内从事</w:t>
      </w:r>
      <w:r>
        <w:rPr>
          <w:rFonts w:hint="default" w:ascii="Times New Roman" w:hAnsi="Times New Roman" w:eastAsia="仿宋_GB2312" w:cs="Times New Roman"/>
          <w:sz w:val="32"/>
          <w:szCs w:val="32"/>
          <w:shd w:val="clear" w:color="auto" w:fill="FFFFFF"/>
          <w:lang w:eastAsia="zh-CN"/>
        </w:rPr>
        <w:t>房屋建筑安全与抗震性能鉴定</w:t>
      </w:r>
      <w:r>
        <w:rPr>
          <w:rFonts w:hint="default" w:ascii="Times New Roman" w:hAnsi="Times New Roman" w:eastAsia="仿宋_GB2312" w:cs="Times New Roman"/>
          <w:sz w:val="32"/>
          <w:szCs w:val="32"/>
          <w:shd w:val="clear" w:color="auto" w:fill="FFFFFF"/>
        </w:rPr>
        <w:t>活动中所产生的</w:t>
      </w:r>
      <w:r>
        <w:rPr>
          <w:rFonts w:hint="default" w:ascii="Times New Roman" w:hAnsi="Times New Roman" w:eastAsia="仿宋_GB2312" w:cs="Times New Roman"/>
          <w:bCs/>
          <w:sz w:val="32"/>
          <w:szCs w:val="32"/>
        </w:rPr>
        <w:t>信用信息的采集、</w:t>
      </w:r>
      <w:r>
        <w:rPr>
          <w:rFonts w:hint="eastAsia" w:ascii="Times New Roman" w:hAnsi="Times New Roman" w:eastAsia="仿宋_GB2312" w:cs="Times New Roman"/>
          <w:bCs/>
          <w:sz w:val="32"/>
          <w:szCs w:val="32"/>
          <w:lang w:eastAsia="zh-CN"/>
        </w:rPr>
        <w:t>认定</w:t>
      </w:r>
      <w:r>
        <w:rPr>
          <w:rFonts w:hint="default"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eastAsia="zh-CN"/>
        </w:rPr>
        <w:t>公</w:t>
      </w:r>
      <w:r>
        <w:rPr>
          <w:rFonts w:hint="default" w:ascii="Times New Roman" w:hAnsi="Times New Roman" w:eastAsia="仿宋_GB2312" w:cs="Times New Roman"/>
          <w:bCs/>
          <w:sz w:val="32"/>
          <w:szCs w:val="32"/>
        </w:rPr>
        <w:t>布</w:t>
      </w:r>
      <w:r>
        <w:rPr>
          <w:rFonts w:hint="default" w:ascii="Times New Roman" w:hAnsi="Times New Roman" w:eastAsia="仿宋_GB2312" w:cs="Times New Roman"/>
          <w:sz w:val="32"/>
          <w:szCs w:val="32"/>
        </w:rPr>
        <w:t>和</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用</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管理</w:t>
      </w:r>
      <w:r>
        <w:rPr>
          <w:rFonts w:hint="eastAsia" w:ascii="Times New Roman" w:hAnsi="Times New Roman" w:eastAsia="仿宋_GB2312" w:cs="Times New Roman"/>
          <w:sz w:val="32"/>
          <w:szCs w:val="32"/>
          <w:lang w:eastAsia="zh-CN"/>
        </w:rPr>
        <w:t>活动</w:t>
      </w:r>
      <w:r>
        <w:rPr>
          <w:rFonts w:hint="default" w:ascii="Times New Roman" w:hAnsi="Times New Roman" w:eastAsia="仿宋_GB2312" w:cs="Times New Roman"/>
          <w:sz w:val="32"/>
          <w:szCs w:val="32"/>
          <w:shd w:val="clear" w:color="auto" w:fill="FFFFFF"/>
        </w:rPr>
        <w:t>。</w:t>
      </w:r>
    </w:p>
    <w:p w14:paraId="15E5580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firstLine="643" w:firstLineChars="200"/>
        <w:jc w:val="both"/>
        <w:textAlignment w:val="auto"/>
        <w:rPr>
          <w:rFonts w:hint="eastAsia" w:ascii="Times New Roman" w:hAnsi="Times New Roman" w:eastAsia="仿宋_GB2312" w:cs="Times New Roman"/>
          <w:sz w:val="32"/>
          <w:szCs w:val="32"/>
          <w:shd w:val="clear" w:color="auto" w:fill="FFFFFF"/>
          <w:lang w:eastAsia="zh-CN"/>
        </w:rPr>
      </w:pPr>
      <w:r>
        <w:rPr>
          <w:rFonts w:hint="default" w:ascii="Times New Roman" w:hAnsi="Times New Roman" w:eastAsia="仿宋_GB2312" w:cs="Times New Roman"/>
          <w:b/>
          <w:sz w:val="32"/>
          <w:szCs w:val="32"/>
        </w:rPr>
        <w:t>第</w:t>
      </w:r>
      <w:r>
        <w:rPr>
          <w:rFonts w:hint="default" w:ascii="Times New Roman" w:hAnsi="Times New Roman" w:eastAsia="仿宋_GB2312" w:cs="Times New Roman"/>
          <w:b/>
          <w:sz w:val="32"/>
          <w:szCs w:val="32"/>
          <w:lang w:val="en-US" w:eastAsia="zh-CN"/>
        </w:rPr>
        <w:t>四</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val="en-US" w:eastAsia="zh-CN"/>
        </w:rPr>
        <w:t>信用管理机制</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sz w:val="32"/>
          <w:szCs w:val="32"/>
        </w:rPr>
        <w:t>自治区住房城乡建设主管部门负责</w:t>
      </w:r>
      <w:r>
        <w:rPr>
          <w:rFonts w:hint="default" w:ascii="Times New Roman" w:hAnsi="Times New Roman" w:eastAsia="仿宋_GB2312" w:cs="Times New Roman"/>
          <w:sz w:val="32"/>
          <w:szCs w:val="32"/>
          <w:lang w:val="en-US" w:eastAsia="zh-CN"/>
        </w:rPr>
        <w:t>自治区</w:t>
      </w:r>
      <w:r>
        <w:rPr>
          <w:rFonts w:hint="default" w:ascii="Times New Roman" w:hAnsi="Times New Roman" w:eastAsia="仿宋_GB2312" w:cs="Times New Roman"/>
          <w:sz w:val="32"/>
          <w:szCs w:val="32"/>
          <w:shd w:val="clear" w:color="auto" w:fill="FFFFFF"/>
          <w:lang w:eastAsia="zh-CN"/>
        </w:rPr>
        <w:t>房屋建筑安全与抗震性能鉴定</w:t>
      </w:r>
      <w:r>
        <w:rPr>
          <w:rFonts w:hint="default" w:ascii="Times New Roman" w:hAnsi="Times New Roman" w:eastAsia="仿宋_GB2312" w:cs="Times New Roman"/>
          <w:sz w:val="32"/>
          <w:szCs w:val="32"/>
        </w:rPr>
        <w:t>行业信用</w:t>
      </w:r>
      <w:r>
        <w:rPr>
          <w:rFonts w:hint="default" w:ascii="Times New Roman" w:hAnsi="Times New Roman" w:eastAsia="仿宋_GB2312" w:cs="Times New Roman"/>
          <w:sz w:val="32"/>
          <w:szCs w:val="32"/>
          <w:lang w:val="en-US" w:eastAsia="zh-CN"/>
        </w:rPr>
        <w:t>监督</w:t>
      </w:r>
      <w:r>
        <w:rPr>
          <w:rFonts w:hint="default" w:ascii="Times New Roman" w:hAnsi="Times New Roman" w:eastAsia="仿宋_GB2312" w:cs="Times New Roman"/>
          <w:sz w:val="32"/>
          <w:szCs w:val="32"/>
        </w:rPr>
        <w:t>管理</w:t>
      </w:r>
      <w:r>
        <w:rPr>
          <w:rFonts w:hint="default" w:ascii="Times New Roman" w:hAnsi="Times New Roman" w:eastAsia="仿宋_GB2312" w:cs="Times New Roman"/>
          <w:sz w:val="32"/>
          <w:szCs w:val="32"/>
          <w:shd w:val="clear" w:color="auto" w:fill="FFFFFF"/>
        </w:rPr>
        <w:t>，制定</w:t>
      </w:r>
      <w:r>
        <w:rPr>
          <w:rFonts w:hint="default" w:ascii="Times New Roman" w:hAnsi="Times New Roman" w:eastAsia="仿宋_GB2312" w:cs="Times New Roman"/>
          <w:sz w:val="32"/>
          <w:szCs w:val="32"/>
          <w:shd w:val="clear" w:color="auto" w:fill="FFFFFF"/>
          <w:lang w:val="en-US" w:eastAsia="zh-CN"/>
        </w:rPr>
        <w:t>自治区统一的</w:t>
      </w:r>
      <w:r>
        <w:rPr>
          <w:rFonts w:hint="default" w:ascii="Times New Roman" w:hAnsi="Times New Roman" w:eastAsia="仿宋_GB2312" w:cs="Times New Roman"/>
          <w:sz w:val="32"/>
          <w:szCs w:val="32"/>
          <w:shd w:val="clear" w:color="auto" w:fill="FFFFFF"/>
        </w:rPr>
        <w:t>信用评价管理办法和评价标准</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依托自治区城乡房屋安全综合管理信息系统平台</w:t>
      </w:r>
      <w:r>
        <w:rPr>
          <w:rFonts w:hint="default" w:ascii="Times New Roman" w:hAnsi="Times New Roman" w:eastAsia="仿宋_GB2312" w:cs="Times New Roman"/>
          <w:sz w:val="32"/>
          <w:szCs w:val="32"/>
          <w:shd w:val="clear" w:color="auto" w:fill="FFFFFF"/>
          <w:lang w:eastAsia="zh-CN"/>
        </w:rPr>
        <w:t>（以下简称“</w:t>
      </w:r>
      <w:r>
        <w:rPr>
          <w:rFonts w:hint="eastAsia" w:ascii="Times New Roman" w:hAnsi="Times New Roman" w:eastAsia="仿宋_GB2312" w:cs="Times New Roman"/>
          <w:sz w:val="32"/>
          <w:szCs w:val="32"/>
          <w:shd w:val="clear" w:color="auto" w:fill="FFFFFF"/>
          <w:lang w:eastAsia="zh-CN"/>
        </w:rPr>
        <w:t>房屋安全系统</w:t>
      </w:r>
      <w:r>
        <w:rPr>
          <w:rFonts w:hint="default" w:ascii="Times New Roman" w:hAnsi="Times New Roman" w:eastAsia="仿宋_GB2312" w:cs="Times New Roman"/>
          <w:sz w:val="32"/>
          <w:szCs w:val="32"/>
          <w:shd w:val="clear" w:color="auto" w:fill="FFFFFF"/>
          <w:lang w:eastAsia="zh-CN"/>
        </w:rPr>
        <w:t>”</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建立</w:t>
      </w:r>
      <w:r>
        <w:rPr>
          <w:rFonts w:hint="default" w:ascii="Times New Roman" w:hAnsi="Times New Roman" w:eastAsia="仿宋_GB2312" w:cs="Times New Roman"/>
          <w:sz w:val="32"/>
          <w:szCs w:val="32"/>
          <w:shd w:val="clear" w:color="auto" w:fill="FFFFFF"/>
          <w:lang w:eastAsia="zh-CN"/>
        </w:rPr>
        <w:t>鉴定机构</w:t>
      </w:r>
      <w:r>
        <w:rPr>
          <w:rFonts w:hint="default" w:ascii="Times New Roman" w:hAnsi="Times New Roman" w:eastAsia="仿宋_GB2312" w:cs="Times New Roman"/>
          <w:sz w:val="32"/>
          <w:szCs w:val="32"/>
          <w:shd w:val="clear" w:color="auto" w:fill="FFFFFF"/>
        </w:rPr>
        <w:t>信用信息</w:t>
      </w:r>
      <w:r>
        <w:rPr>
          <w:rFonts w:hint="default" w:ascii="Times New Roman" w:hAnsi="Times New Roman" w:eastAsia="仿宋_GB2312" w:cs="Times New Roman"/>
          <w:sz w:val="32"/>
          <w:szCs w:val="32"/>
          <w:shd w:val="clear" w:color="auto" w:fill="FFFFFF"/>
          <w:lang w:val="en-US" w:eastAsia="zh-CN"/>
        </w:rPr>
        <w:t>库</w:t>
      </w:r>
      <w:r>
        <w:rPr>
          <w:rFonts w:hint="default" w:ascii="Times New Roman" w:hAnsi="Times New Roman" w:eastAsia="仿宋_GB2312" w:cs="Times New Roman"/>
          <w:sz w:val="32"/>
          <w:szCs w:val="32"/>
          <w:shd w:val="clear" w:color="auto" w:fill="FFFFFF"/>
        </w:rPr>
        <w:t>，汇总和</w:t>
      </w:r>
      <w:r>
        <w:rPr>
          <w:rFonts w:hint="eastAsia" w:ascii="Times New Roman" w:hAnsi="Times New Roman" w:eastAsia="仿宋_GB2312" w:cs="Times New Roman"/>
          <w:sz w:val="32"/>
          <w:szCs w:val="32"/>
          <w:shd w:val="clear" w:color="auto" w:fill="FFFFFF"/>
          <w:lang w:eastAsia="zh-CN"/>
        </w:rPr>
        <w:t>公</w:t>
      </w:r>
      <w:r>
        <w:rPr>
          <w:rFonts w:hint="default" w:ascii="Times New Roman" w:hAnsi="Times New Roman" w:eastAsia="仿宋_GB2312" w:cs="Times New Roman"/>
          <w:sz w:val="32"/>
          <w:szCs w:val="32"/>
          <w:shd w:val="clear" w:color="auto" w:fill="FFFFFF"/>
        </w:rPr>
        <w:t>布</w:t>
      </w:r>
      <w:r>
        <w:rPr>
          <w:rFonts w:hint="default" w:ascii="Times New Roman" w:hAnsi="Times New Roman" w:eastAsia="仿宋_GB2312" w:cs="Times New Roman"/>
          <w:sz w:val="32"/>
          <w:szCs w:val="32"/>
          <w:shd w:val="clear" w:color="auto" w:fill="FFFFFF"/>
          <w:lang w:val="en-US" w:eastAsia="zh-CN"/>
        </w:rPr>
        <w:t>自治区</w:t>
      </w:r>
      <w:r>
        <w:rPr>
          <w:rFonts w:hint="default" w:ascii="Times New Roman" w:hAnsi="Times New Roman" w:eastAsia="仿宋_GB2312" w:cs="Times New Roman"/>
          <w:sz w:val="32"/>
          <w:szCs w:val="32"/>
          <w:shd w:val="clear" w:color="auto" w:fill="FFFFFF"/>
          <w:lang w:eastAsia="zh-CN"/>
        </w:rPr>
        <w:t>鉴定机构</w:t>
      </w:r>
      <w:r>
        <w:rPr>
          <w:rFonts w:hint="default" w:ascii="Times New Roman" w:hAnsi="Times New Roman" w:eastAsia="仿宋_GB2312" w:cs="Times New Roman"/>
          <w:sz w:val="32"/>
          <w:szCs w:val="32"/>
          <w:shd w:val="clear" w:color="auto" w:fill="FFFFFF"/>
        </w:rPr>
        <w:t>信用</w:t>
      </w:r>
      <w:r>
        <w:rPr>
          <w:rFonts w:hint="default" w:ascii="Times New Roman" w:hAnsi="Times New Roman" w:eastAsia="仿宋_GB2312" w:cs="Times New Roman"/>
          <w:sz w:val="32"/>
          <w:szCs w:val="32"/>
          <w:shd w:val="clear" w:color="auto" w:fill="FFFFFF"/>
          <w:lang w:val="en-US" w:eastAsia="zh-CN"/>
        </w:rPr>
        <w:t>评价结果</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lang w:val="en-US" w:eastAsia="zh-CN"/>
        </w:rPr>
        <w:t>实施</w:t>
      </w:r>
      <w:r>
        <w:rPr>
          <w:rFonts w:hint="default" w:ascii="Times New Roman" w:hAnsi="Times New Roman" w:eastAsia="仿宋_GB2312" w:cs="Times New Roman"/>
          <w:sz w:val="32"/>
          <w:szCs w:val="32"/>
          <w:shd w:val="clear" w:color="auto" w:fill="FFFFFF"/>
          <w:lang w:eastAsia="zh-CN"/>
        </w:rPr>
        <w:t>房屋建筑安全与抗震性能鉴定</w:t>
      </w:r>
      <w:r>
        <w:rPr>
          <w:rFonts w:hint="default" w:ascii="Times New Roman" w:hAnsi="Times New Roman" w:eastAsia="仿宋_GB2312" w:cs="Times New Roman"/>
          <w:sz w:val="32"/>
          <w:szCs w:val="32"/>
          <w:shd w:val="clear" w:color="auto" w:fill="FFFFFF"/>
        </w:rPr>
        <w:t>行业守信联合激励、失信联合惩戒等信用管理工作</w:t>
      </w:r>
      <w:r>
        <w:rPr>
          <w:rFonts w:hint="eastAsia" w:ascii="Times New Roman" w:hAnsi="Times New Roman" w:eastAsia="仿宋_GB2312" w:cs="Times New Roman"/>
          <w:sz w:val="32"/>
          <w:szCs w:val="32"/>
          <w:shd w:val="clear" w:color="auto" w:fill="FFFFFF"/>
          <w:lang w:eastAsia="zh-CN"/>
        </w:rPr>
        <w:t>。</w:t>
      </w:r>
    </w:p>
    <w:p w14:paraId="3057E525">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rPr>
        <w:t>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州、市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住房城乡建设主管部门对所辖县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shd w:val="clear" w:color="auto" w:fill="FFFFFF"/>
          <w:lang w:eastAsia="zh-CN"/>
        </w:rPr>
        <w:t>鉴定机构</w:t>
      </w:r>
      <w:r>
        <w:rPr>
          <w:rFonts w:hint="default" w:ascii="Times New Roman" w:hAnsi="Times New Roman" w:eastAsia="仿宋_GB2312" w:cs="Times New Roman"/>
          <w:sz w:val="32"/>
          <w:szCs w:val="32"/>
        </w:rPr>
        <w:t>信用评价管理工作进行监督指导，</w:t>
      </w:r>
      <w:r>
        <w:rPr>
          <w:rFonts w:hint="default" w:ascii="Times New Roman" w:hAnsi="Times New Roman" w:eastAsia="仿宋_GB2312" w:cs="Times New Roman"/>
          <w:sz w:val="32"/>
          <w:szCs w:val="32"/>
          <w:lang w:val="en-US" w:eastAsia="zh-CN"/>
        </w:rPr>
        <w:t>对鉴定机构</w:t>
      </w:r>
      <w:r>
        <w:rPr>
          <w:rFonts w:hint="default" w:ascii="Times New Roman" w:hAnsi="Times New Roman" w:eastAsia="仿宋_GB2312" w:cs="Times New Roman"/>
          <w:sz w:val="32"/>
          <w:szCs w:val="32"/>
        </w:rPr>
        <w:t>信用评价结果</w:t>
      </w:r>
      <w:r>
        <w:rPr>
          <w:rFonts w:hint="default" w:ascii="Times New Roman" w:hAnsi="Times New Roman" w:eastAsia="仿宋_GB2312" w:cs="Times New Roman"/>
          <w:sz w:val="32"/>
          <w:szCs w:val="32"/>
          <w:lang w:val="en-US" w:eastAsia="zh-CN"/>
        </w:rPr>
        <w:t>进行</w:t>
      </w:r>
      <w:r>
        <w:rPr>
          <w:rFonts w:hint="default" w:ascii="Times New Roman" w:hAnsi="Times New Roman" w:eastAsia="仿宋_GB2312" w:cs="Times New Roman"/>
          <w:sz w:val="32"/>
          <w:szCs w:val="32"/>
        </w:rPr>
        <w:t>审核</w:t>
      </w:r>
      <w:r>
        <w:rPr>
          <w:rFonts w:hint="eastAsia" w:ascii="Times New Roman" w:hAnsi="Times New Roman" w:eastAsia="仿宋_GB2312" w:cs="Times New Roman"/>
          <w:sz w:val="32"/>
          <w:szCs w:val="32"/>
          <w:lang w:eastAsia="zh-CN"/>
        </w:rPr>
        <w:t>。</w:t>
      </w:r>
    </w:p>
    <w:p w14:paraId="47821F4A">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住房城乡建设主管部门对本辖区</w:t>
      </w:r>
      <w:r>
        <w:rPr>
          <w:rFonts w:hint="default" w:ascii="Times New Roman" w:hAnsi="Times New Roman" w:eastAsia="仿宋_GB2312" w:cs="Times New Roman"/>
          <w:sz w:val="32"/>
          <w:szCs w:val="32"/>
          <w:shd w:val="clear" w:color="auto" w:fill="FFFFFF"/>
          <w:lang w:eastAsia="zh-CN"/>
        </w:rPr>
        <w:t>鉴定机构</w:t>
      </w:r>
      <w:r>
        <w:rPr>
          <w:rFonts w:hint="default" w:ascii="Times New Roman" w:hAnsi="Times New Roman" w:eastAsia="仿宋_GB2312" w:cs="Times New Roman"/>
          <w:sz w:val="32"/>
          <w:szCs w:val="32"/>
        </w:rPr>
        <w:t>的从业行为进行监管，负责采集、</w:t>
      </w:r>
      <w:r>
        <w:rPr>
          <w:rFonts w:hint="eastAsia" w:ascii="Times New Roman" w:hAnsi="Times New Roman" w:eastAsia="仿宋_GB2312" w:cs="Times New Roman"/>
          <w:sz w:val="32"/>
          <w:szCs w:val="32"/>
          <w:lang w:eastAsia="zh-CN"/>
        </w:rPr>
        <w:t>认定</w:t>
      </w:r>
      <w:r>
        <w:rPr>
          <w:rFonts w:hint="default" w:ascii="Times New Roman" w:hAnsi="Times New Roman" w:eastAsia="仿宋_GB2312" w:cs="Times New Roman"/>
          <w:sz w:val="32"/>
          <w:szCs w:val="32"/>
        </w:rPr>
        <w:t>信用信息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形成鉴定机构信用评价结果</w:t>
      </w:r>
      <w:r>
        <w:rPr>
          <w:rFonts w:hint="default" w:ascii="Times New Roman" w:hAnsi="Times New Roman" w:eastAsia="仿宋_GB2312" w:cs="Times New Roman"/>
          <w:sz w:val="32"/>
          <w:szCs w:val="32"/>
        </w:rPr>
        <w:t>。</w:t>
      </w:r>
    </w:p>
    <w:p w14:paraId="3F53AC7D">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firstLine="643" w:firstLineChars="200"/>
        <w:textAlignment w:val="auto"/>
        <w:rPr>
          <w:rFonts w:hint="default" w:ascii="Times New Roman" w:hAnsi="Times New Roman" w:eastAsia="仿宋_GB2312" w:cs="Times New Roman"/>
          <w:b w:val="0"/>
          <w:bCs w:val="0"/>
          <w:sz w:val="32"/>
          <w:szCs w:val="32"/>
          <w:shd w:val="clear" w:color="auto" w:fill="FFFFFF"/>
          <w:lang w:eastAsia="zh-CN"/>
        </w:rPr>
      </w:pPr>
      <w:r>
        <w:rPr>
          <w:rFonts w:hint="default" w:ascii="Times New Roman" w:hAnsi="Times New Roman" w:eastAsia="仿宋_GB2312" w:cs="Times New Roman"/>
          <w:b/>
          <w:bCs/>
          <w:sz w:val="32"/>
          <w:szCs w:val="32"/>
          <w:shd w:val="clear" w:color="auto" w:fill="FFFFFF"/>
          <w:lang w:eastAsia="zh-CN"/>
        </w:rPr>
        <w:t>第</w:t>
      </w:r>
      <w:r>
        <w:rPr>
          <w:rFonts w:hint="default" w:ascii="Times New Roman" w:hAnsi="Times New Roman" w:eastAsia="仿宋_GB2312" w:cs="Times New Roman"/>
          <w:b/>
          <w:bCs/>
          <w:sz w:val="32"/>
          <w:szCs w:val="32"/>
          <w:shd w:val="clear" w:color="auto" w:fill="FFFFFF"/>
          <w:lang w:val="en-US" w:eastAsia="zh-CN"/>
        </w:rPr>
        <w:t>五</w:t>
      </w:r>
      <w:r>
        <w:rPr>
          <w:rFonts w:hint="default" w:ascii="Times New Roman" w:hAnsi="Times New Roman" w:eastAsia="仿宋_GB2312" w:cs="Times New Roman"/>
          <w:b/>
          <w:bCs/>
          <w:sz w:val="32"/>
          <w:szCs w:val="32"/>
          <w:shd w:val="clear" w:color="auto" w:fill="FFFFFF"/>
          <w:lang w:eastAsia="zh-CN"/>
        </w:rPr>
        <w:t>条</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val="en-US" w:eastAsia="zh-CN"/>
        </w:rPr>
        <w:t>信用信息管理原则</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sz w:val="32"/>
          <w:szCs w:val="32"/>
          <w:shd w:val="clear" w:color="auto" w:fill="FFFFFF"/>
          <w:lang w:eastAsia="zh-CN"/>
        </w:rPr>
        <w:t>鉴定机构信用信息的采集、</w:t>
      </w:r>
      <w:r>
        <w:rPr>
          <w:rFonts w:hint="eastAsia" w:ascii="Times New Roman" w:hAnsi="Times New Roman" w:eastAsia="仿宋_GB2312" w:cs="Times New Roman"/>
          <w:b w:val="0"/>
          <w:bCs w:val="0"/>
          <w:sz w:val="32"/>
          <w:szCs w:val="32"/>
          <w:shd w:val="clear" w:color="auto" w:fill="FFFFFF"/>
          <w:lang w:eastAsia="zh-CN"/>
        </w:rPr>
        <w:t>认定、</w:t>
      </w:r>
      <w:r>
        <w:rPr>
          <w:rFonts w:hint="eastAsia" w:ascii="Times New Roman" w:hAnsi="Times New Roman" w:eastAsia="仿宋_GB2312" w:cs="Times New Roman"/>
          <w:b w:val="0"/>
          <w:bCs w:val="0"/>
          <w:sz w:val="32"/>
          <w:szCs w:val="32"/>
          <w:highlight w:val="none"/>
          <w:shd w:val="clear" w:color="auto" w:fill="FFFFFF"/>
          <w:lang w:eastAsia="zh-CN"/>
        </w:rPr>
        <w:t>审核、发布、应用</w:t>
      </w:r>
      <w:r>
        <w:rPr>
          <w:rFonts w:hint="default" w:ascii="Times New Roman" w:hAnsi="Times New Roman" w:eastAsia="仿宋_GB2312" w:cs="Times New Roman"/>
          <w:sz w:val="32"/>
          <w:szCs w:val="32"/>
          <w:shd w:val="clear" w:color="auto" w:fill="FFFFFF"/>
        </w:rPr>
        <w:t>等活动，</w:t>
      </w:r>
      <w:r>
        <w:rPr>
          <w:rFonts w:hint="default" w:ascii="Times New Roman" w:hAnsi="Times New Roman" w:eastAsia="仿宋_GB2312" w:cs="Times New Roman"/>
          <w:b w:val="0"/>
          <w:bCs w:val="0"/>
          <w:sz w:val="32"/>
          <w:szCs w:val="32"/>
          <w:shd w:val="clear" w:color="auto" w:fill="FFFFFF"/>
          <w:lang w:eastAsia="zh-CN"/>
        </w:rPr>
        <w:t>应当遵循</w:t>
      </w:r>
      <w:r>
        <w:rPr>
          <w:rFonts w:hint="default" w:ascii="Times New Roman" w:hAnsi="Times New Roman" w:eastAsia="仿宋_GB2312" w:cs="Times New Roman"/>
          <w:sz w:val="32"/>
          <w:szCs w:val="32"/>
          <w:shd w:val="clear" w:color="auto" w:fill="FFFFFF"/>
        </w:rPr>
        <w:t>合法、</w:t>
      </w:r>
      <w:r>
        <w:rPr>
          <w:rFonts w:hint="default" w:ascii="Times New Roman" w:hAnsi="Times New Roman" w:eastAsia="仿宋_GB2312" w:cs="Times New Roman"/>
          <w:b w:val="0"/>
          <w:bCs w:val="0"/>
          <w:sz w:val="32"/>
          <w:szCs w:val="32"/>
          <w:shd w:val="clear" w:color="auto" w:fill="FFFFFF"/>
          <w:lang w:eastAsia="zh-CN"/>
        </w:rPr>
        <w:t>独立、客观、公正的原则，</w:t>
      </w:r>
      <w:r>
        <w:rPr>
          <w:rFonts w:hint="default" w:ascii="Times New Roman" w:hAnsi="Times New Roman" w:eastAsia="仿宋_GB2312" w:cs="Times New Roman"/>
          <w:b w:val="0"/>
          <w:bCs w:val="0"/>
          <w:sz w:val="32"/>
          <w:szCs w:val="32"/>
          <w:shd w:val="clear" w:color="auto" w:fill="FFFFFF"/>
          <w:lang w:val="en-US" w:eastAsia="zh-CN"/>
        </w:rPr>
        <w:t>确保</w:t>
      </w:r>
      <w:r>
        <w:rPr>
          <w:rFonts w:hint="default" w:ascii="Times New Roman" w:hAnsi="Times New Roman" w:eastAsia="仿宋_GB2312" w:cs="Times New Roman"/>
          <w:b w:val="0"/>
          <w:bCs w:val="0"/>
          <w:sz w:val="32"/>
          <w:szCs w:val="32"/>
          <w:shd w:val="clear" w:color="auto" w:fill="FFFFFF"/>
          <w:lang w:eastAsia="zh-CN"/>
        </w:rPr>
        <w:t>信用信息的</w:t>
      </w:r>
      <w:r>
        <w:rPr>
          <w:rFonts w:hint="default" w:ascii="Times New Roman" w:hAnsi="Times New Roman" w:eastAsia="仿宋_GB2312" w:cs="Times New Roman"/>
          <w:b w:val="0"/>
          <w:bCs w:val="0"/>
          <w:sz w:val="32"/>
          <w:szCs w:val="32"/>
          <w:shd w:val="clear" w:color="auto" w:fill="FFFFFF"/>
          <w:lang w:val="en-US" w:eastAsia="zh-CN"/>
        </w:rPr>
        <w:t>真实</w:t>
      </w:r>
      <w:r>
        <w:rPr>
          <w:rFonts w:hint="default" w:ascii="Times New Roman" w:hAnsi="Times New Roman" w:eastAsia="仿宋_GB2312" w:cs="Times New Roman"/>
          <w:b w:val="0"/>
          <w:bCs w:val="0"/>
          <w:sz w:val="32"/>
          <w:szCs w:val="32"/>
          <w:shd w:val="clear" w:color="auto" w:fill="FFFFFF"/>
          <w:lang w:eastAsia="zh-CN"/>
        </w:rPr>
        <w:t>性、准确性和及时性</w:t>
      </w:r>
      <w:r>
        <w:rPr>
          <w:rFonts w:hint="eastAsia" w:ascii="Times New Roman" w:hAnsi="Times New Roman" w:eastAsia="仿宋_GB2312" w:cs="Times New Roman"/>
          <w:b w:val="0"/>
          <w:bCs w:val="0"/>
          <w:sz w:val="32"/>
          <w:szCs w:val="32"/>
          <w:shd w:val="clear" w:color="auto" w:fill="FFFFFF"/>
          <w:lang w:eastAsia="zh-CN"/>
        </w:rPr>
        <w:t>，保守国家秘密，保护商业秘密和个人隐私</w:t>
      </w:r>
      <w:r>
        <w:rPr>
          <w:rFonts w:hint="default" w:ascii="Times New Roman" w:hAnsi="Times New Roman" w:eastAsia="仿宋_GB2312" w:cs="Times New Roman"/>
          <w:b w:val="0"/>
          <w:bCs w:val="0"/>
          <w:sz w:val="32"/>
          <w:szCs w:val="32"/>
          <w:shd w:val="clear" w:color="auto" w:fill="FFFFFF"/>
          <w:lang w:eastAsia="zh-CN"/>
        </w:rPr>
        <w:t>。</w:t>
      </w:r>
    </w:p>
    <w:p w14:paraId="0AC9726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3" w:firstLineChars="200"/>
        <w:jc w:val="left"/>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六</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val="en-US" w:eastAsia="zh-CN"/>
        </w:rPr>
        <w:t>宣传引导</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级</w:t>
      </w:r>
      <w:r>
        <w:rPr>
          <w:rFonts w:hint="default" w:ascii="Times New Roman" w:hAnsi="Times New Roman" w:eastAsia="仿宋_GB2312" w:cs="Times New Roman"/>
          <w:sz w:val="32"/>
          <w:szCs w:val="32"/>
        </w:rPr>
        <w:t>住房城乡建设主管部门</w:t>
      </w:r>
      <w:r>
        <w:rPr>
          <w:rFonts w:hint="default" w:ascii="Times New Roman" w:hAnsi="Times New Roman" w:eastAsia="仿宋_GB2312" w:cs="Times New Roman"/>
          <w:sz w:val="32"/>
          <w:szCs w:val="32"/>
          <w:lang w:val="en-US" w:eastAsia="zh-CN"/>
        </w:rPr>
        <w:t>应当通过新闻报道、门户网站、专题专栏等</w:t>
      </w:r>
      <w:r>
        <w:rPr>
          <w:rFonts w:hint="eastAsia" w:ascii="Times New Roman" w:hAnsi="Times New Roman" w:eastAsia="仿宋_GB2312" w:cs="Times New Roman"/>
          <w:sz w:val="32"/>
          <w:szCs w:val="32"/>
          <w:lang w:val="en-US" w:eastAsia="zh-CN"/>
        </w:rPr>
        <w:t>渠道</w:t>
      </w:r>
      <w:r>
        <w:rPr>
          <w:rFonts w:hint="default" w:ascii="Times New Roman" w:hAnsi="Times New Roman" w:eastAsia="仿宋_GB2312" w:cs="Times New Roman"/>
          <w:sz w:val="32"/>
          <w:szCs w:val="32"/>
          <w:lang w:val="en-US" w:eastAsia="zh-CN"/>
        </w:rPr>
        <w:t>，积极宣传和普及鉴定机构信用知识，引导行业加强</w:t>
      </w:r>
      <w:r>
        <w:rPr>
          <w:rFonts w:hint="eastAsia" w:ascii="Times New Roman" w:hAnsi="Times New Roman" w:eastAsia="仿宋_GB2312" w:cs="Times New Roman"/>
          <w:sz w:val="32"/>
          <w:szCs w:val="32"/>
          <w:lang w:val="en-US" w:eastAsia="zh-CN"/>
        </w:rPr>
        <w:t>自律</w:t>
      </w:r>
      <w:r>
        <w:rPr>
          <w:rFonts w:hint="default"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rPr>
        <w:t>，不断提升鉴定业务水平。</w:t>
      </w:r>
    </w:p>
    <w:p w14:paraId="2C0C704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center"/>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第二章  信用信息的</w:t>
      </w:r>
      <w:r>
        <w:rPr>
          <w:rFonts w:hint="eastAsia" w:ascii="Times New Roman" w:hAnsi="Times New Roman" w:eastAsia="黑体" w:cs="Times New Roman"/>
          <w:kern w:val="2"/>
          <w:sz w:val="32"/>
          <w:szCs w:val="32"/>
          <w:lang w:val="en-US" w:eastAsia="zh-CN" w:bidi="ar-SA"/>
        </w:rPr>
        <w:t>构成</w:t>
      </w:r>
      <w:r>
        <w:rPr>
          <w:rFonts w:hint="default" w:ascii="Times New Roman" w:hAnsi="Times New Roman" w:eastAsia="黑体" w:cs="Times New Roman"/>
          <w:kern w:val="2"/>
          <w:sz w:val="32"/>
          <w:szCs w:val="32"/>
          <w:lang w:val="en-US" w:eastAsia="zh-CN" w:bidi="ar-SA"/>
        </w:rPr>
        <w:t>、采集和</w:t>
      </w:r>
      <w:r>
        <w:rPr>
          <w:rFonts w:hint="eastAsia" w:ascii="Times New Roman" w:hAnsi="Times New Roman" w:eastAsia="黑体" w:cs="Times New Roman"/>
          <w:kern w:val="2"/>
          <w:sz w:val="32"/>
          <w:szCs w:val="32"/>
          <w:lang w:val="en-US" w:eastAsia="zh-CN" w:bidi="ar-SA"/>
        </w:rPr>
        <w:t>认定</w:t>
      </w:r>
    </w:p>
    <w:p w14:paraId="3BA092A7">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w:t>
      </w:r>
      <w:r>
        <w:rPr>
          <w:rFonts w:hint="default" w:ascii="Times New Roman" w:hAnsi="Times New Roman" w:eastAsia="仿宋_GB2312" w:cs="Times New Roman"/>
          <w:b/>
          <w:sz w:val="32"/>
          <w:szCs w:val="32"/>
          <w:lang w:val="en-US" w:eastAsia="zh-CN"/>
        </w:rPr>
        <w:t>七</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val="en-US" w:eastAsia="zh-CN"/>
        </w:rPr>
        <w:t>信用信息构成</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sz w:val="32"/>
          <w:szCs w:val="32"/>
          <w:shd w:val="clear" w:color="auto" w:fill="FFFFFF"/>
          <w:lang w:eastAsia="zh-CN"/>
        </w:rPr>
        <w:t>鉴定机构</w:t>
      </w:r>
      <w:r>
        <w:rPr>
          <w:rFonts w:hint="default" w:ascii="Times New Roman" w:hAnsi="Times New Roman" w:eastAsia="仿宋_GB2312" w:cs="Times New Roman"/>
          <w:sz w:val="32"/>
          <w:szCs w:val="32"/>
        </w:rPr>
        <w:t>信用信息由基本信用信息、良好信用信息和不良信用信息构成。</w:t>
      </w:r>
    </w:p>
    <w:p w14:paraId="55247C5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sz w:val="32"/>
          <w:szCs w:val="32"/>
          <w:lang w:eastAsia="zh-CN"/>
        </w:rPr>
        <w:t>（一）</w:t>
      </w:r>
      <w:r>
        <w:rPr>
          <w:rFonts w:hint="default" w:ascii="Times New Roman" w:hAnsi="Times New Roman" w:eastAsia="仿宋_GB2312" w:cs="Times New Roman"/>
          <w:sz w:val="32"/>
          <w:szCs w:val="32"/>
        </w:rPr>
        <w:t>基本信用信息是</w:t>
      </w:r>
      <w:r>
        <w:rPr>
          <w:rFonts w:hint="default" w:ascii="Times New Roman" w:hAnsi="Times New Roman" w:eastAsia="仿宋_GB2312" w:cs="Times New Roman"/>
          <w:sz w:val="32"/>
          <w:szCs w:val="32"/>
          <w:lang w:val="en-US" w:eastAsia="zh-CN"/>
        </w:rPr>
        <w:t>指</w:t>
      </w:r>
      <w:r>
        <w:rPr>
          <w:rFonts w:hint="default" w:ascii="Times New Roman" w:hAnsi="Times New Roman" w:eastAsia="仿宋_GB2312" w:cs="Times New Roman"/>
          <w:b w:val="0"/>
          <w:bCs w:val="0"/>
          <w:sz w:val="32"/>
          <w:szCs w:val="32"/>
          <w:shd w:val="clear" w:color="auto" w:fill="FFFFFF"/>
          <w:lang w:eastAsia="zh-CN"/>
        </w:rPr>
        <w:t>鉴定机构</w:t>
      </w:r>
      <w:r>
        <w:rPr>
          <w:rFonts w:hint="default" w:ascii="Times New Roman" w:hAnsi="Times New Roman" w:eastAsia="仿宋_GB2312" w:cs="Times New Roman"/>
          <w:sz w:val="32"/>
          <w:szCs w:val="32"/>
          <w:lang w:val="en-US" w:eastAsia="zh-CN"/>
        </w:rPr>
        <w:t>名称、统一社会信用代码、资质情况、人员和设备情况等信息。</w:t>
      </w:r>
    </w:p>
    <w:p w14:paraId="7E613066">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（二）</w:t>
      </w:r>
      <w:r>
        <w:rPr>
          <w:rFonts w:hint="default" w:ascii="Times New Roman" w:hAnsi="Times New Roman" w:eastAsia="仿宋_GB2312" w:cs="Times New Roman"/>
          <w:sz w:val="32"/>
          <w:szCs w:val="32"/>
        </w:rPr>
        <w:t>良好信用信息是</w:t>
      </w:r>
      <w:r>
        <w:rPr>
          <w:rFonts w:hint="eastAsia" w:ascii="Times New Roman" w:hAnsi="Times New Roman" w:eastAsia="仿宋_GB2312" w:cs="Times New Roman"/>
          <w:sz w:val="32"/>
          <w:szCs w:val="32"/>
          <w:lang w:eastAsia="zh-CN"/>
        </w:rPr>
        <w:t>指</w:t>
      </w:r>
      <w:r>
        <w:rPr>
          <w:rFonts w:hint="default" w:ascii="Times New Roman" w:hAnsi="Times New Roman" w:eastAsia="仿宋_GB2312" w:cs="Times New Roman"/>
          <w:b w:val="0"/>
          <w:bCs w:val="0"/>
          <w:sz w:val="32"/>
          <w:szCs w:val="32"/>
          <w:shd w:val="clear" w:color="auto" w:fill="FFFFFF"/>
          <w:lang w:eastAsia="zh-CN"/>
        </w:rPr>
        <w:t>鉴定机构</w:t>
      </w:r>
      <w:r>
        <w:rPr>
          <w:rFonts w:hint="default" w:ascii="Times New Roman" w:hAnsi="Times New Roman" w:eastAsia="仿宋_GB2312" w:cs="Times New Roman"/>
          <w:sz w:val="32"/>
          <w:szCs w:val="32"/>
        </w:rPr>
        <w:t>在</w:t>
      </w:r>
      <w:r>
        <w:rPr>
          <w:rFonts w:hint="eastAsia" w:ascii="Times New Roman" w:hAnsi="Times New Roman" w:eastAsia="仿宋_GB2312" w:cs="Times New Roman"/>
          <w:sz w:val="32"/>
          <w:szCs w:val="32"/>
          <w:lang w:eastAsia="zh-CN"/>
        </w:rPr>
        <w:t>从事房屋安全鉴定活动中受到省级部门及以上的表彰、奖励或科技创新等信息。</w:t>
      </w:r>
    </w:p>
    <w:p w14:paraId="6F116223">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sz w:val="32"/>
          <w:szCs w:val="32"/>
          <w:lang w:eastAsia="zh-CN"/>
        </w:rPr>
        <w:t>（三）</w:t>
      </w:r>
      <w:r>
        <w:rPr>
          <w:rFonts w:hint="default" w:ascii="Times New Roman" w:hAnsi="Times New Roman" w:eastAsia="仿宋_GB2312" w:cs="Times New Roman"/>
          <w:sz w:val="32"/>
          <w:szCs w:val="32"/>
        </w:rPr>
        <w:t>不良信用信息是</w:t>
      </w:r>
      <w:r>
        <w:rPr>
          <w:rFonts w:hint="eastAsia" w:ascii="Times New Roman" w:hAnsi="Times New Roman" w:eastAsia="仿宋_GB2312" w:cs="Times New Roman"/>
          <w:sz w:val="32"/>
          <w:szCs w:val="32"/>
          <w:lang w:eastAsia="zh-CN"/>
        </w:rPr>
        <w:t>指</w:t>
      </w:r>
      <w:r>
        <w:rPr>
          <w:rFonts w:hint="default" w:ascii="Times New Roman" w:hAnsi="Times New Roman" w:eastAsia="仿宋_GB2312" w:cs="Times New Roman"/>
          <w:b w:val="0"/>
          <w:bCs w:val="0"/>
          <w:sz w:val="32"/>
          <w:szCs w:val="32"/>
          <w:shd w:val="clear" w:color="auto" w:fill="FFFFFF"/>
          <w:lang w:eastAsia="zh-CN"/>
        </w:rPr>
        <w:t>鉴定机构</w:t>
      </w:r>
      <w:r>
        <w:rPr>
          <w:rFonts w:hint="default" w:ascii="Times New Roman" w:hAnsi="Times New Roman" w:eastAsia="仿宋_GB2312" w:cs="Times New Roman"/>
          <w:sz w:val="32"/>
          <w:szCs w:val="32"/>
        </w:rPr>
        <w:t>在</w:t>
      </w:r>
      <w:r>
        <w:rPr>
          <w:rFonts w:hint="eastAsia" w:ascii="Times New Roman" w:hAnsi="Times New Roman" w:eastAsia="仿宋_GB2312" w:cs="Times New Roman"/>
          <w:sz w:val="32"/>
          <w:szCs w:val="32"/>
          <w:lang w:eastAsia="zh-CN"/>
        </w:rPr>
        <w:t>从事</w:t>
      </w:r>
      <w:r>
        <w:rPr>
          <w:rFonts w:hint="default" w:ascii="Times New Roman" w:hAnsi="Times New Roman" w:eastAsia="仿宋_GB2312" w:cs="Times New Roman"/>
          <w:sz w:val="32"/>
          <w:szCs w:val="32"/>
          <w:shd w:val="clear" w:color="auto" w:fill="FFFFFF"/>
          <w:lang w:eastAsia="zh-CN"/>
        </w:rPr>
        <w:t>房屋建筑安全与抗震性能鉴定</w:t>
      </w:r>
      <w:r>
        <w:rPr>
          <w:rFonts w:hint="default" w:ascii="Times New Roman" w:hAnsi="Times New Roman" w:eastAsia="仿宋_GB2312" w:cs="Times New Roman"/>
          <w:sz w:val="32"/>
          <w:szCs w:val="32"/>
        </w:rPr>
        <w:t>活动中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违反相关法律、法规、规章、规范性文件或相关规范标准等行为信息，以及由司法机关或其他行政机关推送的失信联合惩戒行为信息。</w:t>
      </w:r>
    </w:p>
    <w:p w14:paraId="28220B34">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八</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val="en-US" w:eastAsia="zh-CN"/>
        </w:rPr>
        <w:t>不良信用信息分类</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sz w:val="32"/>
          <w:szCs w:val="32"/>
        </w:rPr>
        <w:t>按照失信行为造成后果的严重程度，将不良信用信息分为严重失信行为和一般失信行为。</w:t>
      </w:r>
    </w:p>
    <w:p w14:paraId="33317B7B">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重失信行为主要包括：因严重破坏市场公平竞争秩序和社会正常秩序的行为被处以行政处罚的信息；在司法机关、行政机关作出裁判或者决定后，因有履行能力但拒不履行、逃避执行，且情节严重的行为；法律、法规、规章明确规定构成情节严重的；经</w:t>
      </w:r>
      <w:r>
        <w:rPr>
          <w:rFonts w:hint="eastAsia"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rPr>
        <w:t>行政机关认定的</w:t>
      </w:r>
      <w:r>
        <w:rPr>
          <w:rFonts w:hint="eastAsia" w:ascii="Times New Roman" w:hAnsi="Times New Roman" w:eastAsia="仿宋_GB2312" w:cs="Times New Roman"/>
          <w:sz w:val="32"/>
          <w:szCs w:val="32"/>
          <w:lang w:eastAsia="zh-CN"/>
        </w:rPr>
        <w:t>其他</w:t>
      </w:r>
      <w:r>
        <w:rPr>
          <w:rFonts w:hint="default" w:ascii="Times New Roman" w:hAnsi="Times New Roman" w:eastAsia="仿宋_GB2312" w:cs="Times New Roman"/>
          <w:sz w:val="32"/>
          <w:szCs w:val="32"/>
        </w:rPr>
        <w:t>严重失信行为。</w:t>
      </w:r>
    </w:p>
    <w:p w14:paraId="6F29210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一般失信行为是指性质较轻、情节轻微、社会危害程度较小的违法失信行为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按简易程序</w:t>
      </w:r>
      <w:r>
        <w:rPr>
          <w:rFonts w:hint="default" w:ascii="Times New Roman" w:hAnsi="Times New Roman" w:eastAsia="仿宋_GB2312" w:cs="Times New Roman"/>
          <w:sz w:val="32"/>
          <w:szCs w:val="32"/>
          <w:lang w:eastAsia="zh-CN"/>
        </w:rPr>
        <w:t>作出</w:t>
      </w:r>
      <w:r>
        <w:rPr>
          <w:rFonts w:hint="default" w:ascii="Times New Roman" w:hAnsi="Times New Roman" w:eastAsia="仿宋_GB2312" w:cs="Times New Roman"/>
          <w:sz w:val="32"/>
          <w:szCs w:val="32"/>
        </w:rPr>
        <w:t>的行政处罚确定为一般失信行为。</w:t>
      </w:r>
    </w:p>
    <w:p w14:paraId="503299F2">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九</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val="en-US" w:eastAsia="zh-CN"/>
        </w:rPr>
        <w:t>信用信息的采集、认定</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信用信息的采集应遵循“谁监管、谁采集、谁负责”的原则，包括鉴定机构自主申报、住建主管部门采集等方式：</w:t>
      </w:r>
    </w:p>
    <w:p w14:paraId="7B3CBE1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val="0"/>
          <w:bCs w:val="0"/>
          <w:kern w:val="0"/>
          <w:sz w:val="32"/>
          <w:szCs w:val="32"/>
          <w:lang w:val="en-US" w:eastAsia="zh-CN" w:bidi="ar"/>
        </w:rPr>
        <w:t>（一）</w:t>
      </w:r>
      <w:r>
        <w:rPr>
          <w:rFonts w:hint="default" w:ascii="Times New Roman" w:hAnsi="Times New Roman" w:eastAsia="仿宋_GB2312" w:cs="Times New Roman"/>
          <w:sz w:val="32"/>
          <w:szCs w:val="32"/>
          <w:lang w:val="en-US" w:eastAsia="zh-CN"/>
        </w:rPr>
        <w:t>基本</w:t>
      </w:r>
      <w:r>
        <w:rPr>
          <w:rFonts w:hint="default" w:ascii="Times New Roman" w:hAnsi="Times New Roman" w:eastAsia="仿宋_GB2312" w:cs="Times New Roman"/>
          <w:kern w:val="0"/>
          <w:sz w:val="32"/>
          <w:szCs w:val="32"/>
          <w:lang w:val="en-US" w:eastAsia="zh-CN" w:bidi="ar-SA"/>
        </w:rPr>
        <w:t>信用信息由鉴定机构在</w:t>
      </w:r>
      <w:r>
        <w:rPr>
          <w:rFonts w:hint="eastAsia" w:ascii="Times New Roman" w:hAnsi="Times New Roman" w:eastAsia="仿宋_GB2312" w:cs="Times New Roman"/>
          <w:kern w:val="0"/>
          <w:sz w:val="32"/>
          <w:szCs w:val="32"/>
          <w:lang w:val="en-US" w:eastAsia="zh-CN" w:bidi="ar-SA"/>
        </w:rPr>
        <w:t>房屋安全系统</w:t>
      </w:r>
      <w:r>
        <w:rPr>
          <w:rFonts w:hint="default" w:ascii="Times New Roman" w:hAnsi="Times New Roman" w:eastAsia="仿宋_GB2312" w:cs="Times New Roman"/>
          <w:kern w:val="0"/>
          <w:sz w:val="32"/>
          <w:szCs w:val="32"/>
          <w:lang w:val="en-US" w:eastAsia="zh-CN" w:bidi="ar-SA"/>
        </w:rPr>
        <w:t>上</w:t>
      </w:r>
      <w:r>
        <w:rPr>
          <w:rFonts w:hint="eastAsia" w:ascii="Times New Roman" w:hAnsi="Times New Roman" w:eastAsia="仿宋_GB2312" w:cs="Times New Roman"/>
          <w:kern w:val="0"/>
          <w:sz w:val="32"/>
          <w:szCs w:val="32"/>
          <w:lang w:val="en-US" w:eastAsia="zh-CN" w:bidi="ar-SA"/>
        </w:rPr>
        <w:t>自主诚信</w:t>
      </w:r>
      <w:r>
        <w:rPr>
          <w:rFonts w:hint="default" w:ascii="Times New Roman" w:hAnsi="Times New Roman" w:eastAsia="仿宋_GB2312" w:cs="Times New Roman"/>
          <w:kern w:val="0"/>
          <w:sz w:val="32"/>
          <w:szCs w:val="32"/>
          <w:lang w:val="en-US" w:eastAsia="zh-CN" w:bidi="ar-SA"/>
        </w:rPr>
        <w:t>填报，并对所提供信息的真实性、完整性负责。基本信息实施日常动态管理，有关信息发生变更后，应当自完成变更之日起</w:t>
      </w:r>
      <w:r>
        <w:rPr>
          <w:rFonts w:hint="eastAsia" w:ascii="Times New Roman" w:hAnsi="Times New Roman" w:eastAsia="仿宋_GB2312" w:cs="Times New Roman"/>
          <w:kern w:val="0"/>
          <w:sz w:val="32"/>
          <w:szCs w:val="32"/>
          <w:lang w:val="en-US" w:eastAsia="zh-CN" w:bidi="ar-SA"/>
        </w:rPr>
        <w:t>15</w:t>
      </w:r>
      <w:r>
        <w:rPr>
          <w:rFonts w:hint="default" w:ascii="Times New Roman" w:hAnsi="Times New Roman" w:eastAsia="仿宋_GB2312" w:cs="Times New Roman"/>
          <w:kern w:val="0"/>
          <w:sz w:val="32"/>
          <w:szCs w:val="32"/>
          <w:lang w:val="en-US" w:eastAsia="zh-CN" w:bidi="ar-SA"/>
        </w:rPr>
        <w:t>个工作日内通过</w:t>
      </w:r>
      <w:r>
        <w:rPr>
          <w:rFonts w:hint="eastAsia" w:ascii="Times New Roman" w:hAnsi="Times New Roman" w:eastAsia="仿宋_GB2312" w:cs="Times New Roman"/>
          <w:kern w:val="0"/>
          <w:sz w:val="32"/>
          <w:szCs w:val="32"/>
          <w:lang w:val="en-US" w:eastAsia="zh-CN" w:bidi="ar-SA"/>
        </w:rPr>
        <w:t>房屋安全</w:t>
      </w:r>
      <w:r>
        <w:rPr>
          <w:rFonts w:hint="default" w:ascii="Times New Roman" w:hAnsi="Times New Roman" w:eastAsia="仿宋_GB2312" w:cs="Times New Roman"/>
          <w:kern w:val="0"/>
          <w:sz w:val="32"/>
          <w:szCs w:val="32"/>
          <w:lang w:val="en-US" w:eastAsia="zh-CN" w:bidi="ar-SA"/>
        </w:rPr>
        <w:t>系统填报变更信息。</w:t>
      </w:r>
    </w:p>
    <w:p w14:paraId="6C6428E5">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sz w:val="32"/>
          <w:szCs w:val="32"/>
          <w:lang w:eastAsia="zh-CN"/>
        </w:rPr>
        <w:t>（二）</w:t>
      </w:r>
      <w:r>
        <w:rPr>
          <w:rFonts w:hint="default" w:ascii="Times New Roman" w:hAnsi="Times New Roman" w:eastAsia="仿宋_GB2312" w:cs="Times New Roman"/>
          <w:sz w:val="32"/>
          <w:szCs w:val="32"/>
        </w:rPr>
        <w:t>良好</w:t>
      </w:r>
      <w:r>
        <w:rPr>
          <w:rFonts w:hint="default" w:ascii="Times New Roman" w:hAnsi="Times New Roman" w:eastAsia="仿宋_GB2312" w:cs="Times New Roman"/>
          <w:sz w:val="32"/>
          <w:szCs w:val="32"/>
          <w:lang w:val="en-US" w:eastAsia="zh-CN"/>
        </w:rPr>
        <w:t>信用</w:t>
      </w:r>
      <w:r>
        <w:rPr>
          <w:rFonts w:hint="default" w:ascii="Times New Roman" w:hAnsi="Times New Roman" w:eastAsia="仿宋_GB2312" w:cs="Times New Roman"/>
          <w:sz w:val="32"/>
          <w:szCs w:val="32"/>
        </w:rPr>
        <w:t>信息的</w:t>
      </w:r>
      <w:r>
        <w:rPr>
          <w:rFonts w:hint="default" w:ascii="Times New Roman" w:hAnsi="Times New Roman" w:eastAsia="仿宋_GB2312" w:cs="Times New Roman"/>
          <w:sz w:val="32"/>
          <w:szCs w:val="32"/>
          <w:lang w:val="en-US" w:eastAsia="zh-CN"/>
        </w:rPr>
        <w:t>记录应由鉴定机构获得表彰奖励</w:t>
      </w:r>
      <w:r>
        <w:rPr>
          <w:rFonts w:hint="eastAsia" w:ascii="Times New Roman" w:hAnsi="Times New Roman" w:eastAsia="仿宋_GB2312" w:cs="Times New Roman"/>
          <w:sz w:val="32"/>
          <w:szCs w:val="32"/>
          <w:lang w:val="en-US" w:eastAsia="zh-CN"/>
        </w:rPr>
        <w:t>当年年底前</w:t>
      </w:r>
      <w:r>
        <w:rPr>
          <w:rFonts w:hint="default" w:ascii="Times New Roman" w:hAnsi="Times New Roman" w:eastAsia="仿宋_GB2312" w:cs="Times New Roman"/>
          <w:sz w:val="32"/>
          <w:szCs w:val="32"/>
          <w:lang w:val="en-US" w:eastAsia="zh-CN"/>
        </w:rPr>
        <w:t>自主诚信申报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kern w:val="0"/>
          <w:sz w:val="32"/>
          <w:szCs w:val="32"/>
          <w:lang w:val="en-US" w:eastAsia="zh-CN" w:bidi="ar-SA"/>
        </w:rPr>
        <w:t>并对所提供信息的真实性、完整性负责。</w:t>
      </w:r>
    </w:p>
    <w:p w14:paraId="6068EF87">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属地</w:t>
      </w:r>
      <w:r>
        <w:rPr>
          <w:rFonts w:hint="default" w:ascii="Times New Roman" w:hAnsi="Times New Roman" w:eastAsia="仿宋_GB2312" w:cs="Times New Roman"/>
          <w:sz w:val="32"/>
          <w:szCs w:val="32"/>
          <w:lang w:val="en-US" w:eastAsia="zh-CN"/>
        </w:rPr>
        <w:t>住房城乡建设主管部门</w:t>
      </w:r>
      <w:r>
        <w:rPr>
          <w:rFonts w:hint="eastAsia" w:ascii="Times New Roman" w:hAnsi="Times New Roman" w:eastAsia="仿宋_GB2312" w:cs="Times New Roman"/>
          <w:sz w:val="32"/>
          <w:szCs w:val="32"/>
          <w:lang w:val="en-US" w:eastAsia="zh-CN"/>
        </w:rPr>
        <w:t>应在5个工作日内完成对自主申报的良好行为信息进行初次认定，</w:t>
      </w:r>
      <w:r>
        <w:rPr>
          <w:rFonts w:hint="default" w:ascii="Times New Roman" w:hAnsi="Times New Roman" w:eastAsia="仿宋_GB2312" w:cs="Times New Roman"/>
          <w:sz w:val="32"/>
          <w:szCs w:val="32"/>
          <w:lang w:val="en-US" w:eastAsia="zh-CN"/>
        </w:rPr>
        <w:t>地（州、市）住房城乡建设主管部门</w:t>
      </w:r>
      <w:r>
        <w:rPr>
          <w:rFonts w:hint="eastAsia" w:ascii="Times New Roman" w:hAnsi="Times New Roman" w:eastAsia="仿宋_GB2312" w:cs="Times New Roman"/>
          <w:sz w:val="32"/>
          <w:szCs w:val="32"/>
          <w:lang w:val="en-US" w:eastAsia="zh-CN"/>
        </w:rPr>
        <w:t>进行复核，经自治区住</w:t>
      </w:r>
      <w:r>
        <w:rPr>
          <w:rFonts w:hint="default" w:ascii="Times New Roman" w:hAnsi="Times New Roman" w:eastAsia="仿宋_GB2312" w:cs="Times New Roman"/>
          <w:sz w:val="32"/>
          <w:szCs w:val="32"/>
          <w:lang w:val="en-US" w:eastAsia="zh-CN"/>
        </w:rPr>
        <w:t>房城乡建设主管部门</w:t>
      </w:r>
      <w:r>
        <w:rPr>
          <w:rFonts w:hint="eastAsia" w:ascii="Times New Roman" w:hAnsi="Times New Roman" w:eastAsia="仿宋_GB2312" w:cs="Times New Roman"/>
          <w:sz w:val="32"/>
          <w:szCs w:val="32"/>
          <w:lang w:val="en-US" w:eastAsia="zh-CN"/>
        </w:rPr>
        <w:t>确认通过后，自动录入信用信息管理系统。</w:t>
      </w:r>
    </w:p>
    <w:p w14:paraId="14D72F78">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kern w:val="2"/>
          <w:sz w:val="32"/>
          <w:szCs w:val="32"/>
          <w:lang w:val="en-US" w:eastAsia="zh-CN" w:bidi="ar-SA"/>
        </w:rPr>
        <w:t>（三）</w:t>
      </w:r>
      <w:r>
        <w:rPr>
          <w:rFonts w:hint="default" w:ascii="Times New Roman" w:hAnsi="Times New Roman" w:eastAsia="仿宋_GB2312" w:cs="Times New Roman"/>
          <w:b w:val="0"/>
          <w:bCs w:val="0"/>
          <w:sz w:val="32"/>
          <w:szCs w:val="32"/>
        </w:rPr>
        <w:t>不良</w:t>
      </w:r>
      <w:r>
        <w:rPr>
          <w:rFonts w:hint="eastAsia" w:ascii="Times New Roman" w:hAnsi="Times New Roman" w:eastAsia="仿宋_GB2312" w:cs="Times New Roman"/>
          <w:b w:val="0"/>
          <w:bCs w:val="0"/>
          <w:sz w:val="32"/>
          <w:szCs w:val="32"/>
          <w:lang w:eastAsia="zh-CN"/>
        </w:rPr>
        <w:t>信用</w:t>
      </w:r>
      <w:r>
        <w:rPr>
          <w:rFonts w:hint="default" w:ascii="Times New Roman" w:hAnsi="Times New Roman" w:eastAsia="仿宋_GB2312" w:cs="Times New Roman"/>
          <w:b w:val="0"/>
          <w:bCs w:val="0"/>
          <w:sz w:val="32"/>
          <w:szCs w:val="32"/>
        </w:rPr>
        <w:t>信息由鉴定项目</w:t>
      </w:r>
      <w:r>
        <w:rPr>
          <w:rFonts w:hint="eastAsia" w:ascii="Times New Roman" w:hAnsi="Times New Roman" w:eastAsia="仿宋_GB2312" w:cs="Times New Roman"/>
          <w:b w:val="0"/>
          <w:bCs w:val="0"/>
          <w:sz w:val="32"/>
          <w:szCs w:val="32"/>
          <w:lang w:eastAsia="zh-CN"/>
        </w:rPr>
        <w:t>属地</w:t>
      </w:r>
      <w:r>
        <w:rPr>
          <w:rFonts w:hint="default" w:ascii="Times New Roman" w:hAnsi="Times New Roman" w:eastAsia="仿宋_GB2312" w:cs="Times New Roman"/>
          <w:b w:val="0"/>
          <w:bCs w:val="0"/>
          <w:sz w:val="32"/>
          <w:szCs w:val="32"/>
        </w:rPr>
        <w:t>住建主管部门负责采集、录入。</w:t>
      </w:r>
      <w:r>
        <w:rPr>
          <w:rFonts w:hint="default" w:ascii="Times New Roman" w:hAnsi="Times New Roman" w:eastAsia="仿宋_GB2312" w:cs="Times New Roman"/>
          <w:sz w:val="32"/>
          <w:szCs w:val="32"/>
          <w:lang w:val="en-US" w:eastAsia="zh-CN"/>
        </w:rPr>
        <w:t>地（州、市）住房城乡建设主管部门</w:t>
      </w:r>
      <w:r>
        <w:rPr>
          <w:rFonts w:hint="default" w:ascii="Times New Roman" w:hAnsi="Times New Roman" w:eastAsia="仿宋_GB2312" w:cs="Times New Roman"/>
          <w:b w:val="0"/>
          <w:bCs w:val="0"/>
          <w:sz w:val="32"/>
          <w:szCs w:val="32"/>
        </w:rPr>
        <w:t>应在5个工作日内完成对</w:t>
      </w:r>
      <w:r>
        <w:rPr>
          <w:rFonts w:hint="eastAsia" w:ascii="Times New Roman" w:hAnsi="Times New Roman" w:eastAsia="仿宋_GB2312" w:cs="Times New Roman"/>
          <w:b w:val="0"/>
          <w:bCs w:val="0"/>
          <w:sz w:val="32"/>
          <w:szCs w:val="32"/>
          <w:lang w:eastAsia="zh-CN"/>
        </w:rPr>
        <w:t>属地</w:t>
      </w:r>
      <w:r>
        <w:rPr>
          <w:rFonts w:hint="default" w:ascii="Times New Roman" w:hAnsi="Times New Roman" w:eastAsia="仿宋_GB2312" w:cs="Times New Roman"/>
          <w:b w:val="0"/>
          <w:bCs w:val="0"/>
          <w:sz w:val="32"/>
          <w:szCs w:val="32"/>
        </w:rPr>
        <w:t>住建主管部门报送的不良行为信息审核</w:t>
      </w:r>
      <w:r>
        <w:rPr>
          <w:rFonts w:hint="eastAsia" w:ascii="Times New Roman" w:hAnsi="Times New Roman" w:eastAsia="仿宋_GB2312" w:cs="Times New Roman"/>
          <w:b w:val="0"/>
          <w:bCs w:val="0"/>
          <w:sz w:val="32"/>
          <w:szCs w:val="32"/>
          <w:lang w:eastAsia="zh-CN"/>
        </w:rPr>
        <w:t>，经</w:t>
      </w:r>
      <w:r>
        <w:rPr>
          <w:rFonts w:hint="eastAsia" w:ascii="Times New Roman" w:hAnsi="Times New Roman" w:eastAsia="仿宋_GB2312" w:cs="Times New Roman"/>
          <w:sz w:val="32"/>
          <w:szCs w:val="32"/>
          <w:lang w:val="en-US" w:eastAsia="zh-CN"/>
        </w:rPr>
        <w:t>自治区住</w:t>
      </w:r>
      <w:r>
        <w:rPr>
          <w:rFonts w:hint="default" w:ascii="Times New Roman" w:hAnsi="Times New Roman" w:eastAsia="仿宋_GB2312" w:cs="Times New Roman"/>
          <w:sz w:val="32"/>
          <w:szCs w:val="32"/>
          <w:lang w:val="en-US" w:eastAsia="zh-CN"/>
        </w:rPr>
        <w:t>房城乡建设主管部门</w:t>
      </w:r>
      <w:r>
        <w:rPr>
          <w:rFonts w:hint="eastAsia" w:ascii="Times New Roman" w:hAnsi="Times New Roman" w:eastAsia="仿宋_GB2312" w:cs="Times New Roman"/>
          <w:sz w:val="32"/>
          <w:szCs w:val="32"/>
          <w:lang w:val="en-US" w:eastAsia="zh-CN"/>
        </w:rPr>
        <w:t>确认通过后</w:t>
      </w:r>
      <w:r>
        <w:rPr>
          <w:rFonts w:hint="default" w:ascii="Times New Roman" w:hAnsi="Times New Roman" w:eastAsia="仿宋_GB2312" w:cs="Times New Roman"/>
          <w:b w:val="0"/>
          <w:bCs w:val="0"/>
          <w:sz w:val="32"/>
          <w:szCs w:val="32"/>
        </w:rPr>
        <w:t>，予以信用扣分，并将该不良行为信息对应的扣分事项、扣分标准告知鉴定机构。</w:t>
      </w:r>
    </w:p>
    <w:p w14:paraId="4691A6D9">
      <w:pPr>
        <w:numPr>
          <w:ilvl w:val="0"/>
          <w:numId w:val="0"/>
        </w:num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十</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val="en-US" w:eastAsia="zh-CN"/>
        </w:rPr>
        <w:t>信用信息的变更</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sz w:val="32"/>
          <w:szCs w:val="32"/>
          <w:shd w:val="clear" w:color="auto" w:fill="FFFFFF"/>
          <w:lang w:val="en-US" w:eastAsia="zh-CN"/>
        </w:rPr>
        <w:t xml:space="preserve"> </w:t>
      </w:r>
      <w:r>
        <w:rPr>
          <w:rFonts w:hint="default" w:ascii="Times New Roman" w:hAnsi="Times New Roman" w:eastAsia="仿宋_GB2312" w:cs="Times New Roman"/>
          <w:sz w:val="32"/>
          <w:szCs w:val="32"/>
        </w:rPr>
        <w:t>对信用信息的录入和变更，应当以已具备法律效力的文书，或者</w:t>
      </w:r>
      <w:r>
        <w:rPr>
          <w:rFonts w:hint="default" w:ascii="Times New Roman" w:hAnsi="Times New Roman" w:eastAsia="仿宋_GB2312" w:cs="Times New Roman"/>
          <w:sz w:val="32"/>
          <w:szCs w:val="32"/>
          <w:lang w:eastAsia="zh-CN"/>
        </w:rPr>
        <w:t>其他有效</w:t>
      </w:r>
      <w:r>
        <w:rPr>
          <w:rFonts w:hint="default" w:ascii="Times New Roman" w:hAnsi="Times New Roman" w:eastAsia="仿宋_GB2312" w:cs="Times New Roman"/>
          <w:sz w:val="32"/>
          <w:szCs w:val="32"/>
        </w:rPr>
        <w:t>证明文件为依据。任何单位和个人未依照权限、程序，不得擅自修改、增加、删除信用信息。</w:t>
      </w:r>
    </w:p>
    <w:p w14:paraId="460B773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420"/>
        <w:jc w:val="center"/>
        <w:textAlignment w:val="auto"/>
        <w:rPr>
          <w:rFonts w:hint="default" w:ascii="Times New Roman" w:hAnsi="Times New Roman" w:eastAsia="黑体" w:cs="Times New Roman"/>
          <w:kern w:val="2"/>
          <w:sz w:val="32"/>
          <w:szCs w:val="32"/>
          <w:lang w:val="en-US" w:eastAsia="zh-CN" w:bidi="ar-SA"/>
        </w:rPr>
      </w:pPr>
    </w:p>
    <w:p w14:paraId="46AD664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firstLineChars="0"/>
        <w:jc w:val="center"/>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第三章  信用</w:t>
      </w:r>
      <w:r>
        <w:rPr>
          <w:rFonts w:hint="eastAsia" w:ascii="Times New Roman" w:hAnsi="Times New Roman" w:eastAsia="黑体" w:cs="Times New Roman"/>
          <w:kern w:val="2"/>
          <w:sz w:val="32"/>
          <w:szCs w:val="32"/>
          <w:lang w:val="en-US" w:eastAsia="zh-CN" w:bidi="ar-SA"/>
        </w:rPr>
        <w:t>信息</w:t>
      </w:r>
      <w:r>
        <w:rPr>
          <w:rFonts w:hint="default" w:ascii="Times New Roman" w:hAnsi="Times New Roman" w:eastAsia="黑体" w:cs="Times New Roman"/>
          <w:kern w:val="2"/>
          <w:sz w:val="32"/>
          <w:szCs w:val="32"/>
          <w:lang w:val="en-US" w:eastAsia="zh-CN" w:bidi="ar-SA"/>
        </w:rPr>
        <w:t>评价</w:t>
      </w:r>
      <w:r>
        <w:rPr>
          <w:rFonts w:hint="eastAsia" w:ascii="Times New Roman" w:hAnsi="Times New Roman" w:eastAsia="黑体" w:cs="Times New Roman"/>
          <w:kern w:val="2"/>
          <w:sz w:val="32"/>
          <w:szCs w:val="32"/>
          <w:lang w:val="en-US" w:eastAsia="zh-CN" w:bidi="ar-SA"/>
        </w:rPr>
        <w:t>和公布</w:t>
      </w:r>
    </w:p>
    <w:p w14:paraId="19173D52">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val="en-US" w:eastAsia="zh-CN"/>
        </w:rPr>
        <w:t>信用信息计分标准</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sz w:val="32"/>
          <w:szCs w:val="32"/>
        </w:rPr>
        <w:t>鉴定机构信用</w:t>
      </w:r>
      <w:r>
        <w:rPr>
          <w:rFonts w:hint="default" w:ascii="Times New Roman" w:hAnsi="Times New Roman" w:eastAsia="仿宋_GB2312" w:cs="Times New Roman"/>
          <w:sz w:val="32"/>
          <w:szCs w:val="32"/>
          <w:lang w:val="en-US" w:eastAsia="zh-CN"/>
        </w:rPr>
        <w:t>评价</w:t>
      </w:r>
      <w:r>
        <w:rPr>
          <w:rFonts w:hint="default" w:ascii="Times New Roman" w:hAnsi="Times New Roman" w:eastAsia="仿宋_GB2312" w:cs="Times New Roman"/>
          <w:sz w:val="32"/>
          <w:szCs w:val="32"/>
        </w:rPr>
        <w:t>等级实行</w:t>
      </w:r>
      <w:r>
        <w:rPr>
          <w:rFonts w:hint="default" w:ascii="Times New Roman" w:hAnsi="Times New Roman" w:eastAsia="仿宋_GB2312" w:cs="Times New Roman"/>
          <w:sz w:val="32"/>
          <w:szCs w:val="32"/>
          <w:shd w:val="clear" w:color="auto" w:fill="FFFFFF"/>
        </w:rPr>
        <w:t>量化评分</w:t>
      </w:r>
      <w:r>
        <w:rPr>
          <w:rFonts w:hint="default" w:ascii="Times New Roman" w:hAnsi="Times New Roman" w:eastAsia="仿宋_GB2312" w:cs="Times New Roman"/>
          <w:sz w:val="32"/>
          <w:szCs w:val="32"/>
        </w:rPr>
        <w:t>制，评分规则为：信用得分=基本信用分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80分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z w:val="32"/>
          <w:szCs w:val="32"/>
        </w:rPr>
        <w:t>＋良好信用分－不良信用分</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鉴定机构首次参加信用评价并完整、准确、诚信填报基本信息的，初始信用分计80分。同一信用信息不重复计分，以最高分值认定。</w:t>
      </w:r>
    </w:p>
    <w:p w14:paraId="002DB761">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val="en-US" w:eastAsia="zh-CN"/>
        </w:rPr>
        <w:t>信用等级</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鉴定机构</w:t>
      </w:r>
      <w:r>
        <w:rPr>
          <w:rFonts w:hint="default" w:ascii="Times New Roman" w:hAnsi="Times New Roman" w:eastAsia="仿宋_GB2312" w:cs="Times New Roman"/>
          <w:b w:val="0"/>
          <w:bCs w:val="0"/>
          <w:sz w:val="32"/>
          <w:szCs w:val="32"/>
        </w:rPr>
        <w:t>信</w:t>
      </w:r>
      <w:r>
        <w:rPr>
          <w:rFonts w:hint="default" w:ascii="Times New Roman" w:hAnsi="Times New Roman" w:eastAsia="仿宋_GB2312" w:cs="Times New Roman"/>
          <w:sz w:val="32"/>
          <w:szCs w:val="32"/>
        </w:rPr>
        <w:t>用等级分为</w:t>
      </w:r>
      <w:r>
        <w:rPr>
          <w:rFonts w:hint="eastAsia" w:ascii="Times New Roman" w:hAnsi="Times New Roman" w:eastAsia="仿宋_GB2312" w:cs="Times New Roman"/>
          <w:sz w:val="32"/>
          <w:szCs w:val="32"/>
          <w:lang w:val="en-US" w:eastAsia="zh-CN"/>
        </w:rPr>
        <w:t>AAA级（</w:t>
      </w:r>
      <w:r>
        <w:rPr>
          <w:rFonts w:hint="eastAsia" w:ascii="Times New Roman" w:hAnsi="Times New Roman" w:eastAsia="仿宋_GB2312" w:cs="Times New Roman"/>
          <w:sz w:val="32"/>
          <w:szCs w:val="32"/>
          <w:vertAlign w:val="baseline"/>
          <w:lang w:val="en-US" w:eastAsia="zh-CN"/>
        </w:rPr>
        <w:t>信用极好</w:t>
      </w:r>
      <w:r>
        <w:rPr>
          <w:rFonts w:hint="eastAsia" w:ascii="Times New Roman" w:hAnsi="Times New Roman" w:eastAsia="仿宋_GB2312" w:cs="Times New Roman"/>
          <w:sz w:val="32"/>
          <w:szCs w:val="32"/>
          <w:lang w:val="en-US" w:eastAsia="zh-CN"/>
        </w:rPr>
        <w:t>）、AA级（</w:t>
      </w:r>
      <w:r>
        <w:rPr>
          <w:rFonts w:hint="eastAsia" w:ascii="Times New Roman" w:hAnsi="Times New Roman" w:eastAsia="仿宋_GB2312" w:cs="Times New Roman"/>
          <w:sz w:val="32"/>
          <w:szCs w:val="32"/>
          <w:vertAlign w:val="baseline"/>
          <w:lang w:val="en-US" w:eastAsia="zh-CN"/>
        </w:rPr>
        <w:t>信用较好</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A级</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信用</w:t>
      </w:r>
      <w:r>
        <w:rPr>
          <w:rFonts w:hint="eastAsia" w:ascii="Times New Roman" w:hAnsi="Times New Roman" w:eastAsia="仿宋_GB2312" w:cs="Times New Roman"/>
          <w:sz w:val="32"/>
          <w:szCs w:val="32"/>
          <w:lang w:val="en-US" w:eastAsia="zh-CN"/>
        </w:rPr>
        <w:t>良好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、B级</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信用一般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、C级</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信用</w:t>
      </w:r>
      <w:r>
        <w:rPr>
          <w:rFonts w:hint="default" w:ascii="Times New Roman" w:hAnsi="Times New Roman" w:eastAsia="仿宋_GB2312" w:cs="Times New Roman"/>
          <w:sz w:val="32"/>
          <w:szCs w:val="32"/>
          <w:lang w:val="en-US" w:eastAsia="zh-CN"/>
        </w:rPr>
        <w:t>较差</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D</w:t>
      </w:r>
      <w:r>
        <w:rPr>
          <w:rFonts w:hint="default" w:ascii="Times New Roman" w:hAnsi="Times New Roman" w:eastAsia="仿宋_GB2312" w:cs="Times New Roman"/>
          <w:sz w:val="32"/>
          <w:szCs w:val="32"/>
        </w:rPr>
        <w:t>级</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信用</w:t>
      </w:r>
      <w:r>
        <w:rPr>
          <w:rFonts w:hint="default" w:ascii="Times New Roman" w:hAnsi="Times New Roman" w:eastAsia="仿宋_GB2312" w:cs="Times New Roman"/>
          <w:sz w:val="32"/>
          <w:szCs w:val="32"/>
          <w:lang w:val="en-US" w:eastAsia="zh-CN"/>
        </w:rPr>
        <w:t>很差</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个等级。</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3020"/>
      </w:tblGrid>
      <w:tr w14:paraId="5ABA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20" w:type="dxa"/>
            <w:noWrap w:val="0"/>
            <w:vAlign w:val="center"/>
          </w:tcPr>
          <w:p w14:paraId="0B8B4114">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信用等级</w:t>
            </w:r>
          </w:p>
        </w:tc>
        <w:tc>
          <w:tcPr>
            <w:tcW w:w="3020" w:type="dxa"/>
            <w:noWrap w:val="0"/>
            <w:vAlign w:val="center"/>
          </w:tcPr>
          <w:p w14:paraId="7E911372">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评价分值</w:t>
            </w:r>
          </w:p>
        </w:tc>
        <w:tc>
          <w:tcPr>
            <w:tcW w:w="3020" w:type="dxa"/>
            <w:noWrap w:val="0"/>
            <w:vAlign w:val="center"/>
          </w:tcPr>
          <w:p w14:paraId="4C74633D">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信用等级</w:t>
            </w:r>
          </w:p>
        </w:tc>
      </w:tr>
      <w:tr w14:paraId="66EA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20" w:type="dxa"/>
            <w:noWrap w:val="0"/>
            <w:vAlign w:val="center"/>
          </w:tcPr>
          <w:p w14:paraId="7BEE188A">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AAA</w:t>
            </w:r>
          </w:p>
        </w:tc>
        <w:tc>
          <w:tcPr>
            <w:tcW w:w="3020" w:type="dxa"/>
            <w:noWrap w:val="0"/>
            <w:vAlign w:val="center"/>
          </w:tcPr>
          <w:p w14:paraId="1F5964BD">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115</w:t>
            </w:r>
            <w:r>
              <w:rPr>
                <w:rFonts w:hint="eastAsia" w:ascii="Times New Roman" w:hAnsi="Times New Roman" w:eastAsia="仿宋_GB2312" w:cs="Times New Roman"/>
                <w:sz w:val="32"/>
                <w:szCs w:val="32"/>
                <w:vertAlign w:val="baseline"/>
                <w:lang w:val="en-US" w:eastAsia="zh-CN"/>
              </w:rPr>
              <w:t>-</w:t>
            </w:r>
            <w:r>
              <w:rPr>
                <w:rFonts w:hint="default" w:ascii="Times New Roman" w:hAnsi="Times New Roman" w:eastAsia="仿宋_GB2312" w:cs="Times New Roman"/>
                <w:sz w:val="32"/>
                <w:szCs w:val="32"/>
                <w:vertAlign w:val="baseline"/>
                <w:lang w:val="en-US" w:eastAsia="zh-CN"/>
              </w:rPr>
              <w:t>130分（含115）</w:t>
            </w:r>
          </w:p>
        </w:tc>
        <w:tc>
          <w:tcPr>
            <w:tcW w:w="3020" w:type="dxa"/>
            <w:noWrap w:val="0"/>
            <w:vAlign w:val="center"/>
          </w:tcPr>
          <w:p w14:paraId="3E7659B2">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信用极好</w:t>
            </w:r>
          </w:p>
        </w:tc>
      </w:tr>
      <w:tr w14:paraId="191E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20" w:type="dxa"/>
            <w:noWrap w:val="0"/>
            <w:vAlign w:val="center"/>
          </w:tcPr>
          <w:p w14:paraId="7E51756F">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AA</w:t>
            </w:r>
          </w:p>
        </w:tc>
        <w:tc>
          <w:tcPr>
            <w:tcW w:w="3020" w:type="dxa"/>
            <w:noWrap w:val="0"/>
            <w:vAlign w:val="center"/>
          </w:tcPr>
          <w:p w14:paraId="475EBED5">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auto"/>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vertAlign w:val="baseline"/>
                <w:lang w:val="en-US" w:eastAsia="zh-CN"/>
              </w:rPr>
              <w:t>100</w:t>
            </w:r>
            <w:r>
              <w:rPr>
                <w:rFonts w:hint="eastAsia" w:ascii="Times New Roman" w:hAnsi="Times New Roman" w:eastAsia="仿宋_GB2312" w:cs="Times New Roman"/>
                <w:sz w:val="32"/>
                <w:szCs w:val="32"/>
                <w:vertAlign w:val="baseline"/>
                <w:lang w:val="en-US" w:eastAsia="zh-CN"/>
              </w:rPr>
              <w:t>-</w:t>
            </w:r>
            <w:r>
              <w:rPr>
                <w:rFonts w:hint="default" w:ascii="Times New Roman" w:hAnsi="Times New Roman" w:eastAsia="仿宋_GB2312" w:cs="Times New Roman"/>
                <w:sz w:val="32"/>
                <w:szCs w:val="32"/>
                <w:vertAlign w:val="baseline"/>
                <w:lang w:val="en-US" w:eastAsia="zh-CN"/>
              </w:rPr>
              <w:t>115分（含100）</w:t>
            </w:r>
          </w:p>
        </w:tc>
        <w:tc>
          <w:tcPr>
            <w:tcW w:w="3020" w:type="dxa"/>
            <w:noWrap w:val="0"/>
            <w:vAlign w:val="center"/>
          </w:tcPr>
          <w:p w14:paraId="4D8384F6">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auto"/>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vertAlign w:val="baseline"/>
                <w:lang w:val="en-US" w:eastAsia="zh-CN"/>
              </w:rPr>
              <w:t>信用较好</w:t>
            </w:r>
          </w:p>
        </w:tc>
      </w:tr>
      <w:tr w14:paraId="15E7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20" w:type="dxa"/>
            <w:noWrap w:val="0"/>
            <w:vAlign w:val="center"/>
          </w:tcPr>
          <w:p w14:paraId="27F3126B">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rightChars="0"/>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A</w:t>
            </w:r>
          </w:p>
        </w:tc>
        <w:tc>
          <w:tcPr>
            <w:tcW w:w="3020" w:type="dxa"/>
            <w:noWrap w:val="0"/>
            <w:vAlign w:val="center"/>
          </w:tcPr>
          <w:p w14:paraId="11672D12">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rightChars="0"/>
              <w:jc w:val="center"/>
              <w:textAlignment w:val="auto"/>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vertAlign w:val="baseline"/>
                <w:lang w:val="en-US" w:eastAsia="zh-CN"/>
              </w:rPr>
              <w:t>90</w:t>
            </w:r>
            <w:r>
              <w:rPr>
                <w:rFonts w:hint="eastAsia" w:ascii="Times New Roman" w:hAnsi="Times New Roman" w:eastAsia="仿宋_GB2312" w:cs="Times New Roman"/>
                <w:sz w:val="32"/>
                <w:szCs w:val="32"/>
                <w:vertAlign w:val="baseline"/>
                <w:lang w:val="en-US" w:eastAsia="zh-CN"/>
              </w:rPr>
              <w:t>-</w:t>
            </w:r>
            <w:r>
              <w:rPr>
                <w:rFonts w:hint="default" w:ascii="Times New Roman" w:hAnsi="Times New Roman" w:eastAsia="仿宋_GB2312" w:cs="Times New Roman"/>
                <w:sz w:val="32"/>
                <w:szCs w:val="32"/>
                <w:vertAlign w:val="baseline"/>
                <w:lang w:val="en-US" w:eastAsia="zh-CN"/>
              </w:rPr>
              <w:t>100分（含90）</w:t>
            </w:r>
          </w:p>
        </w:tc>
        <w:tc>
          <w:tcPr>
            <w:tcW w:w="3020" w:type="dxa"/>
            <w:noWrap w:val="0"/>
            <w:vAlign w:val="center"/>
          </w:tcPr>
          <w:p w14:paraId="71080706">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rightChars="0"/>
              <w:jc w:val="center"/>
              <w:textAlignment w:val="auto"/>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vertAlign w:val="baseline"/>
                <w:lang w:val="en-US" w:eastAsia="zh-CN"/>
              </w:rPr>
              <w:t>信用良好</w:t>
            </w:r>
          </w:p>
        </w:tc>
      </w:tr>
      <w:tr w14:paraId="6FC9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20" w:type="dxa"/>
            <w:noWrap w:val="0"/>
            <w:vAlign w:val="center"/>
          </w:tcPr>
          <w:p w14:paraId="7BFAB6FD">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rightChars="0"/>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B</w:t>
            </w:r>
          </w:p>
        </w:tc>
        <w:tc>
          <w:tcPr>
            <w:tcW w:w="3020" w:type="dxa"/>
            <w:noWrap w:val="0"/>
            <w:vAlign w:val="center"/>
          </w:tcPr>
          <w:p w14:paraId="227FA255">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rightChars="0"/>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80</w:t>
            </w:r>
            <w:r>
              <w:rPr>
                <w:rFonts w:hint="eastAsia" w:ascii="Times New Roman" w:hAnsi="Times New Roman" w:eastAsia="仿宋_GB2312" w:cs="Times New Roman"/>
                <w:sz w:val="32"/>
                <w:szCs w:val="32"/>
                <w:vertAlign w:val="baseline"/>
                <w:lang w:val="en-US" w:eastAsia="zh-CN"/>
              </w:rPr>
              <w:t>-</w:t>
            </w:r>
            <w:r>
              <w:rPr>
                <w:rFonts w:hint="default" w:ascii="Times New Roman" w:hAnsi="Times New Roman" w:eastAsia="仿宋_GB2312" w:cs="Times New Roman"/>
                <w:sz w:val="32"/>
                <w:szCs w:val="32"/>
                <w:vertAlign w:val="baseline"/>
                <w:lang w:val="en-US" w:eastAsia="zh-CN"/>
              </w:rPr>
              <w:t>90分（含80）</w:t>
            </w:r>
          </w:p>
        </w:tc>
        <w:tc>
          <w:tcPr>
            <w:tcW w:w="3020" w:type="dxa"/>
            <w:noWrap w:val="0"/>
            <w:vAlign w:val="center"/>
          </w:tcPr>
          <w:p w14:paraId="604F300E">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rightChars="0"/>
              <w:jc w:val="center"/>
              <w:textAlignment w:val="auto"/>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vertAlign w:val="baseline"/>
                <w:lang w:val="en-US" w:eastAsia="zh-CN"/>
              </w:rPr>
              <w:t>信用</w:t>
            </w:r>
            <w:r>
              <w:rPr>
                <w:rFonts w:hint="default" w:ascii="Times New Roman" w:hAnsi="Times New Roman" w:eastAsia="仿宋_GB2312" w:cs="Times New Roman"/>
                <w:sz w:val="32"/>
                <w:szCs w:val="32"/>
                <w:lang w:val="en-US" w:eastAsia="zh-CN"/>
              </w:rPr>
              <w:t>一般</w:t>
            </w:r>
          </w:p>
        </w:tc>
      </w:tr>
      <w:tr w14:paraId="1447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20" w:type="dxa"/>
            <w:noWrap w:val="0"/>
            <w:vAlign w:val="center"/>
          </w:tcPr>
          <w:p w14:paraId="2F33649F">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rightChars="0"/>
              <w:jc w:val="center"/>
              <w:textAlignment w:val="auto"/>
              <w:rPr>
                <w:rFonts w:hint="default" w:ascii="Times New Roman" w:hAnsi="Times New Roman" w:eastAsia="仿宋_GB2312" w:cs="Times New Roman"/>
                <w:kern w:val="0"/>
                <w:sz w:val="32"/>
                <w:szCs w:val="32"/>
                <w:vertAlign w:val="baseline"/>
                <w:lang w:val="en-US" w:eastAsia="zh-CN" w:bidi="ar"/>
              </w:rPr>
            </w:pPr>
            <w:r>
              <w:rPr>
                <w:rFonts w:hint="default" w:ascii="Times New Roman" w:hAnsi="Times New Roman" w:eastAsia="仿宋_GB2312" w:cs="Times New Roman"/>
                <w:sz w:val="32"/>
                <w:szCs w:val="32"/>
                <w:vertAlign w:val="baseline"/>
                <w:lang w:val="en-US" w:eastAsia="zh-CN"/>
              </w:rPr>
              <w:t>C</w:t>
            </w:r>
          </w:p>
        </w:tc>
        <w:tc>
          <w:tcPr>
            <w:tcW w:w="3020" w:type="dxa"/>
            <w:noWrap w:val="0"/>
            <w:vAlign w:val="center"/>
          </w:tcPr>
          <w:p w14:paraId="7EB965A1">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rightChars="0"/>
              <w:jc w:val="center"/>
              <w:textAlignment w:val="auto"/>
              <w:rPr>
                <w:rFonts w:hint="default" w:ascii="Times New Roman" w:hAnsi="Times New Roman" w:eastAsia="仿宋_GB2312" w:cs="Times New Roman"/>
                <w:kern w:val="0"/>
                <w:sz w:val="32"/>
                <w:szCs w:val="32"/>
                <w:vertAlign w:val="baseline"/>
                <w:lang w:val="en-US" w:eastAsia="zh-CN" w:bidi="ar"/>
              </w:rPr>
            </w:pPr>
            <w:r>
              <w:rPr>
                <w:rFonts w:hint="default" w:ascii="Times New Roman" w:hAnsi="Times New Roman" w:eastAsia="仿宋_GB2312" w:cs="Times New Roman"/>
                <w:sz w:val="32"/>
                <w:szCs w:val="32"/>
                <w:vertAlign w:val="baseline"/>
                <w:lang w:val="en-US" w:eastAsia="zh-CN"/>
              </w:rPr>
              <w:t>70</w:t>
            </w:r>
            <w:r>
              <w:rPr>
                <w:rFonts w:hint="eastAsia" w:ascii="Times New Roman" w:hAnsi="Times New Roman" w:eastAsia="仿宋_GB2312" w:cs="Times New Roman"/>
                <w:sz w:val="32"/>
                <w:szCs w:val="32"/>
                <w:vertAlign w:val="baseline"/>
                <w:lang w:val="en-US" w:eastAsia="zh-CN"/>
              </w:rPr>
              <w:t>-</w:t>
            </w:r>
            <w:r>
              <w:rPr>
                <w:rFonts w:hint="default" w:ascii="Times New Roman" w:hAnsi="Times New Roman" w:eastAsia="仿宋_GB2312" w:cs="Times New Roman"/>
                <w:sz w:val="32"/>
                <w:szCs w:val="32"/>
                <w:vertAlign w:val="baseline"/>
                <w:lang w:val="en-US" w:eastAsia="zh-CN"/>
              </w:rPr>
              <w:t>80分（含70）</w:t>
            </w:r>
          </w:p>
        </w:tc>
        <w:tc>
          <w:tcPr>
            <w:tcW w:w="3020" w:type="dxa"/>
            <w:noWrap w:val="0"/>
            <w:vAlign w:val="center"/>
          </w:tcPr>
          <w:p w14:paraId="143C7169">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rightChars="0"/>
              <w:jc w:val="center"/>
              <w:textAlignment w:val="auto"/>
              <w:rPr>
                <w:rFonts w:hint="default" w:ascii="Times New Roman" w:hAnsi="Times New Roman" w:eastAsia="仿宋_GB2312" w:cs="Times New Roman"/>
                <w:kern w:val="0"/>
                <w:sz w:val="32"/>
                <w:szCs w:val="32"/>
                <w:vertAlign w:val="baseline"/>
                <w:lang w:val="en-US" w:eastAsia="zh-CN" w:bidi="ar"/>
              </w:rPr>
            </w:pPr>
            <w:r>
              <w:rPr>
                <w:rFonts w:hint="default" w:ascii="Times New Roman" w:hAnsi="Times New Roman" w:eastAsia="仿宋_GB2312" w:cs="Times New Roman"/>
                <w:sz w:val="32"/>
                <w:szCs w:val="32"/>
                <w:vertAlign w:val="baseline"/>
                <w:lang w:val="en-US" w:eastAsia="zh-CN"/>
              </w:rPr>
              <w:t>信用</w:t>
            </w:r>
            <w:r>
              <w:rPr>
                <w:rFonts w:hint="default" w:ascii="Times New Roman" w:hAnsi="Times New Roman" w:eastAsia="仿宋_GB2312" w:cs="Times New Roman"/>
                <w:sz w:val="32"/>
                <w:szCs w:val="32"/>
                <w:lang w:val="en-US" w:eastAsia="zh-CN"/>
              </w:rPr>
              <w:t>较差</w:t>
            </w:r>
          </w:p>
        </w:tc>
      </w:tr>
      <w:tr w14:paraId="295A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20" w:type="dxa"/>
            <w:noWrap w:val="0"/>
            <w:vAlign w:val="center"/>
          </w:tcPr>
          <w:p w14:paraId="23A0766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rightChars="0"/>
              <w:jc w:val="center"/>
              <w:textAlignment w:val="auto"/>
              <w:rPr>
                <w:rFonts w:hint="default" w:ascii="Times New Roman" w:hAnsi="Times New Roman" w:eastAsia="仿宋_GB2312" w:cs="Times New Roman"/>
                <w:kern w:val="0"/>
                <w:sz w:val="32"/>
                <w:szCs w:val="32"/>
                <w:vertAlign w:val="baseline"/>
                <w:lang w:val="en-US" w:eastAsia="zh-CN" w:bidi="ar"/>
              </w:rPr>
            </w:pPr>
            <w:r>
              <w:rPr>
                <w:rFonts w:hint="default" w:ascii="Times New Roman" w:hAnsi="Times New Roman" w:eastAsia="仿宋_GB2312" w:cs="Times New Roman"/>
                <w:sz w:val="32"/>
                <w:szCs w:val="32"/>
                <w:vertAlign w:val="baseline"/>
                <w:lang w:val="en-US" w:eastAsia="zh-CN"/>
              </w:rPr>
              <w:t>D</w:t>
            </w:r>
          </w:p>
        </w:tc>
        <w:tc>
          <w:tcPr>
            <w:tcW w:w="3020" w:type="dxa"/>
            <w:noWrap w:val="0"/>
            <w:vAlign w:val="center"/>
          </w:tcPr>
          <w:p w14:paraId="65AF5BDF">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rightChars="0"/>
              <w:jc w:val="center"/>
              <w:textAlignment w:val="auto"/>
              <w:rPr>
                <w:rFonts w:hint="default" w:ascii="Times New Roman" w:hAnsi="Times New Roman" w:eastAsia="仿宋_GB2312" w:cs="Times New Roman"/>
                <w:kern w:val="0"/>
                <w:sz w:val="32"/>
                <w:szCs w:val="32"/>
                <w:vertAlign w:val="baseline"/>
                <w:lang w:val="en-US" w:eastAsia="zh-CN" w:bidi="ar"/>
              </w:rPr>
            </w:pPr>
            <w:r>
              <w:rPr>
                <w:rFonts w:hint="default" w:ascii="Times New Roman" w:hAnsi="Times New Roman" w:eastAsia="仿宋_GB2312" w:cs="Times New Roman"/>
                <w:sz w:val="32"/>
                <w:szCs w:val="32"/>
                <w:vertAlign w:val="baseline"/>
                <w:lang w:val="en-US" w:eastAsia="zh-CN"/>
              </w:rPr>
              <w:t>&lt;70</w:t>
            </w:r>
            <w:r>
              <w:rPr>
                <w:rFonts w:hint="eastAsia" w:ascii="Times New Roman" w:hAnsi="Times New Roman" w:eastAsia="仿宋_GB2312" w:cs="Times New Roman"/>
                <w:sz w:val="32"/>
                <w:szCs w:val="32"/>
                <w:vertAlign w:val="baseline"/>
                <w:lang w:val="en-US" w:eastAsia="zh-CN"/>
              </w:rPr>
              <w:t>分</w:t>
            </w:r>
          </w:p>
        </w:tc>
        <w:tc>
          <w:tcPr>
            <w:tcW w:w="3020" w:type="dxa"/>
            <w:noWrap w:val="0"/>
            <w:vAlign w:val="center"/>
          </w:tcPr>
          <w:p w14:paraId="3A576D95">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rightChars="0"/>
              <w:jc w:val="center"/>
              <w:textAlignment w:val="auto"/>
              <w:rPr>
                <w:rFonts w:hint="default" w:ascii="Times New Roman" w:hAnsi="Times New Roman" w:eastAsia="仿宋_GB2312" w:cs="Times New Roman"/>
                <w:kern w:val="0"/>
                <w:sz w:val="32"/>
                <w:szCs w:val="32"/>
                <w:vertAlign w:val="baseline"/>
                <w:lang w:val="en-US" w:eastAsia="zh-CN" w:bidi="ar"/>
              </w:rPr>
            </w:pPr>
            <w:r>
              <w:rPr>
                <w:rFonts w:hint="default" w:ascii="Times New Roman" w:hAnsi="Times New Roman" w:eastAsia="仿宋_GB2312" w:cs="Times New Roman"/>
                <w:sz w:val="32"/>
                <w:szCs w:val="32"/>
                <w:vertAlign w:val="baseline"/>
                <w:lang w:val="en-US" w:eastAsia="zh-CN"/>
              </w:rPr>
              <w:t>信用</w:t>
            </w:r>
            <w:r>
              <w:rPr>
                <w:rFonts w:hint="default" w:ascii="Times New Roman" w:hAnsi="Times New Roman" w:eastAsia="仿宋_GB2312" w:cs="Times New Roman"/>
                <w:sz w:val="32"/>
                <w:szCs w:val="32"/>
                <w:lang w:val="en-US" w:eastAsia="zh-CN"/>
              </w:rPr>
              <w:t>很差</w:t>
            </w:r>
          </w:p>
        </w:tc>
      </w:tr>
    </w:tbl>
    <w:p w14:paraId="4F590267">
      <w:pPr>
        <w:pStyle w:val="7"/>
        <w:snapToGrid/>
        <w:spacing w:before="0" w:beforeAutospacing="0" w:after="0" w:afterAutospacing="0" w:line="560" w:lineRule="exact"/>
        <w:ind w:firstLine="640" w:firstLineChars="200"/>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鉴定机构被行业主管（监管）部门依据法律、行政法规或党中央、国务院政策文件纳入严重失信行为的，信用分级分类结果直接</w:t>
      </w:r>
      <w:r>
        <w:rPr>
          <w:rFonts w:hint="eastAsia" w:ascii="Times New Roman" w:hAnsi="Times New Roman" w:eastAsia="仿宋_GB2312" w:cs="Times New Roman"/>
          <w:sz w:val="32"/>
          <w:szCs w:val="32"/>
          <w:lang w:eastAsia="zh-CN"/>
        </w:rPr>
        <w:t>判定</w:t>
      </w:r>
      <w:r>
        <w:rPr>
          <w:rFonts w:hint="default" w:ascii="Times New Roman" w:hAnsi="Times New Roman" w:eastAsia="仿宋_GB2312" w:cs="Times New Roman"/>
          <w:sz w:val="32"/>
          <w:szCs w:val="32"/>
        </w:rPr>
        <w:t>为</w:t>
      </w:r>
      <w:r>
        <w:rPr>
          <w:rFonts w:hint="eastAsia" w:ascii="Times New Roman" w:hAnsi="Times New Roman" w:eastAsia="仿宋_GB2312" w:cs="Times New Roman"/>
          <w:sz w:val="32"/>
          <w:szCs w:val="32"/>
          <w:lang w:val="en-US" w:eastAsia="zh-CN"/>
        </w:rPr>
        <w:t>D</w:t>
      </w:r>
      <w:r>
        <w:rPr>
          <w:rFonts w:hint="default" w:ascii="Times New Roman" w:hAnsi="Times New Roman" w:eastAsia="仿宋_GB2312" w:cs="Times New Roman"/>
          <w:sz w:val="32"/>
          <w:szCs w:val="32"/>
        </w:rPr>
        <w:t>级。符合申请信用评价</w:t>
      </w:r>
      <w:r>
        <w:rPr>
          <w:rFonts w:hint="eastAsia" w:ascii="Times New Roman" w:hAnsi="Times New Roman" w:eastAsia="仿宋_GB2312" w:cs="Times New Roman"/>
          <w:sz w:val="32"/>
          <w:szCs w:val="32"/>
          <w:lang w:eastAsia="zh-CN"/>
        </w:rPr>
        <w:t>条件而</w:t>
      </w:r>
      <w:r>
        <w:rPr>
          <w:rFonts w:hint="default" w:ascii="Times New Roman" w:hAnsi="Times New Roman" w:eastAsia="仿宋_GB2312" w:cs="Times New Roman"/>
          <w:sz w:val="32"/>
          <w:szCs w:val="32"/>
        </w:rPr>
        <w:t>连续两年未参评的</w:t>
      </w:r>
      <w:r>
        <w:rPr>
          <w:rFonts w:hint="eastAsia" w:ascii="Times New Roman" w:hAnsi="Times New Roman" w:eastAsia="仿宋_GB2312" w:cs="Times New Roman"/>
          <w:sz w:val="32"/>
          <w:szCs w:val="32"/>
          <w:lang w:eastAsia="zh-CN"/>
        </w:rPr>
        <w:t>按</w:t>
      </w:r>
      <w:r>
        <w:rPr>
          <w:rFonts w:hint="default" w:ascii="Times New Roman" w:hAnsi="Times New Roman" w:eastAsia="仿宋_GB2312" w:cs="Times New Roman"/>
          <w:sz w:val="32"/>
          <w:szCs w:val="32"/>
        </w:rPr>
        <w:t>C级</w:t>
      </w:r>
      <w:r>
        <w:rPr>
          <w:rFonts w:hint="eastAsia" w:ascii="Times New Roman" w:hAnsi="Times New Roman" w:eastAsia="仿宋_GB2312" w:cs="Times New Roman"/>
          <w:sz w:val="32"/>
          <w:szCs w:val="32"/>
          <w:lang w:eastAsia="zh-CN"/>
        </w:rPr>
        <w:t>管理。</w:t>
      </w:r>
    </w:p>
    <w:p w14:paraId="23DD1B8E">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十三</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val="en-US" w:eastAsia="zh-CN"/>
        </w:rPr>
        <w:t>信用评价周期</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sz w:val="32"/>
          <w:szCs w:val="32"/>
        </w:rPr>
        <w:t>鉴定机构信用评价</w:t>
      </w:r>
      <w:r>
        <w:rPr>
          <w:rFonts w:hint="default" w:ascii="Times New Roman" w:hAnsi="Times New Roman" w:eastAsia="仿宋_GB2312" w:cs="Times New Roman"/>
          <w:sz w:val="32"/>
          <w:szCs w:val="32"/>
          <w:lang w:val="en-US" w:eastAsia="zh-CN"/>
        </w:rPr>
        <w:t>采取年度</w:t>
      </w:r>
      <w:r>
        <w:rPr>
          <w:rFonts w:hint="default" w:ascii="Times New Roman" w:hAnsi="Times New Roman" w:eastAsia="仿宋_GB2312" w:cs="Times New Roman"/>
          <w:sz w:val="32"/>
          <w:szCs w:val="32"/>
        </w:rPr>
        <w:t>评价</w:t>
      </w:r>
      <w:r>
        <w:rPr>
          <w:rFonts w:hint="default" w:ascii="Times New Roman" w:hAnsi="Times New Roman" w:eastAsia="仿宋_GB2312" w:cs="Times New Roman"/>
          <w:sz w:val="32"/>
          <w:szCs w:val="32"/>
          <w:lang w:val="en-US" w:eastAsia="zh-CN"/>
        </w:rPr>
        <w:t>的方式，评价周期为每年1月1日至12月31日，各级住房和城乡建设主管部门自本年度1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月起至次年</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月完成组织评价工作，确定信用等级。评价周期结束后，得分清零，重新评价。</w:t>
      </w:r>
    </w:p>
    <w:p w14:paraId="1353EE5E">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color w:val="000000"/>
          <w:sz w:val="32"/>
          <w:szCs w:val="32"/>
          <w:lang w:val="en-US" w:eastAsia="zh-CN"/>
        </w:rPr>
        <w:t>十四</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eastAsia="zh-CN"/>
        </w:rPr>
        <w:t>结果</w:t>
      </w:r>
      <w:r>
        <w:rPr>
          <w:rFonts w:hint="eastAsia" w:ascii="Times New Roman" w:hAnsi="Times New Roman" w:eastAsia="仿宋_GB2312" w:cs="Times New Roman"/>
          <w:b/>
          <w:bCs/>
          <w:color w:val="auto"/>
          <w:sz w:val="32"/>
          <w:szCs w:val="32"/>
          <w:lang w:val="en-US" w:eastAsia="zh-CN"/>
        </w:rPr>
        <w:t>公示</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sz w:val="32"/>
          <w:szCs w:val="32"/>
        </w:rPr>
        <w:t>每</w:t>
      </w:r>
      <w:r>
        <w:rPr>
          <w:rFonts w:hint="default" w:ascii="Times New Roman" w:hAnsi="Times New Roman" w:eastAsia="仿宋_GB2312" w:cs="Times New Roman"/>
          <w:sz w:val="32"/>
          <w:szCs w:val="32"/>
          <w:lang w:val="en-US" w:eastAsia="zh-CN"/>
        </w:rPr>
        <w:t>年1月31日前，各地（州、市）住房城乡建设主管部门对县（市、区）住房城乡建设主管部门信用评价结果进行</w:t>
      </w:r>
      <w:r>
        <w:rPr>
          <w:rFonts w:hint="eastAsia" w:ascii="Times New Roman" w:hAnsi="Times New Roman" w:eastAsia="仿宋_GB2312" w:cs="Times New Roman"/>
          <w:sz w:val="32"/>
          <w:szCs w:val="32"/>
          <w:lang w:val="en-US" w:eastAsia="zh-CN"/>
        </w:rPr>
        <w:t>复核</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经</w:t>
      </w:r>
      <w:r>
        <w:rPr>
          <w:rFonts w:hint="default" w:ascii="Times New Roman" w:hAnsi="Times New Roman" w:eastAsia="仿宋_GB2312" w:cs="Times New Roman"/>
          <w:sz w:val="32"/>
          <w:szCs w:val="32"/>
          <w:lang w:val="en-US" w:eastAsia="zh-CN"/>
        </w:rPr>
        <w:t>自治区住房和城乡建设主管部门</w:t>
      </w:r>
      <w:r>
        <w:rPr>
          <w:rFonts w:hint="eastAsia" w:ascii="Times New Roman" w:hAnsi="Times New Roman" w:eastAsia="仿宋_GB2312" w:cs="Times New Roman"/>
          <w:sz w:val="32"/>
          <w:szCs w:val="32"/>
          <w:lang w:val="en-US" w:eastAsia="zh-CN"/>
        </w:rPr>
        <w:t>确认</w:t>
      </w:r>
      <w:r>
        <w:rPr>
          <w:rFonts w:hint="default" w:ascii="Times New Roman" w:hAnsi="Times New Roman" w:eastAsia="仿宋_GB2312" w:cs="Times New Roman"/>
          <w:sz w:val="32"/>
          <w:szCs w:val="32"/>
          <w:lang w:val="en-US" w:eastAsia="zh-CN"/>
        </w:rPr>
        <w:t>后进行</w:t>
      </w:r>
      <w:r>
        <w:rPr>
          <w:rFonts w:hint="default" w:ascii="Times New Roman" w:hAnsi="Times New Roman" w:eastAsia="仿宋_GB2312" w:cs="Times New Roman"/>
          <w:sz w:val="32"/>
          <w:szCs w:val="32"/>
        </w:rPr>
        <w:t>公示，公示期为</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日。公示期间无异议的，</w:t>
      </w:r>
      <w:r>
        <w:rPr>
          <w:rFonts w:hint="default" w:ascii="Times New Roman" w:hAnsi="Times New Roman" w:eastAsia="仿宋_GB2312" w:cs="Times New Roman"/>
          <w:sz w:val="32"/>
          <w:szCs w:val="32"/>
          <w:lang w:val="en-US" w:eastAsia="zh-CN"/>
        </w:rPr>
        <w:t>于每年3月</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1日前</w:t>
      </w:r>
      <w:r>
        <w:rPr>
          <w:rFonts w:hint="eastAsia"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rPr>
        <w:t>自治区</w:t>
      </w:r>
      <w:r>
        <w:rPr>
          <w:rFonts w:hint="default" w:ascii="Times New Roman" w:hAnsi="Times New Roman" w:eastAsia="仿宋_GB2312" w:cs="Times New Roman"/>
          <w:kern w:val="0"/>
          <w:sz w:val="32"/>
          <w:szCs w:val="32"/>
          <w:lang w:val="en-US" w:eastAsia="zh-CN" w:bidi="ar-SA"/>
        </w:rPr>
        <w:t>房屋安全与抗震鉴定机构信用信息评价管理平台</w:t>
      </w:r>
      <w:r>
        <w:rPr>
          <w:rFonts w:hint="default" w:ascii="Times New Roman" w:hAnsi="Times New Roman" w:eastAsia="仿宋_GB2312" w:cs="Times New Roman"/>
          <w:sz w:val="32"/>
          <w:szCs w:val="32"/>
        </w:rPr>
        <w:t>和门户网站公开</w:t>
      </w:r>
      <w:r>
        <w:rPr>
          <w:rFonts w:hint="default" w:ascii="Times New Roman" w:hAnsi="Times New Roman" w:eastAsia="仿宋_GB2312" w:cs="Times New Roman"/>
          <w:sz w:val="32"/>
          <w:szCs w:val="32"/>
          <w:lang w:val="en-US" w:eastAsia="zh-CN"/>
        </w:rPr>
        <w:t>公示上一年度鉴定机构信用评价结果</w:t>
      </w:r>
      <w:r>
        <w:rPr>
          <w:rFonts w:hint="default" w:ascii="Times New Roman" w:hAnsi="Times New Roman" w:eastAsia="仿宋_GB2312" w:cs="Times New Roman"/>
          <w:sz w:val="32"/>
          <w:szCs w:val="32"/>
        </w:rPr>
        <w:t>，接受社会监督。涉及国家安全、公共安全、经济安全和社会稳定，以及国家秘密、商业秘密和个人隐私的信息不予公开。</w:t>
      </w:r>
    </w:p>
    <w:p w14:paraId="122D8D39">
      <w:pPr>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在评价年度内，鉴定机构发生严重失信行为的，信用等级评定为</w:t>
      </w:r>
      <w:r>
        <w:rPr>
          <w:rFonts w:hint="eastAsia" w:ascii="Times New Roman" w:hAnsi="Times New Roman" w:eastAsia="仿宋_GB2312" w:cs="Times New Roman"/>
          <w:sz w:val="32"/>
          <w:szCs w:val="32"/>
          <w:lang w:val="en-US" w:eastAsia="zh-CN"/>
        </w:rPr>
        <w:t>D</w:t>
      </w:r>
      <w:r>
        <w:rPr>
          <w:rFonts w:hint="default" w:ascii="Times New Roman" w:hAnsi="Times New Roman" w:eastAsia="仿宋_GB2312" w:cs="Times New Roman"/>
          <w:sz w:val="32"/>
          <w:szCs w:val="32"/>
          <w:lang w:val="en-US" w:eastAsia="zh-CN"/>
        </w:rPr>
        <w:t>级，及时予以公示。</w:t>
      </w:r>
    </w:p>
    <w:p w14:paraId="2F90D62A">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第十</w:t>
      </w:r>
      <w:r>
        <w:rPr>
          <w:rFonts w:hint="default" w:ascii="Times New Roman" w:hAnsi="Times New Roman" w:eastAsia="仿宋_GB2312" w:cs="Times New Roman"/>
          <w:b/>
          <w:sz w:val="32"/>
          <w:szCs w:val="32"/>
          <w:lang w:val="en-US" w:eastAsia="zh-CN"/>
        </w:rPr>
        <w:t>五</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b/>
          <w:bCs/>
          <w:color w:val="auto"/>
          <w:sz w:val="32"/>
          <w:szCs w:val="32"/>
          <w:lang w:eastAsia="zh-CN"/>
        </w:rPr>
        <w:t>【信用信息公布</w:t>
      </w:r>
      <w:r>
        <w:rPr>
          <w:rFonts w:hint="eastAsia" w:ascii="Times New Roman" w:hAnsi="Times New Roman" w:eastAsia="仿宋_GB2312" w:cs="Times New Roman"/>
          <w:b/>
          <w:bCs/>
          <w:color w:val="auto"/>
          <w:sz w:val="32"/>
          <w:szCs w:val="32"/>
          <w:lang w:val="en-US" w:eastAsia="zh-CN"/>
        </w:rPr>
        <w:t>期限</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kern w:val="0"/>
          <w:sz w:val="32"/>
          <w:szCs w:val="32"/>
          <w:lang w:val="en-US" w:eastAsia="zh-CN" w:bidi="ar-SA"/>
        </w:rPr>
        <w:t>鉴定机构</w:t>
      </w:r>
      <w:r>
        <w:rPr>
          <w:rFonts w:hint="default" w:ascii="Times New Roman" w:hAnsi="Times New Roman" w:eastAsia="仿宋_GB2312" w:cs="Times New Roman"/>
          <w:sz w:val="32"/>
          <w:szCs w:val="32"/>
        </w:rPr>
        <w:t>信用信息公开期限为：</w:t>
      </w:r>
    </w:p>
    <w:p w14:paraId="769A504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（一）基本信用信息长期公开；</w:t>
      </w:r>
    </w:p>
    <w:p w14:paraId="2740C08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（二）良好信用信息公开期限为3年；</w:t>
      </w:r>
    </w:p>
    <w:p w14:paraId="01A5359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）不良信用信息公开期限：一般失信行为最短公示期限为</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个月，最长公示期限为</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年；严重失信行为最短公示期限为</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个月，最长公示期限为</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年。最长公示期限届满的，</w:t>
      </w:r>
      <w:r>
        <w:rPr>
          <w:rFonts w:hint="default" w:ascii="Times New Roman" w:hAnsi="Times New Roman" w:eastAsia="仿宋_GB2312" w:cs="Times New Roman"/>
          <w:sz w:val="32"/>
          <w:szCs w:val="32"/>
          <w:lang w:eastAsia="zh-CN"/>
        </w:rPr>
        <w:t>撤销</w:t>
      </w:r>
      <w:r>
        <w:rPr>
          <w:rFonts w:hint="default" w:ascii="Times New Roman" w:hAnsi="Times New Roman" w:eastAsia="仿宋_GB2312" w:cs="Times New Roman"/>
          <w:sz w:val="32"/>
          <w:szCs w:val="32"/>
        </w:rPr>
        <w:t>相关信息，不再对外公示。</w:t>
      </w:r>
    </w:p>
    <w:p w14:paraId="67D4C35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420"/>
        <w:jc w:val="center"/>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 xml:space="preserve">第四章  </w:t>
      </w:r>
      <w:r>
        <w:rPr>
          <w:rFonts w:hint="default" w:ascii="Times New Roman" w:hAnsi="Times New Roman" w:eastAsia="黑体" w:cs="Times New Roman"/>
          <w:sz w:val="32"/>
          <w:szCs w:val="32"/>
        </w:rPr>
        <w:t>信用信息</w:t>
      </w:r>
      <w:r>
        <w:rPr>
          <w:rFonts w:hint="eastAsia" w:ascii="Times New Roman" w:hAnsi="Times New Roman" w:eastAsia="黑体" w:cs="Times New Roman"/>
          <w:sz w:val="32"/>
          <w:szCs w:val="32"/>
          <w:lang w:eastAsia="zh-CN"/>
        </w:rPr>
        <w:t>结果</w:t>
      </w:r>
      <w:r>
        <w:rPr>
          <w:rFonts w:hint="default" w:ascii="Times New Roman" w:hAnsi="Times New Roman" w:eastAsia="黑体" w:cs="Times New Roman"/>
          <w:sz w:val="32"/>
          <w:szCs w:val="32"/>
        </w:rPr>
        <w:t>应用</w:t>
      </w:r>
    </w:p>
    <w:p w14:paraId="0048C7A6">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w:t>
      </w:r>
      <w:r>
        <w:rPr>
          <w:rFonts w:hint="default" w:ascii="Times New Roman" w:hAnsi="Times New Roman" w:eastAsia="仿宋_GB2312" w:cs="Times New Roman"/>
          <w:b/>
          <w:bCs/>
          <w:color w:val="000000"/>
          <w:sz w:val="32"/>
          <w:szCs w:val="32"/>
          <w:lang w:val="en-US" w:eastAsia="zh-CN"/>
        </w:rPr>
        <w:t>十六</w:t>
      </w:r>
      <w:r>
        <w:rPr>
          <w:rFonts w:hint="default" w:ascii="Times New Roman" w:hAnsi="Times New Roman" w:eastAsia="仿宋_GB2312" w:cs="Times New Roman"/>
          <w:b/>
          <w:bCs/>
          <w:color w:val="000000"/>
          <w:sz w:val="32"/>
          <w:szCs w:val="32"/>
        </w:rPr>
        <w:t>条</w:t>
      </w:r>
      <w:r>
        <w:rPr>
          <w:rFonts w:hint="default" w:ascii="Times New Roman" w:hAnsi="Times New Roman" w:eastAsia="仿宋_GB2312" w:cs="Times New Roman"/>
          <w:b/>
          <w:bCs/>
          <w:color w:val="auto"/>
          <w:sz w:val="32"/>
          <w:szCs w:val="32"/>
          <w:lang w:eastAsia="zh-CN"/>
        </w:rPr>
        <w:t>【信用</w:t>
      </w:r>
      <w:r>
        <w:rPr>
          <w:rFonts w:hint="default" w:ascii="Times New Roman" w:hAnsi="Times New Roman" w:eastAsia="仿宋_GB2312" w:cs="Times New Roman"/>
          <w:b/>
          <w:bCs/>
          <w:color w:val="auto"/>
          <w:sz w:val="32"/>
          <w:szCs w:val="32"/>
          <w:lang w:val="en-US" w:eastAsia="zh-CN"/>
        </w:rPr>
        <w:t>结果运用</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000000"/>
          <w:sz w:val="32"/>
          <w:szCs w:val="32"/>
        </w:rPr>
        <w:t>各级住房城乡建设主管部门</w:t>
      </w:r>
      <w:r>
        <w:rPr>
          <w:rFonts w:hint="default" w:ascii="Times New Roman" w:hAnsi="Times New Roman" w:eastAsia="仿宋_GB2312" w:cs="Times New Roman"/>
          <w:color w:val="000000"/>
          <w:sz w:val="32"/>
          <w:szCs w:val="32"/>
          <w:lang w:eastAsia="zh-CN"/>
        </w:rPr>
        <w:t>可</w:t>
      </w:r>
      <w:r>
        <w:rPr>
          <w:rFonts w:hint="default" w:ascii="Times New Roman" w:hAnsi="Times New Roman" w:eastAsia="仿宋_GB2312" w:cs="Times New Roman"/>
          <w:color w:val="000000"/>
          <w:sz w:val="32"/>
          <w:szCs w:val="32"/>
        </w:rPr>
        <w:t>将信用信息作为招标投标、动态监督检查、创优评先的</w:t>
      </w:r>
      <w:r>
        <w:rPr>
          <w:rFonts w:hint="default" w:ascii="Times New Roman" w:hAnsi="Times New Roman" w:eastAsia="仿宋_GB2312" w:cs="Times New Roman"/>
          <w:color w:val="000000"/>
          <w:sz w:val="32"/>
          <w:szCs w:val="32"/>
          <w:lang w:eastAsia="zh-CN"/>
        </w:rPr>
        <w:t>参考</w:t>
      </w:r>
      <w:r>
        <w:rPr>
          <w:rFonts w:hint="default" w:ascii="Times New Roman" w:hAnsi="Times New Roman" w:eastAsia="仿宋_GB2312" w:cs="Times New Roman"/>
          <w:color w:val="000000"/>
          <w:sz w:val="32"/>
          <w:szCs w:val="32"/>
        </w:rPr>
        <w:t>依据，实行差别化动态管理。</w:t>
      </w:r>
    </w:p>
    <w:p w14:paraId="5FB135E2">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鉴定机构信用评价结果作为住房城乡建设行政主管部门实施分类监管的重要依据，实行守信激励，失信惩戒，并作为历史数据保存在鉴定机构信用信息档案中。</w:t>
      </w:r>
    </w:p>
    <w:p w14:paraId="568ABE1E">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十七</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差别化管理</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sz w:val="32"/>
          <w:szCs w:val="32"/>
        </w:rPr>
        <w:t>按照信用评价结果，对</w:t>
      </w:r>
      <w:r>
        <w:rPr>
          <w:rFonts w:hint="default" w:ascii="Times New Roman" w:hAnsi="Times New Roman" w:eastAsia="仿宋_GB2312" w:cs="Times New Roman"/>
          <w:sz w:val="32"/>
          <w:szCs w:val="32"/>
          <w:lang w:val="en-US" w:eastAsia="zh-CN"/>
        </w:rPr>
        <w:t>鉴定机构</w:t>
      </w:r>
      <w:r>
        <w:rPr>
          <w:rFonts w:hint="default" w:ascii="Times New Roman" w:hAnsi="Times New Roman" w:eastAsia="仿宋_GB2312" w:cs="Times New Roman"/>
          <w:sz w:val="32"/>
          <w:szCs w:val="32"/>
        </w:rPr>
        <w:t>实施差别化管理</w:t>
      </w:r>
      <w:r>
        <w:rPr>
          <w:rFonts w:hint="default" w:ascii="Times New Roman" w:hAnsi="Times New Roman" w:eastAsia="仿宋_GB2312" w:cs="Times New Roman"/>
          <w:sz w:val="32"/>
          <w:szCs w:val="32"/>
          <w:lang w:eastAsia="zh-CN"/>
        </w:rPr>
        <w:t>：</w:t>
      </w:r>
    </w:p>
    <w:p w14:paraId="7CE542B8">
      <w:pPr>
        <w:pStyle w:val="7"/>
        <w:keepNext w:val="0"/>
        <w:keepLines w:val="0"/>
        <w:pageBreakBefore w:val="0"/>
        <w:widowControl w:val="0"/>
        <w:numPr>
          <w:ilvl w:val="0"/>
          <w:numId w:val="1"/>
        </w:numPr>
        <w:kinsoku/>
        <w:wordWrap/>
        <w:overflowPunct/>
        <w:topLinePunct w:val="0"/>
        <w:autoSpaceDE/>
        <w:autoSpaceDN/>
        <w:bidi w:val="0"/>
        <w:adjustRightInd/>
        <w:snapToGrid w:val="0"/>
        <w:spacing w:before="0" w:beforeAutospacing="0" w:after="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对于信用</w:t>
      </w:r>
      <w:r>
        <w:rPr>
          <w:rFonts w:hint="default" w:ascii="Times New Roman" w:hAnsi="Times New Roman" w:eastAsia="仿宋_GB2312" w:cs="Times New Roman"/>
          <w:sz w:val="32"/>
          <w:szCs w:val="32"/>
          <w:lang w:val="en-US" w:eastAsia="zh-CN"/>
        </w:rPr>
        <w:t>评价</w:t>
      </w:r>
      <w:r>
        <w:rPr>
          <w:rFonts w:hint="default" w:ascii="Times New Roman" w:hAnsi="Times New Roman" w:eastAsia="仿宋_GB2312" w:cs="Times New Roman"/>
          <w:sz w:val="32"/>
          <w:szCs w:val="32"/>
        </w:rPr>
        <w:t>等级为</w:t>
      </w:r>
      <w:r>
        <w:rPr>
          <w:rFonts w:hint="eastAsia" w:ascii="Times New Roman" w:hAnsi="Times New Roman" w:eastAsia="仿宋_GB2312" w:cs="Times New Roman"/>
          <w:sz w:val="32"/>
          <w:szCs w:val="32"/>
          <w:lang w:val="en-US" w:eastAsia="zh-CN"/>
        </w:rPr>
        <w:t>AAA</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优秀</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、AA</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较</w:t>
      </w:r>
      <w:r>
        <w:rPr>
          <w:rFonts w:hint="default" w:ascii="Times New Roman" w:hAnsi="Times New Roman" w:eastAsia="仿宋_GB2312" w:cs="Times New Roman"/>
          <w:sz w:val="32"/>
          <w:szCs w:val="32"/>
          <w:lang w:val="en-US" w:eastAsia="zh-CN"/>
        </w:rPr>
        <w:t>好</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A级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良好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的鉴定机构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实施常规监督和适度频率的日常检查，在各类评比表彰中，予以优先推荐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w:t>
      </w:r>
      <w:r>
        <w:rPr>
          <w:rFonts w:hint="eastAsia" w:ascii="Times New Roman" w:hAnsi="Times New Roman" w:eastAsia="仿宋_GB2312" w:cs="Times New Roman"/>
          <w:sz w:val="32"/>
          <w:szCs w:val="32"/>
          <w:lang w:eastAsia="zh-CN"/>
        </w:rPr>
        <w:t>各级住房城乡建设行政主管部门</w:t>
      </w:r>
      <w:r>
        <w:rPr>
          <w:rFonts w:hint="default" w:ascii="Times New Roman" w:hAnsi="Times New Roman" w:eastAsia="仿宋_GB2312" w:cs="Times New Roman"/>
          <w:sz w:val="32"/>
          <w:szCs w:val="32"/>
        </w:rPr>
        <w:t>政务网站、微信公众号、</w:t>
      </w:r>
      <w:r>
        <w:rPr>
          <w:rFonts w:hint="eastAsia" w:ascii="Times New Roman" w:hAnsi="Times New Roman" w:eastAsia="仿宋_GB2312" w:cs="Times New Roman"/>
          <w:sz w:val="32"/>
          <w:szCs w:val="32"/>
          <w:lang w:eastAsia="zh-CN"/>
        </w:rPr>
        <w:t>房屋安全</w:t>
      </w:r>
      <w:r>
        <w:rPr>
          <w:rFonts w:hint="default" w:ascii="Times New Roman" w:hAnsi="Times New Roman" w:eastAsia="仿宋_GB2312" w:cs="Times New Roman"/>
          <w:sz w:val="32"/>
          <w:szCs w:val="32"/>
        </w:rPr>
        <w:t>系统等向社会推介；</w:t>
      </w:r>
    </w:p>
    <w:p w14:paraId="326B156B">
      <w:pPr>
        <w:pStyle w:val="7"/>
        <w:keepNext w:val="0"/>
        <w:keepLines w:val="0"/>
        <w:pageBreakBefore w:val="0"/>
        <w:widowControl w:val="0"/>
        <w:numPr>
          <w:ilvl w:val="0"/>
          <w:numId w:val="1"/>
        </w:numPr>
        <w:kinsoku/>
        <w:wordWrap/>
        <w:overflowPunct/>
        <w:topLinePunct w:val="0"/>
        <w:autoSpaceDE/>
        <w:autoSpaceDN/>
        <w:bidi w:val="0"/>
        <w:adjustRightInd/>
        <w:snapToGrid w:val="0"/>
        <w:spacing w:before="0" w:beforeAutospacing="0" w:after="0" w:afterAutospacing="0" w:line="560" w:lineRule="exact"/>
        <w:ind w:left="0"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对于信用</w:t>
      </w:r>
      <w:r>
        <w:rPr>
          <w:rFonts w:hint="default" w:ascii="Times New Roman" w:hAnsi="Times New Roman" w:eastAsia="仿宋_GB2312" w:cs="Times New Roman"/>
          <w:sz w:val="32"/>
          <w:szCs w:val="32"/>
          <w:lang w:val="en-US" w:eastAsia="zh-CN"/>
        </w:rPr>
        <w:t>评价</w:t>
      </w:r>
      <w:r>
        <w:rPr>
          <w:rFonts w:hint="default" w:ascii="Times New Roman" w:hAnsi="Times New Roman" w:eastAsia="仿宋_GB2312" w:cs="Times New Roman"/>
          <w:sz w:val="32"/>
          <w:szCs w:val="32"/>
        </w:rPr>
        <w:t>等级为</w:t>
      </w:r>
      <w:r>
        <w:rPr>
          <w:rFonts w:hint="default" w:ascii="Times New Roman" w:hAnsi="Times New Roman" w:eastAsia="仿宋_GB2312" w:cs="Times New Roman"/>
          <w:sz w:val="32"/>
          <w:szCs w:val="32"/>
          <w:lang w:eastAsia="zh-CN"/>
        </w:rPr>
        <w:t>B</w:t>
      </w:r>
      <w:r>
        <w:rPr>
          <w:rFonts w:hint="default" w:ascii="Times New Roman" w:hAnsi="Times New Roman" w:eastAsia="仿宋_GB2312" w:cs="Times New Roman"/>
          <w:sz w:val="32"/>
          <w:szCs w:val="32"/>
        </w:rPr>
        <w:t>级</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一般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的鉴定机构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实行一般监管机制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在日常监管中，合理确定抽查比例</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频次</w:t>
      </w:r>
      <w:r>
        <w:rPr>
          <w:rFonts w:hint="eastAsia" w:ascii="Times New Roman" w:hAnsi="Times New Roman" w:eastAsia="仿宋_GB2312" w:cs="Times New Roman"/>
          <w:sz w:val="32"/>
          <w:szCs w:val="32"/>
          <w:lang w:eastAsia="zh-CN"/>
        </w:rPr>
        <w:t>。</w:t>
      </w:r>
    </w:p>
    <w:p w14:paraId="0CF6B9D3">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）对信用</w:t>
      </w:r>
      <w:r>
        <w:rPr>
          <w:rFonts w:hint="default" w:ascii="Times New Roman" w:hAnsi="Times New Roman" w:eastAsia="仿宋_GB2312" w:cs="Times New Roman"/>
          <w:sz w:val="32"/>
          <w:szCs w:val="32"/>
          <w:lang w:val="en-US" w:eastAsia="zh-CN"/>
        </w:rPr>
        <w:t>评价</w:t>
      </w:r>
      <w:r>
        <w:rPr>
          <w:rFonts w:hint="default" w:ascii="Times New Roman" w:hAnsi="Times New Roman" w:eastAsia="仿宋_GB2312" w:cs="Times New Roman"/>
          <w:sz w:val="32"/>
          <w:szCs w:val="32"/>
        </w:rPr>
        <w:t>等级为</w:t>
      </w:r>
      <w:r>
        <w:rPr>
          <w:rFonts w:hint="default" w:ascii="Times New Roman" w:hAnsi="Times New Roman" w:eastAsia="仿宋_GB2312" w:cs="Times New Roman"/>
          <w:sz w:val="32"/>
          <w:szCs w:val="32"/>
          <w:lang w:val="en-US" w:eastAsia="zh-CN"/>
        </w:rPr>
        <w:t>C</w:t>
      </w:r>
      <w:r>
        <w:rPr>
          <w:rFonts w:hint="default" w:ascii="Times New Roman" w:hAnsi="Times New Roman" w:eastAsia="仿宋_GB2312" w:cs="Times New Roman"/>
          <w:sz w:val="32"/>
          <w:szCs w:val="32"/>
        </w:rPr>
        <w:t>级</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较差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的鉴定机构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提高日常监督检查频次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必要时将其列入专项检查的重点监管对象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对鉴定机构法定代表人（负责人）进行提醒、约谈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采取提醒、政策宣讲等方式督促市场主体修复信用、合法经营</w:t>
      </w:r>
      <w:r>
        <w:rPr>
          <w:rFonts w:hint="eastAsia" w:ascii="Times New Roman" w:hAnsi="Times New Roman" w:eastAsia="仿宋_GB2312" w:cs="Times New Roman"/>
          <w:sz w:val="32"/>
          <w:szCs w:val="32"/>
          <w:lang w:eastAsia="zh-CN"/>
        </w:rPr>
        <w:t>。</w:t>
      </w:r>
    </w:p>
    <w:p w14:paraId="438640F9">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）对信用等级为</w:t>
      </w:r>
      <w:r>
        <w:rPr>
          <w:rFonts w:hint="default" w:ascii="Times New Roman" w:hAnsi="Times New Roman" w:eastAsia="仿宋_GB2312" w:cs="Times New Roman"/>
          <w:sz w:val="32"/>
          <w:szCs w:val="32"/>
          <w:lang w:val="en-US" w:eastAsia="zh-CN"/>
        </w:rPr>
        <w:t>D</w:t>
      </w:r>
      <w:r>
        <w:rPr>
          <w:rFonts w:hint="default" w:ascii="Times New Roman" w:hAnsi="Times New Roman" w:eastAsia="仿宋_GB2312" w:cs="Times New Roman"/>
          <w:sz w:val="32"/>
          <w:szCs w:val="32"/>
        </w:rPr>
        <w:t>级</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很差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的鉴定机构，约谈鉴定机构法定代表人（负责人）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列入失信机构名单</w:t>
      </w:r>
      <w:r>
        <w:rPr>
          <w:rFonts w:hint="default" w:ascii="Times New Roman" w:hAnsi="Times New Roman" w:eastAsia="仿宋_GB2312" w:cs="Times New Roman"/>
          <w:sz w:val="32"/>
          <w:szCs w:val="32"/>
          <w:lang w:eastAsia="zh-CN"/>
        </w:rPr>
        <w:t>。将信用信息抄报</w:t>
      </w:r>
      <w:r>
        <w:rPr>
          <w:rFonts w:hint="eastAsia" w:ascii="Times New Roman" w:hAnsi="Times New Roman" w:eastAsia="仿宋_GB2312" w:cs="Times New Roman"/>
          <w:sz w:val="32"/>
          <w:szCs w:val="32"/>
          <w:lang w:eastAsia="zh-CN"/>
        </w:rPr>
        <w:t>发展改革、</w:t>
      </w:r>
      <w:r>
        <w:rPr>
          <w:rFonts w:hint="eastAsia" w:ascii="Times New Roman" w:hAnsi="Times New Roman" w:eastAsia="仿宋_GB2312" w:cs="Times New Roman"/>
          <w:sz w:val="32"/>
          <w:szCs w:val="32"/>
          <w:lang w:val="en-US" w:eastAsia="zh-CN"/>
        </w:rPr>
        <w:t>市场监督管理、税务，法院等</w:t>
      </w:r>
      <w:r>
        <w:rPr>
          <w:rFonts w:hint="default" w:ascii="Times New Roman" w:hAnsi="Times New Roman" w:eastAsia="仿宋_GB2312" w:cs="Times New Roman"/>
          <w:sz w:val="32"/>
          <w:szCs w:val="32"/>
          <w:lang w:eastAsia="zh-CN"/>
        </w:rPr>
        <w:t>部门，实施联合惩戒。</w:t>
      </w:r>
    </w:p>
    <w:p w14:paraId="052F620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420"/>
        <w:jc w:val="center"/>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 xml:space="preserve">第五章  </w:t>
      </w:r>
      <w:r>
        <w:rPr>
          <w:rFonts w:hint="default" w:ascii="Times New Roman" w:hAnsi="Times New Roman" w:eastAsia="黑体" w:cs="Times New Roman"/>
          <w:sz w:val="32"/>
          <w:szCs w:val="32"/>
        </w:rPr>
        <w:t>信用信息</w:t>
      </w:r>
      <w:r>
        <w:rPr>
          <w:rFonts w:hint="default" w:ascii="Times New Roman" w:hAnsi="Times New Roman" w:eastAsia="黑体" w:cs="Times New Roman"/>
          <w:kern w:val="2"/>
          <w:sz w:val="32"/>
          <w:szCs w:val="32"/>
          <w:lang w:val="en-US" w:eastAsia="zh-CN" w:bidi="ar-SA"/>
        </w:rPr>
        <w:t>监督管理</w:t>
      </w:r>
    </w:p>
    <w:p w14:paraId="6F150354">
      <w:pPr>
        <w:spacing w:line="560" w:lineRule="exact"/>
        <w:ind w:firstLine="643" w:firstLineChars="200"/>
        <w:jc w:val="both"/>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b/>
          <w:bCs/>
          <w:color w:val="000000"/>
          <w:sz w:val="32"/>
          <w:szCs w:val="32"/>
        </w:rPr>
        <w:t>第</w:t>
      </w:r>
      <w:r>
        <w:rPr>
          <w:rFonts w:hint="eastAsia" w:ascii="Times New Roman" w:hAnsi="Times New Roman" w:eastAsia="仿宋_GB2312" w:cs="Times New Roman"/>
          <w:b/>
          <w:bCs/>
          <w:color w:val="000000"/>
          <w:sz w:val="32"/>
          <w:szCs w:val="32"/>
          <w:lang w:val="en-US" w:eastAsia="zh-CN"/>
        </w:rPr>
        <w:t>十八</w:t>
      </w:r>
      <w:r>
        <w:rPr>
          <w:rFonts w:hint="default" w:ascii="Times New Roman" w:hAnsi="Times New Roman" w:eastAsia="仿宋_GB2312" w:cs="Times New Roman"/>
          <w:b/>
          <w:bCs/>
          <w:color w:val="000000"/>
          <w:sz w:val="32"/>
          <w:szCs w:val="32"/>
        </w:rPr>
        <w:t>条</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val="en-US" w:eastAsia="zh-CN"/>
        </w:rPr>
        <w:t>异议处理</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color w:val="000000"/>
          <w:sz w:val="32"/>
          <w:szCs w:val="32"/>
          <w:lang w:val="en-US" w:eastAsia="zh-CN"/>
        </w:rPr>
        <w:t>鉴定机构</w:t>
      </w:r>
      <w:r>
        <w:rPr>
          <w:rFonts w:hint="eastAsia" w:ascii="Times New Roman" w:hAnsi="Times New Roman" w:eastAsia="仿宋_GB2312" w:cs="Times New Roman"/>
          <w:color w:val="000000"/>
          <w:sz w:val="32"/>
          <w:szCs w:val="32"/>
          <w:lang w:val="en-US" w:eastAsia="zh-CN"/>
        </w:rPr>
        <w:t>或个人</w:t>
      </w:r>
      <w:r>
        <w:rPr>
          <w:rFonts w:hint="default" w:ascii="Times New Roman" w:hAnsi="Times New Roman" w:eastAsia="仿宋_GB2312" w:cs="Times New Roman"/>
          <w:color w:val="000000"/>
          <w:sz w:val="32"/>
          <w:szCs w:val="32"/>
        </w:rPr>
        <w:t>对评价结果及评价得分有异议的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可在公示期内</w:t>
      </w:r>
      <w:r>
        <w:rPr>
          <w:rFonts w:hint="default" w:ascii="Times New Roman" w:hAnsi="Times New Roman" w:eastAsia="仿宋_GB2312" w:cs="Times New Roman"/>
          <w:sz w:val="32"/>
          <w:szCs w:val="32"/>
        </w:rPr>
        <w:t>向</w:t>
      </w:r>
      <w:r>
        <w:rPr>
          <w:rFonts w:hint="default" w:ascii="Times New Roman" w:hAnsi="Times New Roman" w:eastAsia="仿宋_GB2312" w:cs="Times New Roman"/>
          <w:sz w:val="32"/>
          <w:szCs w:val="32"/>
          <w:lang w:val="en-US" w:eastAsia="zh-CN"/>
        </w:rPr>
        <w:t>自治区住房城乡建设主管部门</w:t>
      </w:r>
      <w:r>
        <w:rPr>
          <w:rFonts w:hint="default" w:ascii="Times New Roman" w:hAnsi="Times New Roman" w:eastAsia="仿宋_GB2312" w:cs="Times New Roman"/>
          <w:sz w:val="32"/>
          <w:szCs w:val="32"/>
        </w:rPr>
        <w:t>提出书面申诉，并提交有关证明材料。</w:t>
      </w:r>
      <w:r>
        <w:rPr>
          <w:rFonts w:hint="default" w:ascii="Times New Roman" w:hAnsi="Times New Roman" w:eastAsia="仿宋_GB2312" w:cs="Times New Roman"/>
          <w:sz w:val="32"/>
          <w:szCs w:val="32"/>
          <w:lang w:val="en-US" w:eastAsia="zh-CN"/>
        </w:rPr>
        <w:t>鉴定机构</w:t>
      </w:r>
      <w:r>
        <w:rPr>
          <w:rFonts w:hint="default" w:ascii="Times New Roman" w:hAnsi="Times New Roman" w:eastAsia="仿宋_GB2312" w:cs="Times New Roman"/>
          <w:sz w:val="32"/>
          <w:szCs w:val="32"/>
        </w:rPr>
        <w:t>提出异议的，应经企业法定代表人签字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并加盖单位公章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个人提出异议的</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附本人身份证复印件。</w:t>
      </w:r>
      <w:r>
        <w:rPr>
          <w:rFonts w:hint="default" w:ascii="Times New Roman" w:hAnsi="Times New Roman" w:eastAsia="仿宋_GB2312" w:cs="Times New Roman"/>
          <w:sz w:val="32"/>
          <w:szCs w:val="32"/>
          <w:lang w:val="en-US" w:eastAsia="zh-CN"/>
        </w:rPr>
        <w:t>自治区住房城乡建设主管部门应当在收到申诉材料之日起15个工作日内</w:t>
      </w:r>
      <w:r>
        <w:rPr>
          <w:rFonts w:hint="default" w:ascii="Times New Roman" w:hAnsi="Times New Roman" w:eastAsia="仿宋_GB2312" w:cs="Times New Roman"/>
          <w:kern w:val="0"/>
          <w:sz w:val="32"/>
          <w:szCs w:val="32"/>
          <w:lang w:val="en-US" w:eastAsia="zh-CN" w:bidi="ar-SA"/>
        </w:rPr>
        <w:t>进行核实，并将结果告知申请人；信息有误的，及时更正。</w:t>
      </w:r>
    </w:p>
    <w:p w14:paraId="44545CAB">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43" w:firstLineChars="200"/>
        <w:jc w:val="left"/>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b/>
          <w:bCs/>
          <w:color w:val="000000"/>
          <w:sz w:val="32"/>
          <w:szCs w:val="32"/>
        </w:rPr>
        <w:t>第</w:t>
      </w:r>
      <w:r>
        <w:rPr>
          <w:rFonts w:hint="eastAsia" w:ascii="Times New Roman" w:hAnsi="Times New Roman" w:eastAsia="仿宋_GB2312" w:cs="Times New Roman"/>
          <w:b/>
          <w:bCs/>
          <w:color w:val="000000"/>
          <w:sz w:val="32"/>
          <w:szCs w:val="32"/>
          <w:lang w:val="en-US" w:eastAsia="zh-CN"/>
        </w:rPr>
        <w:t>十九</w:t>
      </w:r>
      <w:r>
        <w:rPr>
          <w:rFonts w:hint="default" w:ascii="Times New Roman" w:hAnsi="Times New Roman" w:eastAsia="仿宋_GB2312" w:cs="Times New Roman"/>
          <w:b/>
          <w:bCs/>
          <w:color w:val="000000"/>
          <w:sz w:val="32"/>
          <w:szCs w:val="32"/>
        </w:rPr>
        <w:t>条</w:t>
      </w:r>
      <w:r>
        <w:rPr>
          <w:rFonts w:hint="default" w:ascii="Times New Roman" w:hAnsi="Times New Roman" w:eastAsia="仿宋_GB2312" w:cs="Times New Roman"/>
          <w:b/>
          <w:bCs/>
          <w:color w:val="auto"/>
          <w:sz w:val="32"/>
          <w:szCs w:val="32"/>
          <w:lang w:eastAsia="zh-CN"/>
        </w:rPr>
        <w:t>【责任追究】</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sz w:val="32"/>
          <w:szCs w:val="32"/>
          <w:shd w:val="clear" w:color="auto" w:fill="FFFFFF"/>
          <w:lang w:val="en-US" w:eastAsia="zh-CN"/>
        </w:rPr>
        <w:t>各级住房城乡建设主管部门应当指定专人负责信用信息的采集、记录和审核，以及信用档案管理。</w:t>
      </w:r>
      <w:r>
        <w:rPr>
          <w:rFonts w:hint="default" w:ascii="Times New Roman" w:hAnsi="Times New Roman" w:eastAsia="仿宋_GB2312" w:cs="Times New Roman"/>
          <w:kern w:val="0"/>
          <w:sz w:val="32"/>
          <w:szCs w:val="32"/>
          <w:lang w:val="en-US" w:eastAsia="zh-CN" w:bidi="ar-SA"/>
        </w:rPr>
        <w:t>各级住房城乡建设行政主管部门及其工作人员在鉴定机构信用管理工作中，玩忽职守、滥用职权、徇私舞弊的，由其所在单位或者上级主管部门对直接负责的主管人员和其他责任人员依法依规给予处分；构成犯罪的，依法追究刑事责任。</w:t>
      </w:r>
    </w:p>
    <w:p w14:paraId="079D5AB9">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0"/>
          <w:sz w:val="32"/>
          <w:szCs w:val="32"/>
          <w:lang w:val="en-US" w:eastAsia="zh-CN" w:bidi="ar-SA"/>
        </w:rPr>
      </w:pPr>
    </w:p>
    <w:p w14:paraId="26B9FD5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firstLineChars="0"/>
        <w:jc w:val="center"/>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第六章  附  则</w:t>
      </w:r>
    </w:p>
    <w:p w14:paraId="2784FF3F">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二十</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sz w:val="32"/>
          <w:szCs w:val="32"/>
          <w:lang w:val="en-US" w:eastAsia="zh-CN"/>
        </w:rPr>
        <w:t>自治区住房城乡建设主管部门</w:t>
      </w:r>
      <w:r>
        <w:rPr>
          <w:rFonts w:hint="default" w:ascii="Times New Roman" w:hAnsi="Times New Roman" w:eastAsia="仿宋_GB2312" w:cs="Times New Roman"/>
          <w:sz w:val="32"/>
          <w:szCs w:val="32"/>
        </w:rPr>
        <w:t>可根据我</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房屋鉴定行业发展及工作管理的实际情况，对《自治区房屋鉴定机构信用信息评价记分</w:t>
      </w:r>
      <w:r>
        <w:rPr>
          <w:rFonts w:hint="default" w:ascii="Times New Roman" w:hAnsi="Times New Roman" w:eastAsia="仿宋_GB2312" w:cs="Times New Roman"/>
          <w:sz w:val="32"/>
          <w:szCs w:val="32"/>
          <w:lang w:val="en-US" w:eastAsia="zh-CN"/>
        </w:rPr>
        <w:t>标准</w:t>
      </w:r>
      <w:r>
        <w:rPr>
          <w:rFonts w:hint="default" w:ascii="Times New Roman" w:hAnsi="Times New Roman" w:eastAsia="仿宋_GB2312" w:cs="Times New Roman"/>
          <w:sz w:val="32"/>
          <w:szCs w:val="32"/>
        </w:rPr>
        <w:t>》进行调整。</w:t>
      </w:r>
    </w:p>
    <w:p w14:paraId="0AA1D341">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二十一</w:t>
      </w:r>
      <w:r>
        <w:rPr>
          <w:rFonts w:hint="default" w:ascii="Times New Roman" w:hAnsi="Times New Roman" w:eastAsia="仿宋_GB2312" w:cs="Times New Roman"/>
          <w:b/>
          <w:bCs/>
          <w:sz w:val="32"/>
          <w:szCs w:val="32"/>
        </w:rPr>
        <w:t>条</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本办法由</w:t>
      </w:r>
      <w:r>
        <w:rPr>
          <w:rFonts w:hint="eastAsia" w:ascii="Times New Roman" w:hAnsi="Times New Roman" w:eastAsia="仿宋_GB2312" w:cs="Times New Roman"/>
          <w:sz w:val="32"/>
          <w:szCs w:val="32"/>
          <w:lang w:eastAsia="zh-CN"/>
        </w:rPr>
        <w:t>新疆维吾尔自治区住房和城乡建设厅</w:t>
      </w:r>
      <w:r>
        <w:rPr>
          <w:rFonts w:hint="default" w:ascii="Times New Roman" w:hAnsi="Times New Roman" w:eastAsia="仿宋_GB2312" w:cs="Times New Roman"/>
          <w:sz w:val="32"/>
          <w:szCs w:val="32"/>
        </w:rPr>
        <w:t>负责解释。</w:t>
      </w:r>
    </w:p>
    <w:p w14:paraId="60A8682E">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二十二</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本办法自</w:t>
      </w:r>
      <w:r>
        <w:rPr>
          <w:rFonts w:hint="eastAsia" w:ascii="Times New Roman" w:hAnsi="Times New Roman" w:eastAsia="仿宋_GB2312" w:cs="Times New Roman"/>
          <w:sz w:val="32"/>
          <w:szCs w:val="32"/>
          <w:lang w:val="en-US" w:eastAsia="zh-CN"/>
        </w:rPr>
        <w:t>2026年 月 日起</w:t>
      </w:r>
      <w:r>
        <w:rPr>
          <w:rFonts w:hint="default" w:ascii="Times New Roman" w:hAnsi="Times New Roman" w:eastAsia="仿宋_GB2312" w:cs="Times New Roman"/>
          <w:sz w:val="32"/>
          <w:szCs w:val="32"/>
          <w:lang w:val="en-US" w:eastAsia="zh-CN"/>
        </w:rPr>
        <w:t>施行</w:t>
      </w:r>
      <w:r>
        <w:rPr>
          <w:rFonts w:hint="default" w:ascii="Times New Roman" w:hAnsi="Times New Roman" w:eastAsia="仿宋_GB2312" w:cs="Times New Roman"/>
          <w:sz w:val="32"/>
          <w:szCs w:val="32"/>
        </w:rPr>
        <w:t>。</w:t>
      </w:r>
    </w:p>
    <w:p w14:paraId="39856163">
      <w:pPr>
        <w:spacing w:line="560" w:lineRule="exact"/>
        <w:rPr>
          <w:rFonts w:hint="default" w:ascii="Times New Roman" w:hAnsi="Times New Roman" w:eastAsia="黑体" w:cs="Times New Roman"/>
          <w:bCs/>
          <w:sz w:val="32"/>
          <w:szCs w:val="32"/>
          <w:lang w:eastAsia="zh-CN"/>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bCs/>
          <w:sz w:val="32"/>
          <w:szCs w:val="32"/>
          <w:lang w:eastAsia="zh-CN"/>
        </w:rPr>
        <w:t>附件</w:t>
      </w:r>
    </w:p>
    <w:p w14:paraId="65C37E99">
      <w:pPr>
        <w:spacing w:line="560" w:lineRule="exact"/>
        <w:rPr>
          <w:rFonts w:hint="default" w:ascii="Times New Roman" w:hAnsi="Times New Roman" w:eastAsia="黑体" w:cs="Times New Roman"/>
          <w:bCs/>
          <w:sz w:val="32"/>
          <w:szCs w:val="32"/>
          <w:lang w:eastAsia="zh-CN"/>
        </w:rPr>
      </w:pPr>
    </w:p>
    <w:p w14:paraId="07C47B14">
      <w:pPr>
        <w:spacing w:line="560" w:lineRule="exact"/>
        <w:ind w:left="0" w:leftChars="0" w:firstLine="0" w:firstLineChars="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自治区房屋鉴定机构信用信息评价标准</w:t>
      </w:r>
    </w:p>
    <w:p w14:paraId="0CF4C402">
      <w:pPr>
        <w:spacing w:line="560" w:lineRule="exact"/>
        <w:ind w:left="0"/>
        <w:jc w:val="center"/>
        <w:rPr>
          <w:rFonts w:hint="default" w:ascii="Times New Roman" w:hAnsi="Times New Roman" w:cs="Times New Roman"/>
        </w:rPr>
      </w:pPr>
    </w:p>
    <w:tbl>
      <w:tblPr>
        <w:tblStyle w:val="9"/>
        <w:tblW w:w="9298"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2"/>
        <w:gridCol w:w="2075"/>
        <w:gridCol w:w="4536"/>
        <w:gridCol w:w="1645"/>
      </w:tblGrid>
      <w:tr w14:paraId="2F105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42" w:type="dxa"/>
            <w:noWrap w:val="0"/>
            <w:vAlign w:val="center"/>
          </w:tcPr>
          <w:p w14:paraId="225B867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信用信息分类</w:t>
            </w:r>
          </w:p>
        </w:tc>
        <w:tc>
          <w:tcPr>
            <w:tcW w:w="2075" w:type="dxa"/>
            <w:noWrap w:val="0"/>
            <w:vAlign w:val="center"/>
          </w:tcPr>
          <w:p w14:paraId="5B9FDB2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信用信息指标</w:t>
            </w:r>
          </w:p>
        </w:tc>
        <w:tc>
          <w:tcPr>
            <w:tcW w:w="4536" w:type="dxa"/>
            <w:noWrap w:val="0"/>
            <w:vAlign w:val="center"/>
          </w:tcPr>
          <w:p w14:paraId="752EE0F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评价标准</w:t>
            </w:r>
          </w:p>
        </w:tc>
        <w:tc>
          <w:tcPr>
            <w:tcW w:w="1645" w:type="dxa"/>
            <w:noWrap w:val="0"/>
            <w:vAlign w:val="center"/>
          </w:tcPr>
          <w:p w14:paraId="21079D1A">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分值</w:t>
            </w:r>
          </w:p>
        </w:tc>
      </w:tr>
      <w:tr w14:paraId="4A9B9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4" w:hRule="atLeast"/>
        </w:trPr>
        <w:tc>
          <w:tcPr>
            <w:tcW w:w="1042" w:type="dxa"/>
            <w:noWrap w:val="0"/>
            <w:vAlign w:val="center"/>
          </w:tcPr>
          <w:p w14:paraId="4F1DCA71">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p w14:paraId="71960106">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基本信用信息</w:t>
            </w:r>
          </w:p>
          <w:p w14:paraId="198F5CF1">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lang w:eastAsia="zh-CN"/>
              </w:rPr>
              <w:t>（</w:t>
            </w:r>
            <w:r>
              <w:rPr>
                <w:rFonts w:hint="default" w:ascii="Times New Roman" w:hAnsi="Times New Roman" w:eastAsia="宋体" w:cs="Times New Roman"/>
                <w:color w:val="auto"/>
                <w:sz w:val="22"/>
                <w:szCs w:val="22"/>
                <w:lang w:val="en-US" w:eastAsia="zh-CN"/>
              </w:rPr>
              <w:t>80分</w:t>
            </w:r>
            <w:r>
              <w:rPr>
                <w:rFonts w:hint="default" w:ascii="Times New Roman" w:hAnsi="Times New Roman" w:eastAsia="宋体" w:cs="Times New Roman"/>
                <w:color w:val="auto"/>
                <w:sz w:val="22"/>
                <w:szCs w:val="22"/>
                <w:lang w:eastAsia="zh-CN"/>
              </w:rPr>
              <w:t>）</w:t>
            </w:r>
          </w:p>
        </w:tc>
        <w:tc>
          <w:tcPr>
            <w:tcW w:w="2075" w:type="dxa"/>
            <w:noWrap w:val="0"/>
            <w:vAlign w:val="center"/>
          </w:tcPr>
          <w:p w14:paraId="706C746D">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鉴定机构基本信息</w:t>
            </w:r>
          </w:p>
          <w:p w14:paraId="62E1A8FE">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lang w:val="en-US" w:eastAsia="zh-CN"/>
              </w:rPr>
            </w:pPr>
            <w:r>
              <w:rPr>
                <w:rFonts w:hint="eastAsia" w:ascii="Times New Roman" w:hAnsi="Times New Roman" w:cs="Times New Roman"/>
                <w:color w:val="auto"/>
                <w:sz w:val="22"/>
                <w:szCs w:val="22"/>
                <w:lang w:val="en-US" w:eastAsia="zh-CN"/>
              </w:rPr>
              <w:t>1.</w:t>
            </w:r>
            <w:r>
              <w:rPr>
                <w:rFonts w:hint="default" w:ascii="Times New Roman" w:hAnsi="Times New Roman" w:eastAsia="宋体" w:cs="Times New Roman"/>
                <w:color w:val="auto"/>
                <w:sz w:val="22"/>
                <w:szCs w:val="22"/>
                <w:lang w:val="en-US" w:eastAsia="zh-CN"/>
              </w:rPr>
              <w:t>企业登记注册信息；</w:t>
            </w:r>
          </w:p>
          <w:p w14:paraId="7CF00458">
            <w:pPr>
              <w:keepNext w:val="0"/>
              <w:keepLines w:val="0"/>
              <w:pageBreakBefore w:val="0"/>
              <w:numPr>
                <w:ilvl w:val="0"/>
                <w:numId w:val="0"/>
              </w:numPr>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lang w:val="en-US" w:eastAsia="zh-CN"/>
              </w:rPr>
            </w:pPr>
            <w:r>
              <w:rPr>
                <w:rFonts w:hint="eastAsia" w:ascii="Times New Roman" w:hAnsi="Times New Roman" w:cs="Times New Roman"/>
                <w:color w:val="auto"/>
                <w:sz w:val="22"/>
                <w:szCs w:val="22"/>
                <w:lang w:val="en-US" w:eastAsia="zh-CN"/>
              </w:rPr>
              <w:t>2.</w:t>
            </w:r>
            <w:r>
              <w:rPr>
                <w:rFonts w:hint="default" w:ascii="Times New Roman" w:hAnsi="Times New Roman" w:eastAsia="宋体" w:cs="Times New Roman"/>
                <w:color w:val="auto"/>
                <w:sz w:val="22"/>
                <w:szCs w:val="22"/>
                <w:lang w:val="en-US" w:eastAsia="zh-CN"/>
              </w:rPr>
              <w:t>企业资质信息；</w:t>
            </w:r>
          </w:p>
          <w:p w14:paraId="46317D79">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3.从业人员信息；</w:t>
            </w:r>
          </w:p>
          <w:p w14:paraId="4F6F2DEE">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r>
              <w:rPr>
                <w:rFonts w:hint="default" w:ascii="Times New Roman" w:hAnsi="Times New Roman" w:eastAsia="宋体" w:cs="Times New Roman"/>
                <w:color w:val="auto"/>
                <w:sz w:val="22"/>
                <w:szCs w:val="22"/>
                <w:lang w:val="en-US" w:eastAsia="zh-CN"/>
              </w:rPr>
              <w:t>80</w:t>
            </w:r>
            <w:r>
              <w:rPr>
                <w:rFonts w:hint="default" w:ascii="Times New Roman" w:hAnsi="Times New Roman" w:eastAsia="宋体" w:cs="Times New Roman"/>
                <w:color w:val="auto"/>
                <w:sz w:val="22"/>
                <w:szCs w:val="22"/>
              </w:rPr>
              <w:t>分）</w:t>
            </w:r>
          </w:p>
        </w:tc>
        <w:tc>
          <w:tcPr>
            <w:tcW w:w="4536" w:type="dxa"/>
            <w:noWrap w:val="0"/>
            <w:vAlign w:val="center"/>
          </w:tcPr>
          <w:p w14:paraId="7711B7B1">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lang w:val="en-US" w:eastAsia="zh-CN"/>
              </w:rPr>
              <w:t>基本信用信息在自治区城乡房屋安全综合管理信息系统完整、准确、诚信填报的鉴定机构，首次记分为80分</w:t>
            </w:r>
            <w:r>
              <w:rPr>
                <w:rFonts w:hint="default" w:ascii="Times New Roman" w:hAnsi="Times New Roman" w:eastAsia="宋体" w:cs="Times New Roman"/>
                <w:color w:val="0000FF"/>
                <w:sz w:val="22"/>
                <w:szCs w:val="22"/>
                <w:lang w:val="en-US" w:eastAsia="zh-CN"/>
              </w:rPr>
              <w:t>。</w:t>
            </w:r>
          </w:p>
        </w:tc>
        <w:tc>
          <w:tcPr>
            <w:tcW w:w="1645" w:type="dxa"/>
            <w:noWrap w:val="0"/>
            <w:vAlign w:val="center"/>
          </w:tcPr>
          <w:p w14:paraId="575E6400">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80</w:t>
            </w:r>
            <w:r>
              <w:rPr>
                <w:rFonts w:hint="default" w:ascii="Times New Roman" w:hAnsi="Times New Roman" w:eastAsia="宋体" w:cs="Times New Roman"/>
                <w:color w:val="auto"/>
                <w:sz w:val="22"/>
                <w:szCs w:val="22"/>
              </w:rPr>
              <w:t>分</w:t>
            </w:r>
          </w:p>
        </w:tc>
      </w:tr>
      <w:tr w14:paraId="4AAD6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042" w:type="dxa"/>
            <w:vMerge w:val="restart"/>
            <w:noWrap w:val="0"/>
            <w:vAlign w:val="center"/>
          </w:tcPr>
          <w:p w14:paraId="6C3338DA">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良好信用信息</w:t>
            </w:r>
          </w:p>
          <w:p w14:paraId="0DECB170">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r>
              <w:rPr>
                <w:rFonts w:hint="default" w:ascii="Times New Roman" w:hAnsi="Times New Roman" w:eastAsia="宋体" w:cs="Times New Roman"/>
                <w:color w:val="auto"/>
                <w:sz w:val="22"/>
                <w:szCs w:val="22"/>
                <w:lang w:val="en-US" w:eastAsia="zh-CN"/>
              </w:rPr>
              <w:t>50</w:t>
            </w:r>
            <w:r>
              <w:rPr>
                <w:rFonts w:hint="default" w:ascii="Times New Roman" w:hAnsi="Times New Roman" w:eastAsia="宋体" w:cs="Times New Roman"/>
                <w:color w:val="auto"/>
                <w:sz w:val="22"/>
                <w:szCs w:val="22"/>
              </w:rPr>
              <w:t>分）</w:t>
            </w:r>
          </w:p>
        </w:tc>
        <w:tc>
          <w:tcPr>
            <w:tcW w:w="2075" w:type="dxa"/>
            <w:vMerge w:val="restart"/>
            <w:noWrap w:val="0"/>
            <w:vAlign w:val="center"/>
          </w:tcPr>
          <w:p w14:paraId="427C088B">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lang w:val="en-US" w:eastAsia="zh-CN"/>
              </w:rPr>
              <w:t>从事房屋鉴定活动中获得表彰奖励</w:t>
            </w:r>
            <w:r>
              <w:rPr>
                <w:rFonts w:hint="default" w:ascii="Times New Roman" w:hAnsi="Times New Roman" w:eastAsia="宋体" w:cs="Times New Roman"/>
                <w:color w:val="auto"/>
                <w:sz w:val="22"/>
                <w:szCs w:val="22"/>
              </w:rPr>
              <w:t>及各类荣誉称号</w:t>
            </w:r>
          </w:p>
          <w:p w14:paraId="3E184688">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（最高</w:t>
            </w:r>
            <w:r>
              <w:rPr>
                <w:rFonts w:hint="default" w:ascii="Times New Roman" w:hAnsi="Times New Roman" w:eastAsia="宋体" w:cs="Times New Roman"/>
                <w:color w:val="auto"/>
                <w:sz w:val="22"/>
                <w:szCs w:val="22"/>
                <w:lang w:val="en-US" w:eastAsia="zh-CN"/>
              </w:rPr>
              <w:t>20</w:t>
            </w:r>
            <w:r>
              <w:rPr>
                <w:rFonts w:hint="default" w:ascii="Times New Roman" w:hAnsi="Times New Roman" w:eastAsia="宋体" w:cs="Times New Roman"/>
                <w:color w:val="auto"/>
                <w:sz w:val="22"/>
                <w:szCs w:val="22"/>
              </w:rPr>
              <w:t>分）</w:t>
            </w:r>
          </w:p>
        </w:tc>
        <w:tc>
          <w:tcPr>
            <w:tcW w:w="4536" w:type="dxa"/>
            <w:noWrap w:val="0"/>
            <w:vAlign w:val="center"/>
          </w:tcPr>
          <w:p w14:paraId="5888C4D3">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国际及国家（部）级</w:t>
            </w:r>
          </w:p>
        </w:tc>
        <w:tc>
          <w:tcPr>
            <w:tcW w:w="1645" w:type="dxa"/>
            <w:noWrap w:val="0"/>
            <w:vAlign w:val="center"/>
          </w:tcPr>
          <w:p w14:paraId="2AC80674">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lang w:val="en-US" w:eastAsia="zh-CN"/>
              </w:rPr>
              <w:t>+10</w:t>
            </w:r>
            <w:r>
              <w:rPr>
                <w:rFonts w:hint="default" w:ascii="Times New Roman" w:hAnsi="Times New Roman" w:eastAsia="宋体" w:cs="Times New Roman"/>
                <w:color w:val="auto"/>
                <w:sz w:val="22"/>
                <w:szCs w:val="22"/>
              </w:rPr>
              <w:t>分/项</w:t>
            </w:r>
          </w:p>
        </w:tc>
      </w:tr>
      <w:tr w14:paraId="71783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1042" w:type="dxa"/>
            <w:vMerge w:val="continue"/>
            <w:noWrap w:val="0"/>
            <w:vAlign w:val="center"/>
          </w:tcPr>
          <w:p w14:paraId="22ECCD4A">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continue"/>
            <w:noWrap w:val="0"/>
            <w:vAlign w:val="center"/>
          </w:tcPr>
          <w:p w14:paraId="36675200">
            <w:pPr>
              <w:keepNext w:val="0"/>
              <w:keepLines w:val="0"/>
              <w:pageBreakBefore w:val="0"/>
              <w:kinsoku/>
              <w:wordWrap/>
              <w:overflowPunct/>
              <w:topLinePunct w:val="0"/>
              <w:autoSpaceDE/>
              <w:autoSpaceDN/>
              <w:bidi w:val="0"/>
              <w:spacing w:line="300" w:lineRule="exact"/>
              <w:jc w:val="both"/>
              <w:textAlignment w:val="auto"/>
              <w:rPr>
                <w:rFonts w:hint="default" w:ascii="Times New Roman" w:hAnsi="Times New Roman" w:eastAsia="宋体" w:cs="Times New Roman"/>
                <w:color w:val="auto"/>
                <w:sz w:val="22"/>
                <w:szCs w:val="22"/>
              </w:rPr>
            </w:pPr>
          </w:p>
        </w:tc>
        <w:tc>
          <w:tcPr>
            <w:tcW w:w="4536" w:type="dxa"/>
            <w:noWrap w:val="0"/>
            <w:vAlign w:val="center"/>
          </w:tcPr>
          <w:p w14:paraId="4E72B2B8">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lang w:eastAsia="zh-CN"/>
              </w:rPr>
              <w:t>获得</w:t>
            </w:r>
            <w:r>
              <w:rPr>
                <w:rFonts w:hint="default" w:ascii="Times New Roman" w:hAnsi="Times New Roman" w:eastAsia="宋体" w:cs="Times New Roman"/>
                <w:color w:val="auto"/>
                <w:sz w:val="22"/>
                <w:szCs w:val="22"/>
              </w:rPr>
              <w:t>自治区住建</w:t>
            </w:r>
            <w:r>
              <w:rPr>
                <w:rFonts w:hint="default" w:ascii="Times New Roman" w:hAnsi="Times New Roman" w:eastAsia="宋体" w:cs="Times New Roman"/>
                <w:color w:val="auto"/>
                <w:sz w:val="22"/>
                <w:szCs w:val="22"/>
                <w:lang w:eastAsia="zh-CN"/>
              </w:rPr>
              <w:t>部门有</w:t>
            </w:r>
            <w:r>
              <w:rPr>
                <w:rFonts w:hint="default" w:ascii="Times New Roman" w:hAnsi="Times New Roman" w:eastAsia="宋体" w:cs="Times New Roman"/>
                <w:color w:val="auto"/>
                <w:sz w:val="22"/>
                <w:szCs w:val="22"/>
              </w:rPr>
              <w:t>关奖项、表彰</w:t>
            </w:r>
          </w:p>
        </w:tc>
        <w:tc>
          <w:tcPr>
            <w:tcW w:w="1645" w:type="dxa"/>
            <w:noWrap w:val="0"/>
            <w:vAlign w:val="center"/>
          </w:tcPr>
          <w:p w14:paraId="43C4F9B0">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lang w:val="en-US" w:eastAsia="zh-CN"/>
              </w:rPr>
              <w:t>+5</w:t>
            </w:r>
            <w:r>
              <w:rPr>
                <w:rFonts w:hint="default" w:ascii="Times New Roman" w:hAnsi="Times New Roman" w:eastAsia="宋体" w:cs="Times New Roman"/>
                <w:color w:val="auto"/>
                <w:sz w:val="22"/>
                <w:szCs w:val="22"/>
              </w:rPr>
              <w:t>分/项</w:t>
            </w:r>
          </w:p>
        </w:tc>
      </w:tr>
      <w:tr w14:paraId="6EF7D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1042" w:type="dxa"/>
            <w:vMerge w:val="continue"/>
            <w:noWrap w:val="0"/>
            <w:vAlign w:val="center"/>
          </w:tcPr>
          <w:p w14:paraId="1284F74D">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continue"/>
            <w:noWrap w:val="0"/>
            <w:vAlign w:val="center"/>
          </w:tcPr>
          <w:p w14:paraId="5AABACFC">
            <w:pPr>
              <w:keepNext w:val="0"/>
              <w:keepLines w:val="0"/>
              <w:pageBreakBefore w:val="0"/>
              <w:kinsoku/>
              <w:wordWrap/>
              <w:overflowPunct/>
              <w:topLinePunct w:val="0"/>
              <w:autoSpaceDE/>
              <w:autoSpaceDN/>
              <w:bidi w:val="0"/>
              <w:spacing w:line="300" w:lineRule="exact"/>
              <w:jc w:val="both"/>
              <w:textAlignment w:val="auto"/>
              <w:rPr>
                <w:rFonts w:hint="default" w:ascii="Times New Roman" w:hAnsi="Times New Roman" w:eastAsia="宋体" w:cs="Times New Roman"/>
                <w:color w:val="auto"/>
                <w:sz w:val="22"/>
                <w:szCs w:val="22"/>
              </w:rPr>
            </w:pPr>
          </w:p>
        </w:tc>
        <w:tc>
          <w:tcPr>
            <w:tcW w:w="4536" w:type="dxa"/>
            <w:tcBorders>
              <w:bottom w:val="single" w:color="auto" w:sz="4" w:space="0"/>
            </w:tcBorders>
            <w:noWrap w:val="0"/>
            <w:vAlign w:val="center"/>
          </w:tcPr>
          <w:p w14:paraId="17C834C4">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获得地（州、市）级</w:t>
            </w:r>
            <w:r>
              <w:rPr>
                <w:rFonts w:hint="default" w:ascii="Times New Roman" w:hAnsi="Times New Roman" w:eastAsia="宋体" w:cs="Times New Roman"/>
                <w:color w:val="auto"/>
                <w:sz w:val="22"/>
                <w:szCs w:val="22"/>
              </w:rPr>
              <w:t>住建</w:t>
            </w:r>
            <w:r>
              <w:rPr>
                <w:rFonts w:hint="default" w:ascii="Times New Roman" w:hAnsi="Times New Roman" w:eastAsia="宋体" w:cs="Times New Roman"/>
                <w:color w:val="auto"/>
                <w:sz w:val="22"/>
                <w:szCs w:val="22"/>
                <w:lang w:eastAsia="zh-CN"/>
              </w:rPr>
              <w:t>部门有</w:t>
            </w:r>
            <w:r>
              <w:rPr>
                <w:rFonts w:hint="default" w:ascii="Times New Roman" w:hAnsi="Times New Roman" w:eastAsia="宋体" w:cs="Times New Roman"/>
                <w:color w:val="auto"/>
                <w:sz w:val="22"/>
                <w:szCs w:val="22"/>
              </w:rPr>
              <w:t>关奖项、表彰</w:t>
            </w:r>
          </w:p>
        </w:tc>
        <w:tc>
          <w:tcPr>
            <w:tcW w:w="1645" w:type="dxa"/>
            <w:tcBorders>
              <w:bottom w:val="single" w:color="auto" w:sz="4" w:space="0"/>
            </w:tcBorders>
            <w:noWrap w:val="0"/>
            <w:vAlign w:val="center"/>
          </w:tcPr>
          <w:p w14:paraId="78B75A3A">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lang w:val="en-US" w:eastAsia="zh-CN"/>
              </w:rPr>
              <w:t>+2</w:t>
            </w:r>
            <w:r>
              <w:rPr>
                <w:rFonts w:hint="default" w:ascii="Times New Roman" w:hAnsi="Times New Roman" w:eastAsia="宋体" w:cs="Times New Roman"/>
                <w:color w:val="auto"/>
                <w:sz w:val="22"/>
                <w:szCs w:val="22"/>
              </w:rPr>
              <w:t>分/项</w:t>
            </w:r>
          </w:p>
        </w:tc>
      </w:tr>
      <w:tr w14:paraId="44C01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042" w:type="dxa"/>
            <w:vMerge w:val="continue"/>
            <w:noWrap w:val="0"/>
            <w:vAlign w:val="center"/>
          </w:tcPr>
          <w:p w14:paraId="135AC02D">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continue"/>
            <w:noWrap w:val="0"/>
            <w:vAlign w:val="center"/>
          </w:tcPr>
          <w:p w14:paraId="228D5469">
            <w:pPr>
              <w:keepNext w:val="0"/>
              <w:keepLines w:val="0"/>
              <w:pageBreakBefore w:val="0"/>
              <w:kinsoku/>
              <w:wordWrap/>
              <w:overflowPunct/>
              <w:topLinePunct w:val="0"/>
              <w:autoSpaceDE/>
              <w:autoSpaceDN/>
              <w:bidi w:val="0"/>
              <w:spacing w:line="300" w:lineRule="exact"/>
              <w:jc w:val="both"/>
              <w:textAlignment w:val="auto"/>
              <w:rPr>
                <w:rFonts w:hint="default" w:ascii="Times New Roman" w:hAnsi="Times New Roman" w:eastAsia="宋体" w:cs="Times New Roman"/>
                <w:color w:val="auto"/>
                <w:sz w:val="22"/>
                <w:szCs w:val="22"/>
              </w:rPr>
            </w:pPr>
          </w:p>
        </w:tc>
        <w:tc>
          <w:tcPr>
            <w:tcW w:w="4536" w:type="dxa"/>
            <w:tcBorders>
              <w:top w:val="single" w:color="auto" w:sz="4" w:space="0"/>
            </w:tcBorders>
            <w:noWrap w:val="0"/>
            <w:vAlign w:val="center"/>
          </w:tcPr>
          <w:p w14:paraId="1285B749">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获得县（市、区）级</w:t>
            </w:r>
            <w:r>
              <w:rPr>
                <w:rFonts w:hint="default" w:ascii="Times New Roman" w:hAnsi="Times New Roman" w:eastAsia="宋体" w:cs="Times New Roman"/>
                <w:color w:val="auto"/>
                <w:sz w:val="22"/>
                <w:szCs w:val="22"/>
              </w:rPr>
              <w:t>住建</w:t>
            </w:r>
            <w:r>
              <w:rPr>
                <w:rFonts w:hint="default" w:ascii="Times New Roman" w:hAnsi="Times New Roman" w:eastAsia="宋体" w:cs="Times New Roman"/>
                <w:color w:val="auto"/>
                <w:sz w:val="22"/>
                <w:szCs w:val="22"/>
                <w:lang w:eastAsia="zh-CN"/>
              </w:rPr>
              <w:t>部门有</w:t>
            </w:r>
            <w:r>
              <w:rPr>
                <w:rFonts w:hint="default" w:ascii="Times New Roman" w:hAnsi="Times New Roman" w:eastAsia="宋体" w:cs="Times New Roman"/>
                <w:color w:val="auto"/>
                <w:sz w:val="22"/>
                <w:szCs w:val="22"/>
              </w:rPr>
              <w:t>关奖项、表彰</w:t>
            </w:r>
          </w:p>
        </w:tc>
        <w:tc>
          <w:tcPr>
            <w:tcW w:w="1645" w:type="dxa"/>
            <w:tcBorders>
              <w:top w:val="single" w:color="auto" w:sz="4" w:space="0"/>
            </w:tcBorders>
            <w:noWrap w:val="0"/>
            <w:vAlign w:val="center"/>
          </w:tcPr>
          <w:p w14:paraId="08388C77">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lang w:val="en-US" w:eastAsia="zh-CN" w:bidi="ar-SA"/>
              </w:rPr>
            </w:pPr>
            <w:r>
              <w:rPr>
                <w:rFonts w:hint="default" w:ascii="Times New Roman" w:hAnsi="Times New Roman" w:eastAsia="宋体" w:cs="Times New Roman"/>
                <w:color w:val="auto"/>
                <w:sz w:val="22"/>
                <w:szCs w:val="22"/>
                <w:lang w:val="en-US" w:eastAsia="zh-CN"/>
              </w:rPr>
              <w:t>+1</w:t>
            </w:r>
            <w:r>
              <w:rPr>
                <w:rFonts w:hint="default" w:ascii="Times New Roman" w:hAnsi="Times New Roman" w:eastAsia="宋体" w:cs="Times New Roman"/>
                <w:color w:val="auto"/>
                <w:sz w:val="22"/>
                <w:szCs w:val="22"/>
              </w:rPr>
              <w:t>分/项</w:t>
            </w:r>
          </w:p>
        </w:tc>
      </w:tr>
      <w:tr w14:paraId="2E424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trPr>
        <w:tc>
          <w:tcPr>
            <w:tcW w:w="1042" w:type="dxa"/>
            <w:vMerge w:val="continue"/>
            <w:noWrap w:val="0"/>
            <w:vAlign w:val="center"/>
          </w:tcPr>
          <w:p w14:paraId="610F51C1">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continue"/>
            <w:noWrap w:val="0"/>
            <w:vAlign w:val="center"/>
          </w:tcPr>
          <w:p w14:paraId="5224CC53">
            <w:pPr>
              <w:keepNext w:val="0"/>
              <w:keepLines w:val="0"/>
              <w:pageBreakBefore w:val="0"/>
              <w:kinsoku/>
              <w:wordWrap/>
              <w:overflowPunct/>
              <w:topLinePunct w:val="0"/>
              <w:autoSpaceDE/>
              <w:autoSpaceDN/>
              <w:bidi w:val="0"/>
              <w:spacing w:line="300" w:lineRule="exact"/>
              <w:jc w:val="both"/>
              <w:textAlignment w:val="auto"/>
              <w:rPr>
                <w:rFonts w:hint="default" w:ascii="Times New Roman" w:hAnsi="Times New Roman" w:eastAsia="宋体" w:cs="Times New Roman"/>
                <w:color w:val="auto"/>
                <w:sz w:val="22"/>
                <w:szCs w:val="22"/>
              </w:rPr>
            </w:pPr>
          </w:p>
        </w:tc>
        <w:tc>
          <w:tcPr>
            <w:tcW w:w="4536" w:type="dxa"/>
            <w:tcBorders>
              <w:top w:val="single" w:color="auto" w:sz="4" w:space="0"/>
            </w:tcBorders>
            <w:noWrap w:val="0"/>
            <w:vAlign w:val="center"/>
          </w:tcPr>
          <w:p w14:paraId="1F0B10C3">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在上一年房屋鉴定机构信用中，信用评价等级为A加2分，等级为AA加3分，等级为AAA加5分。</w:t>
            </w:r>
          </w:p>
        </w:tc>
        <w:tc>
          <w:tcPr>
            <w:tcW w:w="1645" w:type="dxa"/>
            <w:tcBorders>
              <w:top w:val="single" w:color="auto" w:sz="4" w:space="0"/>
            </w:tcBorders>
            <w:noWrap w:val="0"/>
            <w:vAlign w:val="center"/>
          </w:tcPr>
          <w:p w14:paraId="7F2317DB">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lang w:val="en-US" w:eastAsia="zh-CN"/>
              </w:rPr>
            </w:pPr>
          </w:p>
          <w:p w14:paraId="70379603">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最高5分</w:t>
            </w:r>
          </w:p>
        </w:tc>
      </w:tr>
      <w:tr w14:paraId="3A711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trPr>
        <w:tc>
          <w:tcPr>
            <w:tcW w:w="1042" w:type="dxa"/>
            <w:vMerge w:val="continue"/>
            <w:noWrap w:val="0"/>
            <w:vAlign w:val="center"/>
          </w:tcPr>
          <w:p w14:paraId="754100B8">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restart"/>
            <w:noWrap w:val="0"/>
            <w:vAlign w:val="center"/>
          </w:tcPr>
          <w:p w14:paraId="16AF3F3D">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从事房屋鉴定活动中获得</w:t>
            </w:r>
            <w:r>
              <w:rPr>
                <w:rFonts w:hint="default" w:ascii="Times New Roman" w:hAnsi="Times New Roman" w:eastAsia="宋体" w:cs="Times New Roman"/>
                <w:color w:val="auto"/>
                <w:sz w:val="22"/>
                <w:szCs w:val="22"/>
              </w:rPr>
              <w:t>科技创新</w:t>
            </w:r>
            <w:r>
              <w:rPr>
                <w:rFonts w:hint="default" w:ascii="Times New Roman" w:hAnsi="Times New Roman" w:eastAsia="宋体" w:cs="Times New Roman"/>
                <w:color w:val="auto"/>
                <w:sz w:val="22"/>
                <w:szCs w:val="22"/>
                <w:lang w:val="en-US" w:eastAsia="zh-CN"/>
              </w:rPr>
              <w:t>成果</w:t>
            </w:r>
          </w:p>
          <w:p w14:paraId="0BAAB7DD">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（最高</w:t>
            </w:r>
            <w:r>
              <w:rPr>
                <w:rFonts w:hint="default" w:ascii="Times New Roman" w:hAnsi="Times New Roman" w:eastAsia="宋体" w:cs="Times New Roman"/>
                <w:color w:val="auto"/>
                <w:sz w:val="22"/>
                <w:szCs w:val="22"/>
                <w:lang w:val="en-US" w:eastAsia="zh-CN"/>
              </w:rPr>
              <w:t>15</w:t>
            </w:r>
            <w:r>
              <w:rPr>
                <w:rFonts w:hint="default" w:ascii="Times New Roman" w:hAnsi="Times New Roman" w:eastAsia="宋体" w:cs="Times New Roman"/>
                <w:color w:val="auto"/>
                <w:sz w:val="22"/>
                <w:szCs w:val="22"/>
              </w:rPr>
              <w:t>分）</w:t>
            </w:r>
          </w:p>
        </w:tc>
        <w:tc>
          <w:tcPr>
            <w:tcW w:w="4536" w:type="dxa"/>
            <w:noWrap w:val="0"/>
            <w:vAlign w:val="center"/>
          </w:tcPr>
          <w:p w14:paraId="318E106D">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申请国家、自治区级或地方政府研发课题，国家级评审论证通过的科研课题每项</w:t>
            </w:r>
            <w:r>
              <w:rPr>
                <w:rFonts w:hint="default" w:ascii="Times New Roman" w:hAnsi="Times New Roman" w:eastAsia="宋体" w:cs="Times New Roman"/>
                <w:color w:val="auto"/>
                <w:sz w:val="22"/>
                <w:szCs w:val="22"/>
                <w:lang w:val="en-US" w:eastAsia="zh-CN"/>
              </w:rPr>
              <w:t>加5</w:t>
            </w:r>
            <w:r>
              <w:rPr>
                <w:rFonts w:hint="default" w:ascii="Times New Roman" w:hAnsi="Times New Roman" w:eastAsia="宋体" w:cs="Times New Roman"/>
                <w:color w:val="auto"/>
                <w:sz w:val="22"/>
                <w:szCs w:val="22"/>
              </w:rPr>
              <w:t>分，自治区级评审论证通过的科研课题</w:t>
            </w:r>
            <w:r>
              <w:rPr>
                <w:rFonts w:hint="default" w:ascii="Times New Roman" w:hAnsi="Times New Roman" w:eastAsia="宋体" w:cs="Times New Roman"/>
                <w:color w:val="auto"/>
                <w:sz w:val="22"/>
                <w:szCs w:val="22"/>
                <w:lang w:val="en-US" w:eastAsia="zh-CN"/>
              </w:rPr>
              <w:t>加3</w:t>
            </w:r>
            <w:r>
              <w:rPr>
                <w:rFonts w:hint="default" w:ascii="Times New Roman" w:hAnsi="Times New Roman" w:eastAsia="宋体" w:cs="Times New Roman"/>
                <w:color w:val="auto"/>
                <w:sz w:val="22"/>
                <w:szCs w:val="22"/>
              </w:rPr>
              <w:t>分，地州市级评审论证通过</w:t>
            </w:r>
            <w:r>
              <w:rPr>
                <w:rFonts w:hint="default" w:ascii="Times New Roman" w:hAnsi="Times New Roman" w:eastAsia="宋体" w:cs="Times New Roman"/>
                <w:color w:val="auto"/>
                <w:sz w:val="22"/>
                <w:szCs w:val="22"/>
                <w:lang w:val="en-US" w:eastAsia="zh-CN"/>
              </w:rPr>
              <w:t>加</w:t>
            </w:r>
            <w:r>
              <w:rPr>
                <w:rFonts w:hint="default" w:ascii="Times New Roman" w:hAnsi="Times New Roman" w:eastAsia="宋体" w:cs="Times New Roman"/>
                <w:color w:val="auto"/>
                <w:sz w:val="22"/>
                <w:szCs w:val="22"/>
              </w:rPr>
              <w:t>1分</w:t>
            </w:r>
          </w:p>
        </w:tc>
        <w:tc>
          <w:tcPr>
            <w:tcW w:w="1645" w:type="dxa"/>
            <w:noWrap w:val="0"/>
            <w:vAlign w:val="center"/>
          </w:tcPr>
          <w:p w14:paraId="706FD68F">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eastAsia="zh-CN"/>
              </w:rPr>
              <w:t>最高</w:t>
            </w:r>
            <w:r>
              <w:rPr>
                <w:rFonts w:hint="default" w:ascii="Times New Roman" w:hAnsi="Times New Roman" w:eastAsia="宋体" w:cs="Times New Roman"/>
                <w:color w:val="auto"/>
                <w:sz w:val="22"/>
                <w:szCs w:val="22"/>
                <w:lang w:val="en-US" w:eastAsia="zh-CN"/>
              </w:rPr>
              <w:t>10分</w:t>
            </w:r>
          </w:p>
        </w:tc>
      </w:tr>
      <w:tr w14:paraId="67B70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042" w:type="dxa"/>
            <w:vMerge w:val="continue"/>
            <w:noWrap w:val="0"/>
            <w:vAlign w:val="center"/>
          </w:tcPr>
          <w:p w14:paraId="158B3A34">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continue"/>
            <w:noWrap w:val="0"/>
            <w:vAlign w:val="center"/>
          </w:tcPr>
          <w:p w14:paraId="4CDD01CC">
            <w:pPr>
              <w:keepNext w:val="0"/>
              <w:keepLines w:val="0"/>
              <w:pageBreakBefore w:val="0"/>
              <w:kinsoku/>
              <w:wordWrap/>
              <w:overflowPunct/>
              <w:topLinePunct w:val="0"/>
              <w:autoSpaceDE/>
              <w:autoSpaceDN/>
              <w:bidi w:val="0"/>
              <w:spacing w:line="300" w:lineRule="exact"/>
              <w:jc w:val="both"/>
              <w:textAlignment w:val="auto"/>
              <w:rPr>
                <w:rFonts w:hint="default" w:ascii="Times New Roman" w:hAnsi="Times New Roman" w:eastAsia="宋体" w:cs="Times New Roman"/>
                <w:color w:val="auto"/>
                <w:sz w:val="22"/>
                <w:szCs w:val="22"/>
              </w:rPr>
            </w:pPr>
          </w:p>
        </w:tc>
        <w:tc>
          <w:tcPr>
            <w:tcW w:w="4536" w:type="dxa"/>
            <w:noWrap w:val="0"/>
            <w:vAlign w:val="center"/>
          </w:tcPr>
          <w:p w14:paraId="63EBCA58">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参与</w:t>
            </w:r>
            <w:r>
              <w:rPr>
                <w:rFonts w:hint="default" w:ascii="Times New Roman" w:hAnsi="Times New Roman" w:eastAsia="宋体" w:cs="Times New Roman"/>
                <w:color w:val="auto"/>
                <w:sz w:val="22"/>
                <w:szCs w:val="22"/>
                <w:lang w:val="en-US" w:eastAsia="zh-CN"/>
              </w:rPr>
              <w:t>自治区住建</w:t>
            </w:r>
            <w:r>
              <w:rPr>
                <w:rFonts w:hint="default" w:ascii="Times New Roman" w:hAnsi="Times New Roman" w:eastAsia="宋体" w:cs="Times New Roman"/>
                <w:color w:val="auto"/>
                <w:sz w:val="22"/>
                <w:szCs w:val="22"/>
              </w:rPr>
              <w:t>部门或</w:t>
            </w:r>
            <w:r>
              <w:rPr>
                <w:rFonts w:hint="default" w:ascii="Times New Roman" w:hAnsi="Times New Roman" w:eastAsia="宋体" w:cs="Times New Roman"/>
                <w:color w:val="auto"/>
                <w:sz w:val="22"/>
                <w:szCs w:val="22"/>
                <w:lang w:eastAsia="zh-CN"/>
              </w:rPr>
              <w:t>自治区</w:t>
            </w:r>
            <w:r>
              <w:rPr>
                <w:rFonts w:hint="default" w:ascii="Times New Roman" w:hAnsi="Times New Roman" w:eastAsia="宋体" w:cs="Times New Roman"/>
                <w:color w:val="auto"/>
                <w:sz w:val="22"/>
                <w:szCs w:val="22"/>
              </w:rPr>
              <w:t>行业协会组织的授课评卷、论坛讲座、技术咨询、意见反馈等，</w:t>
            </w:r>
            <w:r>
              <w:rPr>
                <w:rFonts w:hint="default" w:ascii="Times New Roman" w:hAnsi="Times New Roman" w:eastAsia="宋体" w:cs="Times New Roman"/>
                <w:color w:val="auto"/>
                <w:sz w:val="22"/>
                <w:szCs w:val="22"/>
                <w:lang w:val="en-US" w:eastAsia="zh-CN"/>
              </w:rPr>
              <w:t>加</w:t>
            </w:r>
            <w:r>
              <w:rPr>
                <w:rFonts w:hint="default" w:ascii="Times New Roman" w:hAnsi="Times New Roman" w:eastAsia="宋体" w:cs="Times New Roman"/>
                <w:color w:val="auto"/>
                <w:sz w:val="22"/>
                <w:szCs w:val="22"/>
              </w:rPr>
              <w:t>1分/次</w:t>
            </w:r>
          </w:p>
        </w:tc>
        <w:tc>
          <w:tcPr>
            <w:tcW w:w="1645" w:type="dxa"/>
            <w:noWrap w:val="0"/>
            <w:vAlign w:val="center"/>
          </w:tcPr>
          <w:p w14:paraId="4D8E91F0">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最高3分</w:t>
            </w:r>
          </w:p>
        </w:tc>
      </w:tr>
      <w:tr w14:paraId="09D3D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042" w:type="dxa"/>
            <w:vMerge w:val="continue"/>
            <w:noWrap w:val="0"/>
            <w:vAlign w:val="center"/>
          </w:tcPr>
          <w:p w14:paraId="21F6E4FC">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continue"/>
            <w:noWrap w:val="0"/>
            <w:vAlign w:val="center"/>
          </w:tcPr>
          <w:p w14:paraId="5EEABCF2">
            <w:pPr>
              <w:keepNext w:val="0"/>
              <w:keepLines w:val="0"/>
              <w:pageBreakBefore w:val="0"/>
              <w:kinsoku/>
              <w:wordWrap/>
              <w:overflowPunct/>
              <w:topLinePunct w:val="0"/>
              <w:autoSpaceDE/>
              <w:autoSpaceDN/>
              <w:bidi w:val="0"/>
              <w:spacing w:line="300" w:lineRule="exact"/>
              <w:jc w:val="both"/>
              <w:textAlignment w:val="auto"/>
              <w:rPr>
                <w:rFonts w:hint="default" w:ascii="Times New Roman" w:hAnsi="Times New Roman" w:eastAsia="宋体" w:cs="Times New Roman"/>
                <w:color w:val="auto"/>
                <w:sz w:val="22"/>
                <w:szCs w:val="22"/>
              </w:rPr>
            </w:pPr>
          </w:p>
        </w:tc>
        <w:tc>
          <w:tcPr>
            <w:tcW w:w="4536" w:type="dxa"/>
            <w:noWrap w:val="0"/>
            <w:vAlign w:val="center"/>
          </w:tcPr>
          <w:p w14:paraId="4661278A">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highlight w:val="none"/>
                <w:lang w:val="en-US" w:eastAsia="zh-CN"/>
              </w:rPr>
              <w:t>推广房屋鉴定或加固改造领域的新技术、新工艺、新材料加</w:t>
            </w:r>
            <w:r>
              <w:rPr>
                <w:rFonts w:hint="default" w:ascii="Times New Roman" w:hAnsi="Times New Roman" w:eastAsia="宋体" w:cs="Times New Roman"/>
                <w:color w:val="auto"/>
                <w:sz w:val="22"/>
                <w:szCs w:val="22"/>
                <w:highlight w:val="none"/>
              </w:rPr>
              <w:t>1分/次</w:t>
            </w:r>
          </w:p>
        </w:tc>
        <w:tc>
          <w:tcPr>
            <w:tcW w:w="1645" w:type="dxa"/>
            <w:noWrap w:val="0"/>
            <w:vAlign w:val="center"/>
          </w:tcPr>
          <w:p w14:paraId="34E4DB89">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最高</w:t>
            </w:r>
            <w:r>
              <w:rPr>
                <w:rFonts w:hint="default" w:ascii="Times New Roman" w:hAnsi="Times New Roman" w:eastAsia="宋体" w:cs="Times New Roman"/>
                <w:color w:val="auto"/>
                <w:sz w:val="22"/>
                <w:szCs w:val="22"/>
                <w:lang w:val="en-US" w:eastAsia="zh-CN"/>
              </w:rPr>
              <w:t>2</w:t>
            </w:r>
            <w:r>
              <w:rPr>
                <w:rFonts w:hint="default" w:ascii="Times New Roman" w:hAnsi="Times New Roman" w:eastAsia="宋体" w:cs="Times New Roman"/>
                <w:color w:val="auto"/>
                <w:sz w:val="22"/>
                <w:szCs w:val="22"/>
              </w:rPr>
              <w:t>分</w:t>
            </w:r>
          </w:p>
        </w:tc>
      </w:tr>
      <w:tr w14:paraId="3B710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2" w:type="dxa"/>
            <w:vMerge w:val="continue"/>
            <w:noWrap w:val="0"/>
            <w:vAlign w:val="center"/>
          </w:tcPr>
          <w:p w14:paraId="46B605F5">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restart"/>
            <w:noWrap w:val="0"/>
            <w:vAlign w:val="center"/>
          </w:tcPr>
          <w:p w14:paraId="6D51A892">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lang w:val="en-US" w:eastAsia="zh-CN"/>
              </w:rPr>
              <w:t>房屋鉴定相关</w:t>
            </w:r>
            <w:r>
              <w:rPr>
                <w:rFonts w:hint="default" w:ascii="Times New Roman" w:hAnsi="Times New Roman" w:eastAsia="宋体" w:cs="Times New Roman"/>
                <w:color w:val="auto"/>
                <w:sz w:val="22"/>
                <w:szCs w:val="22"/>
              </w:rPr>
              <w:t>编制标准</w:t>
            </w:r>
          </w:p>
          <w:p w14:paraId="4C5BA42F">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（最高</w:t>
            </w:r>
            <w:r>
              <w:rPr>
                <w:rFonts w:hint="default" w:ascii="Times New Roman" w:hAnsi="Times New Roman" w:eastAsia="宋体" w:cs="Times New Roman"/>
                <w:color w:val="auto"/>
                <w:sz w:val="22"/>
                <w:szCs w:val="22"/>
                <w:lang w:val="en-US" w:eastAsia="zh-CN"/>
              </w:rPr>
              <w:t>10</w:t>
            </w:r>
            <w:r>
              <w:rPr>
                <w:rFonts w:hint="default" w:ascii="Times New Roman" w:hAnsi="Times New Roman" w:eastAsia="宋体" w:cs="Times New Roman"/>
                <w:color w:val="auto"/>
                <w:sz w:val="22"/>
                <w:szCs w:val="22"/>
              </w:rPr>
              <w:t>分）</w:t>
            </w:r>
          </w:p>
        </w:tc>
        <w:tc>
          <w:tcPr>
            <w:tcW w:w="4536" w:type="dxa"/>
            <w:noWrap w:val="0"/>
            <w:vAlign w:val="center"/>
          </w:tcPr>
          <w:p w14:paraId="25BFA4C3">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主编/参编已颁布的国家标准</w:t>
            </w:r>
          </w:p>
        </w:tc>
        <w:tc>
          <w:tcPr>
            <w:tcW w:w="1645" w:type="dxa"/>
            <w:noWrap w:val="0"/>
            <w:vAlign w:val="center"/>
          </w:tcPr>
          <w:p w14:paraId="4AB04DDE">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lang w:val="en-US" w:eastAsia="zh-CN"/>
              </w:rPr>
              <w:t>+5</w:t>
            </w:r>
            <w:r>
              <w:rPr>
                <w:rFonts w:hint="default" w:ascii="Times New Roman" w:hAnsi="Times New Roman" w:eastAsia="宋体" w:cs="Times New Roman"/>
                <w:color w:val="auto"/>
                <w:sz w:val="22"/>
                <w:szCs w:val="22"/>
              </w:rPr>
              <w:t>分/</w:t>
            </w:r>
            <w:r>
              <w:rPr>
                <w:rFonts w:hint="default" w:ascii="Times New Roman" w:hAnsi="Times New Roman" w:eastAsia="宋体" w:cs="Times New Roman"/>
                <w:color w:val="auto"/>
                <w:sz w:val="22"/>
                <w:szCs w:val="22"/>
                <w:lang w:val="en-US" w:eastAsia="zh-CN"/>
              </w:rPr>
              <w:t>3</w:t>
            </w:r>
            <w:r>
              <w:rPr>
                <w:rFonts w:hint="default" w:ascii="Times New Roman" w:hAnsi="Times New Roman" w:eastAsia="宋体" w:cs="Times New Roman"/>
                <w:color w:val="auto"/>
                <w:sz w:val="22"/>
                <w:szCs w:val="22"/>
              </w:rPr>
              <w:t>分/项</w:t>
            </w:r>
          </w:p>
        </w:tc>
      </w:tr>
      <w:tr w14:paraId="09240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2" w:type="dxa"/>
            <w:vMerge w:val="continue"/>
            <w:noWrap w:val="0"/>
            <w:vAlign w:val="center"/>
          </w:tcPr>
          <w:p w14:paraId="7D8C2FBB">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continue"/>
            <w:noWrap w:val="0"/>
            <w:vAlign w:val="top"/>
          </w:tcPr>
          <w:p w14:paraId="57C466DB">
            <w:pPr>
              <w:keepNext w:val="0"/>
              <w:keepLines w:val="0"/>
              <w:pageBreakBefore w:val="0"/>
              <w:kinsoku/>
              <w:wordWrap/>
              <w:overflowPunct/>
              <w:topLinePunct w:val="0"/>
              <w:autoSpaceDE/>
              <w:autoSpaceDN/>
              <w:bidi w:val="0"/>
              <w:spacing w:line="300" w:lineRule="exact"/>
              <w:jc w:val="both"/>
              <w:textAlignment w:val="auto"/>
              <w:rPr>
                <w:rFonts w:hint="default" w:ascii="Times New Roman" w:hAnsi="Times New Roman" w:eastAsia="宋体" w:cs="Times New Roman"/>
                <w:color w:val="auto"/>
                <w:sz w:val="22"/>
                <w:szCs w:val="22"/>
              </w:rPr>
            </w:pPr>
          </w:p>
        </w:tc>
        <w:tc>
          <w:tcPr>
            <w:tcW w:w="4536" w:type="dxa"/>
            <w:noWrap w:val="0"/>
            <w:vAlign w:val="center"/>
          </w:tcPr>
          <w:p w14:paraId="0755B6BB">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主编/参编已颁布的行业标准</w:t>
            </w:r>
          </w:p>
        </w:tc>
        <w:tc>
          <w:tcPr>
            <w:tcW w:w="1645" w:type="dxa"/>
            <w:noWrap w:val="0"/>
            <w:vAlign w:val="center"/>
          </w:tcPr>
          <w:p w14:paraId="1E97A955">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lang w:val="en-US" w:eastAsia="zh-CN"/>
              </w:rPr>
              <w:t>+4</w:t>
            </w:r>
            <w:r>
              <w:rPr>
                <w:rFonts w:hint="default" w:ascii="Times New Roman" w:hAnsi="Times New Roman" w:eastAsia="宋体" w:cs="Times New Roman"/>
                <w:color w:val="auto"/>
                <w:sz w:val="22"/>
                <w:szCs w:val="22"/>
              </w:rPr>
              <w:t>分/</w:t>
            </w:r>
            <w:r>
              <w:rPr>
                <w:rFonts w:hint="default" w:ascii="Times New Roman" w:hAnsi="Times New Roman" w:eastAsia="宋体" w:cs="Times New Roman"/>
                <w:color w:val="auto"/>
                <w:sz w:val="22"/>
                <w:szCs w:val="22"/>
                <w:lang w:val="en-US" w:eastAsia="zh-CN"/>
              </w:rPr>
              <w:t>2</w:t>
            </w:r>
            <w:r>
              <w:rPr>
                <w:rFonts w:hint="default" w:ascii="Times New Roman" w:hAnsi="Times New Roman" w:eastAsia="宋体" w:cs="Times New Roman"/>
                <w:color w:val="auto"/>
                <w:sz w:val="22"/>
                <w:szCs w:val="22"/>
              </w:rPr>
              <w:t>分/项</w:t>
            </w:r>
          </w:p>
        </w:tc>
      </w:tr>
      <w:tr w14:paraId="41098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1042" w:type="dxa"/>
            <w:vMerge w:val="continue"/>
            <w:noWrap w:val="0"/>
            <w:vAlign w:val="center"/>
          </w:tcPr>
          <w:p w14:paraId="4A466F33">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continue"/>
            <w:noWrap w:val="0"/>
            <w:vAlign w:val="top"/>
          </w:tcPr>
          <w:p w14:paraId="50E477BA">
            <w:pPr>
              <w:keepNext w:val="0"/>
              <w:keepLines w:val="0"/>
              <w:pageBreakBefore w:val="0"/>
              <w:kinsoku/>
              <w:wordWrap/>
              <w:overflowPunct/>
              <w:topLinePunct w:val="0"/>
              <w:autoSpaceDE/>
              <w:autoSpaceDN/>
              <w:bidi w:val="0"/>
              <w:spacing w:line="300" w:lineRule="exact"/>
              <w:jc w:val="both"/>
              <w:textAlignment w:val="auto"/>
              <w:rPr>
                <w:rFonts w:hint="default" w:ascii="Times New Roman" w:hAnsi="Times New Roman" w:eastAsia="宋体" w:cs="Times New Roman"/>
                <w:color w:val="auto"/>
                <w:sz w:val="22"/>
                <w:szCs w:val="22"/>
              </w:rPr>
            </w:pPr>
          </w:p>
        </w:tc>
        <w:tc>
          <w:tcPr>
            <w:tcW w:w="4536" w:type="dxa"/>
            <w:tcBorders>
              <w:bottom w:val="single" w:color="auto" w:sz="4" w:space="0"/>
            </w:tcBorders>
            <w:noWrap w:val="0"/>
            <w:vAlign w:val="center"/>
          </w:tcPr>
          <w:p w14:paraId="49FE04E9">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主编/参编已颁布的自治区地方标准</w:t>
            </w:r>
          </w:p>
        </w:tc>
        <w:tc>
          <w:tcPr>
            <w:tcW w:w="1645" w:type="dxa"/>
            <w:tcBorders>
              <w:bottom w:val="single" w:color="auto" w:sz="4" w:space="0"/>
            </w:tcBorders>
            <w:noWrap w:val="0"/>
            <w:vAlign w:val="center"/>
          </w:tcPr>
          <w:p w14:paraId="767E8F85">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lang w:val="en-US" w:eastAsia="zh-CN"/>
              </w:rPr>
              <w:t>+3</w:t>
            </w:r>
            <w:r>
              <w:rPr>
                <w:rFonts w:hint="default" w:ascii="Times New Roman" w:hAnsi="Times New Roman" w:eastAsia="宋体" w:cs="Times New Roman"/>
                <w:color w:val="auto"/>
                <w:sz w:val="22"/>
                <w:szCs w:val="22"/>
              </w:rPr>
              <w:t>分</w:t>
            </w:r>
            <w:r>
              <w:rPr>
                <w:rFonts w:hint="default" w:ascii="Times New Roman" w:hAnsi="Times New Roman" w:eastAsia="宋体" w:cs="Times New Roman"/>
                <w:color w:val="auto"/>
                <w:sz w:val="22"/>
                <w:szCs w:val="22"/>
                <w:lang w:val="en-US" w:eastAsia="zh-CN"/>
              </w:rPr>
              <w:t>/1</w:t>
            </w:r>
            <w:r>
              <w:rPr>
                <w:rFonts w:hint="default" w:ascii="Times New Roman" w:hAnsi="Times New Roman" w:eastAsia="宋体" w:cs="Times New Roman"/>
                <w:color w:val="auto"/>
                <w:sz w:val="22"/>
                <w:szCs w:val="22"/>
              </w:rPr>
              <w:t>分/项</w:t>
            </w:r>
          </w:p>
        </w:tc>
      </w:tr>
      <w:tr w14:paraId="659AB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1042" w:type="dxa"/>
            <w:vMerge w:val="continue"/>
            <w:noWrap w:val="0"/>
            <w:vAlign w:val="center"/>
          </w:tcPr>
          <w:p w14:paraId="4B4E1752">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continue"/>
            <w:noWrap w:val="0"/>
            <w:vAlign w:val="top"/>
          </w:tcPr>
          <w:p w14:paraId="1866BE4E">
            <w:pPr>
              <w:keepNext w:val="0"/>
              <w:keepLines w:val="0"/>
              <w:pageBreakBefore w:val="0"/>
              <w:kinsoku/>
              <w:wordWrap/>
              <w:overflowPunct/>
              <w:topLinePunct w:val="0"/>
              <w:autoSpaceDE/>
              <w:autoSpaceDN/>
              <w:bidi w:val="0"/>
              <w:spacing w:line="300" w:lineRule="exact"/>
              <w:jc w:val="both"/>
              <w:textAlignment w:val="auto"/>
              <w:rPr>
                <w:rFonts w:hint="default" w:ascii="Times New Roman" w:hAnsi="Times New Roman" w:eastAsia="宋体" w:cs="Times New Roman"/>
                <w:color w:val="auto"/>
                <w:sz w:val="22"/>
                <w:szCs w:val="22"/>
              </w:rPr>
            </w:pPr>
          </w:p>
        </w:tc>
        <w:tc>
          <w:tcPr>
            <w:tcW w:w="4536" w:type="dxa"/>
            <w:tcBorders>
              <w:top w:val="single" w:color="auto" w:sz="4" w:space="0"/>
            </w:tcBorders>
            <w:noWrap w:val="0"/>
            <w:vAlign w:val="center"/>
          </w:tcPr>
          <w:p w14:paraId="48539A5F">
            <w:pPr>
              <w:keepNext w:val="0"/>
              <w:keepLines w:val="0"/>
              <w:pageBreakBefore w:val="0"/>
              <w:tabs>
                <w:tab w:val="left" w:pos="1175"/>
              </w:tabs>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color w:val="auto"/>
                <w:sz w:val="22"/>
                <w:szCs w:val="22"/>
              </w:rPr>
              <w:t>主编/参编已颁布的</w:t>
            </w:r>
            <w:r>
              <w:rPr>
                <w:rFonts w:hint="default" w:ascii="Times New Roman" w:hAnsi="Times New Roman" w:eastAsia="宋体" w:cs="Times New Roman"/>
                <w:color w:val="auto"/>
                <w:sz w:val="22"/>
                <w:szCs w:val="22"/>
                <w:lang w:val="en-US" w:eastAsia="zh-CN"/>
              </w:rPr>
              <w:t>自治区级以上</w:t>
            </w:r>
            <w:r>
              <w:rPr>
                <w:rFonts w:hint="default" w:ascii="Times New Roman" w:hAnsi="Times New Roman" w:eastAsia="宋体" w:cs="Times New Roman"/>
                <w:color w:val="auto"/>
                <w:sz w:val="22"/>
                <w:szCs w:val="22"/>
              </w:rPr>
              <w:t>团体标准</w:t>
            </w:r>
          </w:p>
        </w:tc>
        <w:tc>
          <w:tcPr>
            <w:tcW w:w="1645" w:type="dxa"/>
            <w:tcBorders>
              <w:top w:val="single" w:color="auto" w:sz="4" w:space="0"/>
            </w:tcBorders>
            <w:noWrap w:val="0"/>
            <w:vAlign w:val="center"/>
          </w:tcPr>
          <w:p w14:paraId="5EBC9768">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+2</w:t>
            </w:r>
            <w:r>
              <w:rPr>
                <w:rFonts w:hint="default" w:ascii="Times New Roman" w:hAnsi="Times New Roman" w:eastAsia="宋体" w:cs="Times New Roman"/>
                <w:color w:val="auto"/>
                <w:sz w:val="22"/>
                <w:szCs w:val="22"/>
              </w:rPr>
              <w:t>分</w:t>
            </w:r>
            <w:r>
              <w:rPr>
                <w:rFonts w:hint="default" w:ascii="Times New Roman" w:hAnsi="Times New Roman" w:eastAsia="宋体" w:cs="Times New Roman"/>
                <w:color w:val="auto"/>
                <w:sz w:val="22"/>
                <w:szCs w:val="22"/>
                <w:lang w:val="en-US" w:eastAsia="zh-CN"/>
              </w:rPr>
              <w:t>/0.5</w:t>
            </w:r>
            <w:r>
              <w:rPr>
                <w:rFonts w:hint="default" w:ascii="Times New Roman" w:hAnsi="Times New Roman" w:eastAsia="宋体" w:cs="Times New Roman"/>
                <w:color w:val="auto"/>
                <w:sz w:val="22"/>
                <w:szCs w:val="22"/>
              </w:rPr>
              <w:t>分/项</w:t>
            </w:r>
          </w:p>
        </w:tc>
      </w:tr>
      <w:tr w14:paraId="48D62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2" w:type="dxa"/>
            <w:vMerge w:val="continue"/>
            <w:noWrap w:val="0"/>
            <w:vAlign w:val="center"/>
          </w:tcPr>
          <w:p w14:paraId="36027654">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restart"/>
            <w:noWrap w:val="0"/>
            <w:vAlign w:val="center"/>
          </w:tcPr>
          <w:p w14:paraId="047BA143">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社会公益信息</w:t>
            </w:r>
          </w:p>
          <w:p w14:paraId="48495D56">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（最高</w:t>
            </w:r>
            <w:r>
              <w:rPr>
                <w:rFonts w:hint="default" w:ascii="Times New Roman" w:hAnsi="Times New Roman" w:eastAsia="宋体" w:cs="Times New Roman"/>
                <w:color w:val="auto"/>
                <w:sz w:val="22"/>
                <w:szCs w:val="22"/>
                <w:lang w:val="en-US" w:eastAsia="zh-CN"/>
              </w:rPr>
              <w:t>5分</w:t>
            </w:r>
            <w:r>
              <w:rPr>
                <w:rFonts w:hint="default" w:ascii="Times New Roman" w:hAnsi="Times New Roman" w:eastAsia="宋体" w:cs="Times New Roman"/>
                <w:color w:val="auto"/>
                <w:sz w:val="22"/>
                <w:szCs w:val="22"/>
              </w:rPr>
              <w:t>）</w:t>
            </w:r>
          </w:p>
        </w:tc>
        <w:tc>
          <w:tcPr>
            <w:tcW w:w="4536" w:type="dxa"/>
            <w:tcBorders>
              <w:bottom w:val="single" w:color="auto" w:sz="4" w:space="0"/>
            </w:tcBorders>
            <w:noWrap w:val="0"/>
            <w:vAlign w:val="center"/>
          </w:tcPr>
          <w:p w14:paraId="235274B4">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参与</w:t>
            </w:r>
            <w:r>
              <w:rPr>
                <w:rFonts w:hint="default" w:ascii="Times New Roman" w:hAnsi="Times New Roman" w:eastAsia="宋体" w:cs="Times New Roman"/>
                <w:color w:val="auto"/>
                <w:sz w:val="22"/>
                <w:szCs w:val="22"/>
                <w:lang w:eastAsia="zh-CN"/>
              </w:rPr>
              <w:t>公益性房屋体检、鉴定</w:t>
            </w:r>
            <w:r>
              <w:rPr>
                <w:rFonts w:hint="default" w:ascii="Times New Roman" w:hAnsi="Times New Roman" w:eastAsia="宋体" w:cs="Times New Roman"/>
                <w:color w:val="auto"/>
                <w:sz w:val="22"/>
                <w:szCs w:val="22"/>
              </w:rPr>
              <w:t>等活动，</w:t>
            </w:r>
            <w:r>
              <w:rPr>
                <w:rFonts w:hint="default" w:ascii="Times New Roman" w:hAnsi="Times New Roman" w:eastAsia="宋体" w:cs="Times New Roman"/>
                <w:color w:val="auto"/>
                <w:sz w:val="22"/>
                <w:szCs w:val="22"/>
                <w:lang w:eastAsia="zh-CN"/>
              </w:rPr>
              <w:t>并</w:t>
            </w:r>
            <w:r>
              <w:rPr>
                <w:rFonts w:hint="default" w:ascii="Times New Roman" w:hAnsi="Times New Roman" w:eastAsia="宋体" w:cs="Times New Roman"/>
                <w:color w:val="auto"/>
                <w:sz w:val="22"/>
                <w:szCs w:val="22"/>
              </w:rPr>
              <w:t>受到有关部门表彰或官方主流媒体宣传报道</w:t>
            </w:r>
            <w:r>
              <w:rPr>
                <w:rFonts w:hint="default" w:ascii="Times New Roman" w:hAnsi="Times New Roman" w:eastAsia="宋体" w:cs="Times New Roman"/>
                <w:color w:val="auto"/>
                <w:sz w:val="22"/>
                <w:szCs w:val="22"/>
                <w:lang w:eastAsia="zh-CN"/>
              </w:rPr>
              <w:t>，</w:t>
            </w:r>
            <w:r>
              <w:rPr>
                <w:rFonts w:hint="default" w:ascii="Times New Roman" w:hAnsi="Times New Roman" w:eastAsia="宋体" w:cs="Times New Roman"/>
                <w:color w:val="auto"/>
                <w:sz w:val="22"/>
                <w:szCs w:val="22"/>
              </w:rPr>
              <w:t>1</w:t>
            </w:r>
            <w:r>
              <w:rPr>
                <w:rFonts w:hint="default" w:ascii="Times New Roman" w:hAnsi="Times New Roman" w:eastAsia="宋体" w:cs="Times New Roman"/>
                <w:color w:val="auto"/>
                <w:sz w:val="22"/>
                <w:szCs w:val="22"/>
                <w:lang w:val="en-US" w:eastAsia="zh-CN"/>
              </w:rPr>
              <w:t>分</w:t>
            </w:r>
            <w:r>
              <w:rPr>
                <w:rFonts w:hint="default" w:ascii="Times New Roman" w:hAnsi="Times New Roman" w:eastAsia="宋体" w:cs="Times New Roman"/>
                <w:color w:val="auto"/>
                <w:sz w:val="22"/>
                <w:szCs w:val="22"/>
              </w:rPr>
              <w:t>/次</w:t>
            </w:r>
            <w:r>
              <w:rPr>
                <w:rFonts w:hint="default" w:ascii="Times New Roman" w:hAnsi="Times New Roman" w:eastAsia="宋体" w:cs="Times New Roman"/>
                <w:color w:val="auto"/>
                <w:sz w:val="22"/>
                <w:szCs w:val="22"/>
                <w:lang w:eastAsia="zh-CN"/>
              </w:rPr>
              <w:t>。</w:t>
            </w:r>
          </w:p>
        </w:tc>
        <w:tc>
          <w:tcPr>
            <w:tcW w:w="1645" w:type="dxa"/>
            <w:noWrap w:val="0"/>
            <w:vAlign w:val="center"/>
          </w:tcPr>
          <w:p w14:paraId="200B86CE">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最高</w:t>
            </w:r>
            <w:r>
              <w:rPr>
                <w:rFonts w:hint="default" w:ascii="Times New Roman" w:hAnsi="Times New Roman" w:eastAsia="宋体" w:cs="Times New Roman"/>
                <w:color w:val="auto"/>
                <w:sz w:val="22"/>
                <w:szCs w:val="22"/>
                <w:lang w:val="en-US" w:eastAsia="zh-CN"/>
              </w:rPr>
              <w:t>2</w:t>
            </w:r>
            <w:r>
              <w:rPr>
                <w:rFonts w:hint="default" w:ascii="Times New Roman" w:hAnsi="Times New Roman" w:eastAsia="宋体" w:cs="Times New Roman"/>
                <w:color w:val="auto"/>
                <w:sz w:val="22"/>
                <w:szCs w:val="22"/>
              </w:rPr>
              <w:t>分</w:t>
            </w:r>
          </w:p>
        </w:tc>
      </w:tr>
      <w:tr w14:paraId="435E7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trPr>
        <w:tc>
          <w:tcPr>
            <w:tcW w:w="1042" w:type="dxa"/>
            <w:vMerge w:val="continue"/>
            <w:noWrap w:val="0"/>
            <w:vAlign w:val="center"/>
          </w:tcPr>
          <w:p w14:paraId="4F0FE126">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continue"/>
            <w:noWrap w:val="0"/>
            <w:vAlign w:val="center"/>
          </w:tcPr>
          <w:p w14:paraId="062ECDFE">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rPr>
            </w:pPr>
          </w:p>
        </w:tc>
        <w:tc>
          <w:tcPr>
            <w:tcW w:w="4536" w:type="dxa"/>
            <w:tcBorders>
              <w:bottom w:val="single" w:color="auto" w:sz="4" w:space="0"/>
            </w:tcBorders>
            <w:noWrap w:val="0"/>
            <w:vAlign w:val="center"/>
          </w:tcPr>
          <w:p w14:paraId="1450E5A5">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参与</w:t>
            </w:r>
            <w:r>
              <w:rPr>
                <w:rFonts w:hint="default" w:ascii="Times New Roman" w:hAnsi="Times New Roman" w:eastAsia="宋体" w:cs="Times New Roman"/>
                <w:color w:val="auto"/>
                <w:sz w:val="22"/>
                <w:szCs w:val="22"/>
                <w:lang w:val="en-US" w:eastAsia="zh-CN"/>
              </w:rPr>
              <w:t>抗震</w:t>
            </w:r>
            <w:r>
              <w:rPr>
                <w:rFonts w:hint="default" w:ascii="Times New Roman" w:hAnsi="Times New Roman" w:eastAsia="宋体" w:cs="Times New Roman"/>
                <w:color w:val="auto"/>
                <w:sz w:val="22"/>
                <w:szCs w:val="22"/>
              </w:rPr>
              <w:t>救灾</w:t>
            </w:r>
            <w:r>
              <w:rPr>
                <w:rFonts w:hint="default" w:ascii="Times New Roman" w:hAnsi="Times New Roman" w:eastAsia="宋体" w:cs="Times New Roman"/>
                <w:color w:val="auto"/>
                <w:sz w:val="22"/>
                <w:szCs w:val="22"/>
                <w:lang w:eastAsia="zh-CN"/>
              </w:rPr>
              <w:t>并</w:t>
            </w:r>
            <w:r>
              <w:rPr>
                <w:rFonts w:hint="default" w:ascii="Times New Roman" w:hAnsi="Times New Roman" w:eastAsia="宋体" w:cs="Times New Roman"/>
                <w:color w:val="auto"/>
                <w:sz w:val="22"/>
                <w:szCs w:val="22"/>
              </w:rPr>
              <w:t>受到有关部门表彰</w:t>
            </w:r>
            <w:r>
              <w:rPr>
                <w:rFonts w:hint="default" w:ascii="Times New Roman" w:hAnsi="Times New Roman" w:eastAsia="宋体" w:cs="Times New Roman"/>
                <w:color w:val="auto"/>
                <w:sz w:val="22"/>
                <w:szCs w:val="22"/>
                <w:lang w:eastAsia="zh-CN"/>
              </w:rPr>
              <w:t>。</w:t>
            </w:r>
          </w:p>
        </w:tc>
        <w:tc>
          <w:tcPr>
            <w:tcW w:w="1645" w:type="dxa"/>
            <w:noWrap w:val="0"/>
            <w:vAlign w:val="center"/>
          </w:tcPr>
          <w:p w14:paraId="438B73FB">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+3分</w:t>
            </w:r>
            <w:r>
              <w:rPr>
                <w:rFonts w:hint="default" w:ascii="Times New Roman" w:hAnsi="Times New Roman" w:eastAsia="宋体" w:cs="Times New Roman"/>
                <w:color w:val="auto"/>
                <w:sz w:val="22"/>
                <w:szCs w:val="22"/>
              </w:rPr>
              <w:t>/次</w:t>
            </w:r>
          </w:p>
        </w:tc>
      </w:tr>
      <w:tr w14:paraId="3AFCA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2" w:type="dxa"/>
            <w:vMerge w:val="restart"/>
            <w:noWrap w:val="0"/>
            <w:vAlign w:val="center"/>
          </w:tcPr>
          <w:p w14:paraId="63B7D816">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不良信用信息</w:t>
            </w:r>
          </w:p>
          <w:p w14:paraId="00EB9F66">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p w14:paraId="1CA9E446">
            <w:pPr>
              <w:rPr>
                <w:rFonts w:hint="default" w:ascii="Times New Roman" w:hAnsi="Times New Roman" w:eastAsia="宋体" w:cs="Times New Roman"/>
                <w:color w:val="auto"/>
                <w:sz w:val="22"/>
                <w:szCs w:val="22"/>
              </w:rPr>
            </w:pPr>
          </w:p>
        </w:tc>
        <w:tc>
          <w:tcPr>
            <w:tcW w:w="2075" w:type="dxa"/>
            <w:vMerge w:val="restart"/>
            <w:noWrap w:val="0"/>
            <w:vAlign w:val="center"/>
          </w:tcPr>
          <w:p w14:paraId="67E1F03D">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lang w:val="en-US" w:eastAsia="zh-CN"/>
              </w:rPr>
              <w:t>鉴定机构在</w:t>
            </w:r>
            <w:r>
              <w:rPr>
                <w:rFonts w:hint="default" w:ascii="Times New Roman" w:hAnsi="Times New Roman" w:eastAsia="宋体" w:cs="Times New Roman"/>
                <w:color w:val="auto"/>
                <w:sz w:val="22"/>
                <w:szCs w:val="22"/>
                <w:highlight w:val="none"/>
                <w:lang w:val="en-US" w:eastAsia="zh-CN"/>
              </w:rPr>
              <w:t>房屋鉴定</w:t>
            </w:r>
            <w:r>
              <w:rPr>
                <w:rFonts w:hint="default" w:ascii="Times New Roman" w:hAnsi="Times New Roman" w:eastAsia="宋体" w:cs="Times New Roman"/>
                <w:color w:val="auto"/>
                <w:sz w:val="22"/>
                <w:szCs w:val="22"/>
                <w:highlight w:val="none"/>
              </w:rPr>
              <w:t>活动中</w:t>
            </w:r>
            <w:r>
              <w:rPr>
                <w:rFonts w:hint="default" w:ascii="Times New Roman" w:hAnsi="Times New Roman" w:eastAsia="宋体" w:cs="Times New Roman"/>
                <w:color w:val="auto"/>
                <w:sz w:val="22"/>
                <w:szCs w:val="22"/>
              </w:rPr>
              <w:t>的市场行为</w:t>
            </w:r>
          </w:p>
          <w:p w14:paraId="1F2068FE">
            <w:pPr>
              <w:ind w:firstLine="440" w:firstLineChars="200"/>
              <w:jc w:val="both"/>
              <w:rPr>
                <w:rFonts w:hint="default" w:ascii="Times New Roman" w:hAnsi="Times New Roman" w:eastAsia="宋体" w:cs="Times New Roman"/>
                <w:color w:val="auto"/>
                <w:sz w:val="22"/>
                <w:szCs w:val="22"/>
              </w:rPr>
            </w:pPr>
          </w:p>
        </w:tc>
        <w:tc>
          <w:tcPr>
            <w:tcW w:w="4536" w:type="dxa"/>
            <w:noWrap w:val="0"/>
            <w:vAlign w:val="center"/>
          </w:tcPr>
          <w:p w14:paraId="0CA79E39">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利用虚假材料、以欺骗手段取得企业资质的</w:t>
            </w:r>
          </w:p>
        </w:tc>
        <w:tc>
          <w:tcPr>
            <w:tcW w:w="1645" w:type="dxa"/>
            <w:vMerge w:val="restart"/>
            <w:noWrap w:val="0"/>
            <w:vAlign w:val="center"/>
          </w:tcPr>
          <w:p w14:paraId="67B212EA">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lang w:eastAsia="zh-CN"/>
              </w:rPr>
              <w:t>直接</w:t>
            </w:r>
            <w:r>
              <w:rPr>
                <w:rFonts w:hint="default" w:ascii="Times New Roman" w:hAnsi="Times New Roman" w:eastAsia="宋体" w:cs="Times New Roman"/>
                <w:color w:val="auto"/>
                <w:sz w:val="22"/>
                <w:szCs w:val="22"/>
              </w:rPr>
              <w:t>评定为</w:t>
            </w:r>
            <w:r>
              <w:rPr>
                <w:rFonts w:hint="default" w:ascii="Times New Roman" w:hAnsi="Times New Roman" w:eastAsia="宋体" w:cs="Times New Roman"/>
                <w:color w:val="auto"/>
                <w:sz w:val="22"/>
                <w:szCs w:val="22"/>
                <w:lang w:eastAsia="zh-CN"/>
              </w:rPr>
              <w:t>D</w:t>
            </w:r>
            <w:r>
              <w:rPr>
                <w:rFonts w:hint="default" w:ascii="Times New Roman" w:hAnsi="Times New Roman" w:eastAsia="宋体" w:cs="Times New Roman"/>
                <w:color w:val="auto"/>
                <w:sz w:val="22"/>
                <w:szCs w:val="22"/>
              </w:rPr>
              <w:t>级</w:t>
            </w:r>
          </w:p>
        </w:tc>
      </w:tr>
      <w:tr w14:paraId="4E867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2" w:type="dxa"/>
            <w:vMerge w:val="continue"/>
            <w:noWrap w:val="0"/>
            <w:vAlign w:val="center"/>
          </w:tcPr>
          <w:p w14:paraId="1F5640A2">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continue"/>
            <w:noWrap w:val="0"/>
            <w:vAlign w:val="center"/>
          </w:tcPr>
          <w:p w14:paraId="3AE83C24">
            <w:pPr>
              <w:keepNext w:val="0"/>
              <w:keepLines w:val="0"/>
              <w:pageBreakBefore w:val="0"/>
              <w:kinsoku/>
              <w:wordWrap/>
              <w:overflowPunct/>
              <w:topLinePunct w:val="0"/>
              <w:autoSpaceDE/>
              <w:autoSpaceDN/>
              <w:bidi w:val="0"/>
              <w:spacing w:line="300" w:lineRule="exact"/>
              <w:jc w:val="left"/>
              <w:textAlignment w:val="auto"/>
              <w:rPr>
                <w:rFonts w:hint="default" w:ascii="Times New Roman" w:hAnsi="Times New Roman" w:eastAsia="宋体" w:cs="Times New Roman"/>
                <w:color w:val="auto"/>
                <w:sz w:val="22"/>
                <w:szCs w:val="22"/>
              </w:rPr>
            </w:pPr>
          </w:p>
        </w:tc>
        <w:tc>
          <w:tcPr>
            <w:tcW w:w="4536" w:type="dxa"/>
            <w:noWrap w:val="0"/>
            <w:vAlign w:val="center"/>
          </w:tcPr>
          <w:p w14:paraId="083B1F3B">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strike w:val="0"/>
                <w:dstrike w:val="0"/>
                <w:color w:val="auto"/>
                <w:sz w:val="22"/>
                <w:szCs w:val="22"/>
              </w:rPr>
              <w:t>申报信用信息时，故意隐瞒有关情况、提供虚假资料，或者以不正当手段影响评价结果客观真实的</w:t>
            </w:r>
            <w:r>
              <w:rPr>
                <w:rFonts w:hint="default" w:ascii="Times New Roman" w:hAnsi="Times New Roman" w:eastAsia="宋体" w:cs="Times New Roman"/>
                <w:strike w:val="0"/>
                <w:dstrike w:val="0"/>
                <w:color w:val="auto"/>
                <w:sz w:val="22"/>
                <w:szCs w:val="22"/>
                <w:lang w:eastAsia="zh-CN"/>
              </w:rPr>
              <w:t>。</w:t>
            </w:r>
          </w:p>
        </w:tc>
        <w:tc>
          <w:tcPr>
            <w:tcW w:w="1645" w:type="dxa"/>
            <w:vMerge w:val="continue"/>
            <w:noWrap w:val="0"/>
            <w:vAlign w:val="center"/>
          </w:tcPr>
          <w:p w14:paraId="46B4E223">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r>
      <w:tr w14:paraId="26929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2" w:type="dxa"/>
            <w:vMerge w:val="continue"/>
            <w:noWrap w:val="0"/>
            <w:vAlign w:val="center"/>
          </w:tcPr>
          <w:p w14:paraId="5FA545DB">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continue"/>
            <w:noWrap w:val="0"/>
            <w:vAlign w:val="center"/>
          </w:tcPr>
          <w:p w14:paraId="5CEC923E">
            <w:pPr>
              <w:keepNext w:val="0"/>
              <w:keepLines w:val="0"/>
              <w:pageBreakBefore w:val="0"/>
              <w:kinsoku/>
              <w:wordWrap/>
              <w:overflowPunct/>
              <w:topLinePunct w:val="0"/>
              <w:autoSpaceDE/>
              <w:autoSpaceDN/>
              <w:bidi w:val="0"/>
              <w:spacing w:line="300" w:lineRule="exact"/>
              <w:jc w:val="left"/>
              <w:textAlignment w:val="auto"/>
              <w:rPr>
                <w:rFonts w:hint="default" w:ascii="Times New Roman" w:hAnsi="Times New Roman" w:eastAsia="宋体" w:cs="Times New Roman"/>
                <w:color w:val="auto"/>
                <w:sz w:val="22"/>
                <w:szCs w:val="22"/>
              </w:rPr>
            </w:pPr>
          </w:p>
        </w:tc>
        <w:tc>
          <w:tcPr>
            <w:tcW w:w="4536" w:type="dxa"/>
            <w:noWrap w:val="0"/>
            <w:vAlign w:val="center"/>
          </w:tcPr>
          <w:p w14:paraId="64E36192">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color w:val="auto"/>
                <w:sz w:val="22"/>
                <w:szCs w:val="22"/>
              </w:rPr>
              <w:t>违法转包、转让出借资质证书、超资质承揽业务或者以其他方式允许他人以本单位的名义承揽</w:t>
            </w:r>
            <w:r>
              <w:rPr>
                <w:rFonts w:hint="default" w:ascii="Times New Roman" w:hAnsi="Times New Roman" w:eastAsia="宋体" w:cs="Times New Roman"/>
                <w:color w:val="auto"/>
                <w:sz w:val="22"/>
                <w:szCs w:val="22"/>
                <w:lang w:val="en-US" w:eastAsia="zh-CN"/>
              </w:rPr>
              <w:t>项目</w:t>
            </w:r>
            <w:r>
              <w:rPr>
                <w:rFonts w:hint="default" w:ascii="Times New Roman" w:hAnsi="Times New Roman" w:eastAsia="宋体" w:cs="Times New Roman"/>
                <w:color w:val="auto"/>
                <w:sz w:val="22"/>
                <w:szCs w:val="22"/>
              </w:rPr>
              <w:t>等，受到行政处罚的</w:t>
            </w:r>
            <w:r>
              <w:rPr>
                <w:rFonts w:hint="default" w:ascii="Times New Roman" w:hAnsi="Times New Roman" w:eastAsia="宋体" w:cs="Times New Roman"/>
                <w:color w:val="auto"/>
                <w:sz w:val="22"/>
                <w:szCs w:val="22"/>
                <w:lang w:eastAsia="zh-CN"/>
              </w:rPr>
              <w:t>。</w:t>
            </w:r>
          </w:p>
        </w:tc>
        <w:tc>
          <w:tcPr>
            <w:tcW w:w="1645" w:type="dxa"/>
            <w:vMerge w:val="continue"/>
            <w:noWrap w:val="0"/>
            <w:vAlign w:val="center"/>
          </w:tcPr>
          <w:p w14:paraId="15FD17CE">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r>
      <w:tr w14:paraId="3EF5C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trPr>
        <w:tc>
          <w:tcPr>
            <w:tcW w:w="1042" w:type="dxa"/>
            <w:vMerge w:val="continue"/>
            <w:noWrap w:val="0"/>
            <w:vAlign w:val="center"/>
          </w:tcPr>
          <w:p w14:paraId="2514F930">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continue"/>
            <w:noWrap w:val="0"/>
            <w:vAlign w:val="center"/>
          </w:tcPr>
          <w:p w14:paraId="01A85F0D">
            <w:pPr>
              <w:keepNext w:val="0"/>
              <w:keepLines w:val="0"/>
              <w:pageBreakBefore w:val="0"/>
              <w:kinsoku/>
              <w:wordWrap/>
              <w:overflowPunct/>
              <w:topLinePunct w:val="0"/>
              <w:autoSpaceDE/>
              <w:autoSpaceDN/>
              <w:bidi w:val="0"/>
              <w:spacing w:line="300" w:lineRule="exact"/>
              <w:jc w:val="left"/>
              <w:textAlignment w:val="auto"/>
              <w:rPr>
                <w:rFonts w:hint="default" w:ascii="Times New Roman" w:hAnsi="Times New Roman" w:eastAsia="宋体" w:cs="Times New Roman"/>
                <w:color w:val="auto"/>
                <w:sz w:val="22"/>
                <w:szCs w:val="22"/>
              </w:rPr>
            </w:pPr>
          </w:p>
        </w:tc>
        <w:tc>
          <w:tcPr>
            <w:tcW w:w="4536" w:type="dxa"/>
            <w:tcBorders>
              <w:bottom w:val="single" w:color="auto" w:sz="4" w:space="0"/>
            </w:tcBorders>
            <w:noWrap w:val="0"/>
            <w:vAlign w:val="center"/>
          </w:tcPr>
          <w:p w14:paraId="3F99326D">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sz w:val="22"/>
                <w:szCs w:val="22"/>
              </w:rPr>
              <w:t>在鉴定期间，发现房屋存在重大安全隐患，未及时告知委托方和报告房屋所在地县级市（区）住房城乡建设部门，导致发生事故的</w:t>
            </w:r>
          </w:p>
        </w:tc>
        <w:tc>
          <w:tcPr>
            <w:tcW w:w="1645" w:type="dxa"/>
            <w:vMerge w:val="continue"/>
            <w:noWrap w:val="0"/>
            <w:vAlign w:val="center"/>
          </w:tcPr>
          <w:p w14:paraId="443C91E5">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r>
      <w:tr w14:paraId="33CE8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1042" w:type="dxa"/>
            <w:vMerge w:val="continue"/>
            <w:noWrap w:val="0"/>
            <w:vAlign w:val="center"/>
          </w:tcPr>
          <w:p w14:paraId="5FAE805D">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continue"/>
            <w:noWrap w:val="0"/>
            <w:vAlign w:val="center"/>
          </w:tcPr>
          <w:p w14:paraId="2A2ADC84">
            <w:pPr>
              <w:keepNext w:val="0"/>
              <w:keepLines w:val="0"/>
              <w:pageBreakBefore w:val="0"/>
              <w:kinsoku/>
              <w:wordWrap/>
              <w:overflowPunct/>
              <w:topLinePunct w:val="0"/>
              <w:autoSpaceDE/>
              <w:autoSpaceDN/>
              <w:bidi w:val="0"/>
              <w:spacing w:line="300" w:lineRule="exact"/>
              <w:jc w:val="left"/>
              <w:textAlignment w:val="auto"/>
              <w:rPr>
                <w:rFonts w:hint="default" w:ascii="Times New Roman" w:hAnsi="Times New Roman" w:eastAsia="宋体" w:cs="Times New Roman"/>
                <w:color w:val="auto"/>
                <w:sz w:val="22"/>
                <w:szCs w:val="22"/>
              </w:rPr>
            </w:pPr>
          </w:p>
        </w:tc>
        <w:tc>
          <w:tcPr>
            <w:tcW w:w="4536" w:type="dxa"/>
            <w:tcBorders>
              <w:bottom w:val="single" w:color="auto" w:sz="4" w:space="0"/>
            </w:tcBorders>
            <w:noWrap w:val="0"/>
            <w:vAlign w:val="center"/>
          </w:tcPr>
          <w:p w14:paraId="0EDE6ADC">
            <w:pPr>
              <w:widowControl/>
              <w:spacing w:line="340" w:lineRule="exact"/>
              <w:rPr>
                <w:rFonts w:hint="default" w:ascii="Times New Roman" w:hAnsi="Times New Roman" w:eastAsia="宋体" w:cs="Times New Roman"/>
                <w:kern w:val="2"/>
                <w:sz w:val="22"/>
                <w:szCs w:val="22"/>
                <w:lang w:val="en-US" w:eastAsia="zh-CN" w:bidi="ar-SA"/>
              </w:rPr>
            </w:pPr>
            <w:r>
              <w:rPr>
                <w:rFonts w:hint="default" w:ascii="Times New Roman" w:hAnsi="Times New Roman" w:eastAsia="宋体" w:cs="Times New Roman"/>
                <w:sz w:val="22"/>
                <w:szCs w:val="22"/>
              </w:rPr>
              <w:t>鉴定结论存在严重错误，造成</w:t>
            </w:r>
            <w:r>
              <w:rPr>
                <w:rFonts w:hint="default" w:ascii="Times New Roman" w:hAnsi="Times New Roman" w:eastAsia="宋体" w:cs="Times New Roman"/>
                <w:sz w:val="22"/>
                <w:szCs w:val="22"/>
                <w:lang w:val="en-US" w:eastAsia="zh-CN"/>
              </w:rPr>
              <w:t>事故的</w:t>
            </w:r>
          </w:p>
        </w:tc>
        <w:tc>
          <w:tcPr>
            <w:tcW w:w="1645" w:type="dxa"/>
            <w:vMerge w:val="continue"/>
            <w:tcBorders>
              <w:bottom w:val="single" w:color="auto" w:sz="4" w:space="0"/>
            </w:tcBorders>
            <w:noWrap w:val="0"/>
            <w:vAlign w:val="center"/>
          </w:tcPr>
          <w:p w14:paraId="4ED3809D">
            <w:pPr>
              <w:widowControl/>
              <w:spacing w:line="340" w:lineRule="exact"/>
              <w:jc w:val="center"/>
              <w:rPr>
                <w:rFonts w:hint="default" w:ascii="Times New Roman" w:hAnsi="Times New Roman" w:eastAsia="宋体" w:cs="Times New Roman"/>
                <w:kern w:val="2"/>
                <w:sz w:val="22"/>
                <w:szCs w:val="22"/>
                <w:lang w:val="en-US" w:eastAsia="zh-CN" w:bidi="ar-SA"/>
              </w:rPr>
            </w:pPr>
          </w:p>
        </w:tc>
      </w:tr>
      <w:tr w14:paraId="27BB2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1042" w:type="dxa"/>
            <w:vMerge w:val="continue"/>
            <w:noWrap w:val="0"/>
            <w:vAlign w:val="center"/>
          </w:tcPr>
          <w:p w14:paraId="7247ED2F">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continue"/>
            <w:noWrap w:val="0"/>
            <w:vAlign w:val="center"/>
          </w:tcPr>
          <w:p w14:paraId="00F0ED00">
            <w:pPr>
              <w:keepNext w:val="0"/>
              <w:keepLines w:val="0"/>
              <w:pageBreakBefore w:val="0"/>
              <w:kinsoku/>
              <w:wordWrap/>
              <w:overflowPunct/>
              <w:topLinePunct w:val="0"/>
              <w:autoSpaceDE/>
              <w:autoSpaceDN/>
              <w:bidi w:val="0"/>
              <w:spacing w:line="300" w:lineRule="exact"/>
              <w:jc w:val="left"/>
              <w:textAlignment w:val="auto"/>
              <w:rPr>
                <w:rFonts w:hint="default" w:ascii="Times New Roman" w:hAnsi="Times New Roman" w:eastAsia="宋体" w:cs="Times New Roman"/>
                <w:color w:val="auto"/>
                <w:sz w:val="22"/>
                <w:szCs w:val="22"/>
              </w:rPr>
            </w:pPr>
          </w:p>
        </w:tc>
        <w:tc>
          <w:tcPr>
            <w:tcW w:w="4536" w:type="dxa"/>
            <w:tcBorders>
              <w:bottom w:val="single" w:color="auto" w:sz="4" w:space="0"/>
            </w:tcBorders>
            <w:noWrap w:val="0"/>
            <w:vAlign w:val="center"/>
          </w:tcPr>
          <w:p w14:paraId="1AE4F580">
            <w:pPr>
              <w:pStyle w:val="7"/>
              <w:widowControl w:val="0"/>
              <w:spacing w:line="240" w:lineRule="auto"/>
              <w:ind w:firstLine="0" w:firstLineChars="0"/>
              <w:rPr>
                <w:rFonts w:hint="default" w:ascii="Times New Roman" w:hAnsi="Times New Roman" w:eastAsia="宋体" w:cs="Times New Roman"/>
                <w:sz w:val="22"/>
                <w:szCs w:val="22"/>
              </w:rPr>
            </w:pPr>
            <w:r>
              <w:rPr>
                <w:rFonts w:hint="default" w:ascii="Times New Roman" w:hAnsi="Times New Roman" w:eastAsia="宋体" w:cs="Times New Roman"/>
                <w:color w:val="auto"/>
                <w:kern w:val="2"/>
                <w:sz w:val="22"/>
                <w:szCs w:val="22"/>
                <w:lang w:bidi="ar-SA"/>
              </w:rPr>
              <w:t>被行业主管（监管）部门依据法律、行政法规或党中央、国务院政策文件纳入严重失信行为的</w:t>
            </w:r>
          </w:p>
        </w:tc>
        <w:tc>
          <w:tcPr>
            <w:tcW w:w="1645" w:type="dxa"/>
            <w:vMerge w:val="continue"/>
            <w:tcBorders>
              <w:bottom w:val="single" w:color="auto" w:sz="4" w:space="0"/>
            </w:tcBorders>
            <w:noWrap w:val="0"/>
            <w:vAlign w:val="center"/>
          </w:tcPr>
          <w:p w14:paraId="368D98E0">
            <w:pPr>
              <w:widowControl/>
              <w:spacing w:line="340" w:lineRule="exact"/>
              <w:jc w:val="center"/>
              <w:rPr>
                <w:rFonts w:hint="default" w:ascii="Times New Roman" w:hAnsi="Times New Roman" w:eastAsia="宋体" w:cs="Times New Roman"/>
                <w:kern w:val="2"/>
                <w:sz w:val="22"/>
                <w:szCs w:val="22"/>
                <w:lang w:val="en-US" w:eastAsia="zh-CN" w:bidi="ar-SA"/>
              </w:rPr>
            </w:pPr>
          </w:p>
        </w:tc>
      </w:tr>
      <w:tr w14:paraId="2D84B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1042" w:type="dxa"/>
            <w:vMerge w:val="continue"/>
            <w:noWrap w:val="0"/>
            <w:vAlign w:val="center"/>
          </w:tcPr>
          <w:p w14:paraId="5B3DF04F">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continue"/>
            <w:noWrap w:val="0"/>
            <w:vAlign w:val="center"/>
          </w:tcPr>
          <w:p w14:paraId="4A175AC3">
            <w:pPr>
              <w:keepNext w:val="0"/>
              <w:keepLines w:val="0"/>
              <w:pageBreakBefore w:val="0"/>
              <w:kinsoku/>
              <w:wordWrap/>
              <w:overflowPunct/>
              <w:topLinePunct w:val="0"/>
              <w:autoSpaceDE/>
              <w:autoSpaceDN/>
              <w:bidi w:val="0"/>
              <w:spacing w:line="300" w:lineRule="exact"/>
              <w:jc w:val="left"/>
              <w:textAlignment w:val="auto"/>
              <w:rPr>
                <w:rFonts w:hint="default" w:ascii="Times New Roman" w:hAnsi="Times New Roman" w:eastAsia="宋体" w:cs="Times New Roman"/>
                <w:color w:val="auto"/>
                <w:sz w:val="22"/>
                <w:szCs w:val="22"/>
              </w:rPr>
            </w:pPr>
          </w:p>
        </w:tc>
        <w:tc>
          <w:tcPr>
            <w:tcW w:w="4536" w:type="dxa"/>
            <w:tcBorders>
              <w:bottom w:val="single" w:color="auto" w:sz="4" w:space="0"/>
            </w:tcBorders>
            <w:noWrap w:val="0"/>
            <w:vAlign w:val="center"/>
          </w:tcPr>
          <w:p w14:paraId="3FDA9FD1">
            <w:pPr>
              <w:widowControl/>
              <w:spacing w:line="340" w:lineRule="exact"/>
              <w:rPr>
                <w:rFonts w:hint="default" w:ascii="Times New Roman" w:hAnsi="Times New Roman" w:eastAsia="宋体" w:cs="Times New Roman"/>
                <w:sz w:val="22"/>
                <w:szCs w:val="22"/>
              </w:rPr>
            </w:pPr>
            <w:r>
              <w:rPr>
                <w:rFonts w:hint="default" w:ascii="Times New Roman" w:hAnsi="Times New Roman" w:eastAsia="宋体" w:cs="Times New Roman"/>
                <w:color w:val="auto"/>
                <w:kern w:val="2"/>
                <w:sz w:val="22"/>
                <w:szCs w:val="22"/>
                <w:lang w:bidi="ar-SA"/>
              </w:rPr>
              <w:t>符合申请信用评价</w:t>
            </w:r>
            <w:r>
              <w:rPr>
                <w:rFonts w:hint="default" w:ascii="Times New Roman" w:hAnsi="Times New Roman" w:eastAsia="宋体" w:cs="Times New Roman"/>
                <w:color w:val="auto"/>
                <w:kern w:val="2"/>
                <w:sz w:val="22"/>
                <w:szCs w:val="22"/>
                <w:lang w:eastAsia="zh-CN" w:bidi="ar-SA"/>
              </w:rPr>
              <w:t>条件而</w:t>
            </w:r>
            <w:r>
              <w:rPr>
                <w:rFonts w:hint="default" w:ascii="Times New Roman" w:hAnsi="Times New Roman" w:eastAsia="宋体" w:cs="Times New Roman"/>
                <w:color w:val="auto"/>
                <w:kern w:val="2"/>
                <w:sz w:val="22"/>
                <w:szCs w:val="22"/>
                <w:lang w:bidi="ar-SA"/>
              </w:rPr>
              <w:t>连续两年未参评的</w:t>
            </w:r>
          </w:p>
        </w:tc>
        <w:tc>
          <w:tcPr>
            <w:tcW w:w="1645" w:type="dxa"/>
            <w:tcBorders>
              <w:bottom w:val="single" w:color="auto" w:sz="4" w:space="0"/>
            </w:tcBorders>
            <w:noWrap w:val="0"/>
            <w:vAlign w:val="center"/>
          </w:tcPr>
          <w:p w14:paraId="4666BAA6">
            <w:pPr>
              <w:widowControl/>
              <w:spacing w:line="340" w:lineRule="exact"/>
              <w:jc w:val="center"/>
              <w:rPr>
                <w:rFonts w:hint="default" w:ascii="Times New Roman" w:hAnsi="Times New Roman" w:eastAsia="宋体" w:cs="Times New Roman"/>
                <w:kern w:val="2"/>
                <w:sz w:val="22"/>
                <w:szCs w:val="22"/>
                <w:lang w:val="en-US" w:eastAsia="zh-CN" w:bidi="ar-SA"/>
              </w:rPr>
            </w:pPr>
            <w:r>
              <w:rPr>
                <w:rFonts w:hint="default" w:ascii="Times New Roman" w:hAnsi="Times New Roman" w:eastAsia="宋体" w:cs="Times New Roman"/>
                <w:color w:val="auto"/>
                <w:kern w:val="2"/>
                <w:sz w:val="22"/>
                <w:szCs w:val="22"/>
                <w:lang w:eastAsia="zh-CN" w:bidi="ar-SA"/>
              </w:rPr>
              <w:t>按</w:t>
            </w:r>
            <w:r>
              <w:rPr>
                <w:rFonts w:hint="default" w:ascii="Times New Roman" w:hAnsi="Times New Roman" w:eastAsia="宋体" w:cs="Times New Roman"/>
                <w:color w:val="auto"/>
                <w:kern w:val="2"/>
                <w:sz w:val="22"/>
                <w:szCs w:val="22"/>
                <w:lang w:bidi="ar-SA"/>
              </w:rPr>
              <w:t>C级</w:t>
            </w:r>
            <w:r>
              <w:rPr>
                <w:rFonts w:hint="default" w:ascii="Times New Roman" w:hAnsi="Times New Roman" w:eastAsia="宋体" w:cs="Times New Roman"/>
                <w:color w:val="auto"/>
                <w:kern w:val="2"/>
                <w:sz w:val="22"/>
                <w:szCs w:val="22"/>
                <w:lang w:eastAsia="zh-CN" w:bidi="ar-SA"/>
              </w:rPr>
              <w:t>管理</w:t>
            </w:r>
          </w:p>
        </w:tc>
      </w:tr>
      <w:tr w14:paraId="6C638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2" w:type="dxa"/>
            <w:vMerge w:val="continue"/>
            <w:noWrap w:val="0"/>
            <w:vAlign w:val="center"/>
          </w:tcPr>
          <w:p w14:paraId="2AE974F7">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continue"/>
            <w:noWrap w:val="0"/>
            <w:vAlign w:val="center"/>
          </w:tcPr>
          <w:p w14:paraId="4692D40D">
            <w:pPr>
              <w:keepNext w:val="0"/>
              <w:keepLines w:val="0"/>
              <w:pageBreakBefore w:val="0"/>
              <w:kinsoku/>
              <w:wordWrap/>
              <w:overflowPunct/>
              <w:topLinePunct w:val="0"/>
              <w:autoSpaceDE/>
              <w:autoSpaceDN/>
              <w:bidi w:val="0"/>
              <w:spacing w:line="300" w:lineRule="exact"/>
              <w:jc w:val="left"/>
              <w:textAlignment w:val="auto"/>
              <w:rPr>
                <w:rFonts w:hint="default" w:ascii="Times New Roman" w:hAnsi="Times New Roman" w:eastAsia="宋体" w:cs="Times New Roman"/>
                <w:color w:val="auto"/>
                <w:sz w:val="22"/>
                <w:szCs w:val="22"/>
              </w:rPr>
            </w:pPr>
          </w:p>
        </w:tc>
        <w:tc>
          <w:tcPr>
            <w:tcW w:w="4536" w:type="dxa"/>
            <w:noWrap w:val="0"/>
            <w:vAlign w:val="center"/>
          </w:tcPr>
          <w:p w14:paraId="04B6C8A0">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基本信用信息与实际情况不一致</w:t>
            </w:r>
          </w:p>
        </w:tc>
        <w:tc>
          <w:tcPr>
            <w:tcW w:w="1645" w:type="dxa"/>
            <w:noWrap w:val="0"/>
            <w:vAlign w:val="center"/>
          </w:tcPr>
          <w:p w14:paraId="60220EFE">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-10分/项</w:t>
            </w:r>
          </w:p>
        </w:tc>
      </w:tr>
      <w:tr w14:paraId="14953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2" w:type="dxa"/>
            <w:vMerge w:val="continue"/>
            <w:noWrap w:val="0"/>
            <w:vAlign w:val="center"/>
          </w:tcPr>
          <w:p w14:paraId="3DEAB037">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continue"/>
            <w:noWrap w:val="0"/>
            <w:vAlign w:val="center"/>
          </w:tcPr>
          <w:p w14:paraId="62C06784">
            <w:pPr>
              <w:keepNext w:val="0"/>
              <w:keepLines w:val="0"/>
              <w:pageBreakBefore w:val="0"/>
              <w:kinsoku/>
              <w:wordWrap/>
              <w:overflowPunct/>
              <w:topLinePunct w:val="0"/>
              <w:autoSpaceDE/>
              <w:autoSpaceDN/>
              <w:bidi w:val="0"/>
              <w:spacing w:line="300" w:lineRule="exact"/>
              <w:jc w:val="left"/>
              <w:textAlignment w:val="auto"/>
              <w:rPr>
                <w:rFonts w:hint="default" w:ascii="Times New Roman" w:hAnsi="Times New Roman" w:eastAsia="宋体" w:cs="Times New Roman"/>
                <w:color w:val="auto"/>
                <w:sz w:val="22"/>
                <w:szCs w:val="22"/>
              </w:rPr>
            </w:pPr>
          </w:p>
        </w:tc>
        <w:tc>
          <w:tcPr>
            <w:tcW w:w="4536" w:type="dxa"/>
            <w:noWrap w:val="0"/>
            <w:vAlign w:val="center"/>
          </w:tcPr>
          <w:p w14:paraId="3F0894D8">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基本信息发生变更后，未在15个工作日内通过房屋安全系统变更信息的</w:t>
            </w:r>
          </w:p>
        </w:tc>
        <w:tc>
          <w:tcPr>
            <w:tcW w:w="1645" w:type="dxa"/>
            <w:noWrap w:val="0"/>
            <w:vAlign w:val="center"/>
          </w:tcPr>
          <w:p w14:paraId="11F8622C">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-5分/项</w:t>
            </w:r>
          </w:p>
        </w:tc>
      </w:tr>
      <w:tr w14:paraId="379B0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2" w:type="dxa"/>
            <w:vMerge w:val="continue"/>
            <w:noWrap w:val="0"/>
            <w:vAlign w:val="center"/>
          </w:tcPr>
          <w:p w14:paraId="619F5D16">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continue"/>
            <w:noWrap w:val="0"/>
            <w:vAlign w:val="center"/>
          </w:tcPr>
          <w:p w14:paraId="31208E04">
            <w:pPr>
              <w:keepNext w:val="0"/>
              <w:keepLines w:val="0"/>
              <w:pageBreakBefore w:val="0"/>
              <w:kinsoku/>
              <w:wordWrap/>
              <w:overflowPunct/>
              <w:topLinePunct w:val="0"/>
              <w:autoSpaceDE/>
              <w:autoSpaceDN/>
              <w:bidi w:val="0"/>
              <w:spacing w:line="300" w:lineRule="exact"/>
              <w:jc w:val="left"/>
              <w:textAlignment w:val="auto"/>
              <w:rPr>
                <w:rFonts w:hint="default" w:ascii="Times New Roman" w:hAnsi="Times New Roman" w:eastAsia="宋体" w:cs="Times New Roman"/>
                <w:color w:val="auto"/>
                <w:sz w:val="22"/>
                <w:szCs w:val="22"/>
              </w:rPr>
            </w:pPr>
          </w:p>
        </w:tc>
        <w:tc>
          <w:tcPr>
            <w:tcW w:w="4536" w:type="dxa"/>
            <w:noWrap w:val="0"/>
            <w:vAlign w:val="center"/>
          </w:tcPr>
          <w:p w14:paraId="2F5F42D2">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sz w:val="22"/>
                <w:szCs w:val="22"/>
              </w:rPr>
            </w:pPr>
            <w:r>
              <w:rPr>
                <w:rFonts w:hint="default" w:ascii="Times New Roman" w:hAnsi="Times New Roman" w:eastAsia="宋体" w:cs="Times New Roman"/>
                <w:color w:val="auto"/>
                <w:sz w:val="22"/>
                <w:szCs w:val="22"/>
                <w:lang w:val="en-US" w:eastAsia="zh-CN"/>
              </w:rPr>
              <w:t>伪造、篡改鉴定报告数据，出具虚假房屋鉴定报告。</w:t>
            </w:r>
          </w:p>
        </w:tc>
        <w:tc>
          <w:tcPr>
            <w:tcW w:w="1645" w:type="dxa"/>
            <w:noWrap w:val="0"/>
            <w:vAlign w:val="center"/>
          </w:tcPr>
          <w:p w14:paraId="7B17A21C">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r>
              <w:rPr>
                <w:rFonts w:hint="default" w:ascii="Times New Roman" w:hAnsi="Times New Roman" w:eastAsia="宋体" w:cs="Times New Roman"/>
                <w:color w:val="auto"/>
                <w:sz w:val="22"/>
                <w:szCs w:val="22"/>
                <w:lang w:val="en-US" w:eastAsia="zh-CN"/>
              </w:rPr>
              <w:t>10分</w:t>
            </w:r>
            <w:r>
              <w:rPr>
                <w:rFonts w:hint="default" w:ascii="Times New Roman" w:hAnsi="Times New Roman" w:eastAsia="宋体" w:cs="Times New Roman"/>
                <w:color w:val="auto"/>
                <w:sz w:val="22"/>
                <w:szCs w:val="22"/>
              </w:rPr>
              <w:t>/次</w:t>
            </w:r>
          </w:p>
        </w:tc>
      </w:tr>
      <w:tr w14:paraId="10EC4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2" w:type="dxa"/>
            <w:vMerge w:val="continue"/>
            <w:noWrap w:val="0"/>
            <w:vAlign w:val="center"/>
          </w:tcPr>
          <w:p w14:paraId="2C963648">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continue"/>
            <w:noWrap w:val="0"/>
            <w:vAlign w:val="center"/>
          </w:tcPr>
          <w:p w14:paraId="2DE2DC9E">
            <w:pPr>
              <w:keepNext w:val="0"/>
              <w:keepLines w:val="0"/>
              <w:pageBreakBefore w:val="0"/>
              <w:kinsoku/>
              <w:wordWrap/>
              <w:overflowPunct/>
              <w:topLinePunct w:val="0"/>
              <w:autoSpaceDE/>
              <w:autoSpaceDN/>
              <w:bidi w:val="0"/>
              <w:spacing w:line="300" w:lineRule="exact"/>
              <w:jc w:val="left"/>
              <w:textAlignment w:val="auto"/>
              <w:rPr>
                <w:rFonts w:hint="default" w:ascii="Times New Roman" w:hAnsi="Times New Roman" w:eastAsia="宋体" w:cs="Times New Roman"/>
                <w:color w:val="auto"/>
                <w:sz w:val="22"/>
                <w:szCs w:val="22"/>
              </w:rPr>
            </w:pPr>
          </w:p>
        </w:tc>
        <w:tc>
          <w:tcPr>
            <w:tcW w:w="4536" w:type="dxa"/>
            <w:noWrap w:val="0"/>
            <w:vAlign w:val="center"/>
          </w:tcPr>
          <w:p w14:paraId="371FF38C">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故意泄露委托方的商业秘密、保密信息</w:t>
            </w:r>
            <w:r>
              <w:rPr>
                <w:rFonts w:hint="default" w:ascii="Times New Roman" w:hAnsi="Times New Roman" w:eastAsia="宋体" w:cs="Times New Roman"/>
                <w:sz w:val="22"/>
                <w:szCs w:val="22"/>
                <w:lang w:eastAsia="zh-CN"/>
              </w:rPr>
              <w:t>的</w:t>
            </w:r>
          </w:p>
        </w:tc>
        <w:tc>
          <w:tcPr>
            <w:tcW w:w="1645" w:type="dxa"/>
            <w:noWrap w:val="0"/>
            <w:vAlign w:val="center"/>
          </w:tcPr>
          <w:p w14:paraId="6E9BA534">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r>
              <w:rPr>
                <w:rFonts w:hint="default" w:ascii="Times New Roman" w:hAnsi="Times New Roman" w:eastAsia="宋体" w:cs="Times New Roman"/>
                <w:color w:val="auto"/>
                <w:sz w:val="22"/>
                <w:szCs w:val="22"/>
                <w:lang w:val="en-US" w:eastAsia="zh-CN"/>
              </w:rPr>
              <w:t>5</w:t>
            </w:r>
            <w:r>
              <w:rPr>
                <w:rFonts w:hint="default" w:ascii="Times New Roman" w:hAnsi="Times New Roman" w:eastAsia="宋体" w:cs="Times New Roman"/>
                <w:color w:val="auto"/>
                <w:sz w:val="22"/>
                <w:szCs w:val="22"/>
              </w:rPr>
              <w:t>分/次</w:t>
            </w:r>
          </w:p>
        </w:tc>
      </w:tr>
      <w:tr w14:paraId="58FCF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2" w:type="dxa"/>
            <w:vMerge w:val="continue"/>
            <w:noWrap w:val="0"/>
            <w:vAlign w:val="center"/>
          </w:tcPr>
          <w:p w14:paraId="76BE7612">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continue"/>
            <w:noWrap w:val="0"/>
            <w:vAlign w:val="center"/>
          </w:tcPr>
          <w:p w14:paraId="0CC6D135">
            <w:pPr>
              <w:keepNext w:val="0"/>
              <w:keepLines w:val="0"/>
              <w:pageBreakBefore w:val="0"/>
              <w:kinsoku/>
              <w:wordWrap/>
              <w:overflowPunct/>
              <w:topLinePunct w:val="0"/>
              <w:autoSpaceDE/>
              <w:autoSpaceDN/>
              <w:bidi w:val="0"/>
              <w:spacing w:line="300" w:lineRule="exact"/>
              <w:jc w:val="left"/>
              <w:textAlignment w:val="auto"/>
              <w:rPr>
                <w:rFonts w:hint="default" w:ascii="Times New Roman" w:hAnsi="Times New Roman" w:eastAsia="宋体" w:cs="Times New Roman"/>
                <w:color w:val="auto"/>
                <w:sz w:val="22"/>
                <w:szCs w:val="22"/>
              </w:rPr>
            </w:pPr>
          </w:p>
        </w:tc>
        <w:tc>
          <w:tcPr>
            <w:tcW w:w="4536" w:type="dxa"/>
            <w:noWrap w:val="0"/>
            <w:vAlign w:val="center"/>
          </w:tcPr>
          <w:p w14:paraId="74EF1812">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sz w:val="22"/>
                <w:szCs w:val="22"/>
              </w:rPr>
              <w:t>未明确房屋鉴定收费标准</w:t>
            </w:r>
            <w:r>
              <w:rPr>
                <w:rFonts w:hint="default" w:ascii="Times New Roman" w:hAnsi="Times New Roman" w:eastAsia="宋体" w:cs="Times New Roman"/>
                <w:sz w:val="22"/>
                <w:szCs w:val="22"/>
                <w:lang w:eastAsia="zh-CN"/>
              </w:rPr>
              <w:t>的</w:t>
            </w:r>
          </w:p>
        </w:tc>
        <w:tc>
          <w:tcPr>
            <w:tcW w:w="1645" w:type="dxa"/>
            <w:noWrap w:val="0"/>
            <w:vAlign w:val="center"/>
          </w:tcPr>
          <w:p w14:paraId="49756CC9">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rPr>
              <w:t>-</w:t>
            </w:r>
            <w:r>
              <w:rPr>
                <w:rFonts w:hint="default" w:ascii="Times New Roman" w:hAnsi="Times New Roman" w:eastAsia="宋体" w:cs="Times New Roman"/>
                <w:color w:val="auto"/>
                <w:sz w:val="22"/>
                <w:szCs w:val="22"/>
                <w:lang w:val="en-US" w:eastAsia="zh-CN"/>
              </w:rPr>
              <w:t>5</w:t>
            </w:r>
            <w:r>
              <w:rPr>
                <w:rFonts w:hint="default" w:ascii="Times New Roman" w:hAnsi="Times New Roman" w:eastAsia="宋体" w:cs="Times New Roman"/>
                <w:color w:val="auto"/>
                <w:sz w:val="22"/>
                <w:szCs w:val="22"/>
              </w:rPr>
              <w:t>分/次</w:t>
            </w:r>
          </w:p>
        </w:tc>
      </w:tr>
      <w:tr w14:paraId="1A102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2" w:type="dxa"/>
            <w:vMerge w:val="continue"/>
            <w:noWrap w:val="0"/>
            <w:vAlign w:val="center"/>
          </w:tcPr>
          <w:p w14:paraId="5CCDCE35">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continue"/>
            <w:noWrap w:val="0"/>
            <w:vAlign w:val="center"/>
          </w:tcPr>
          <w:p w14:paraId="6E7B2164">
            <w:pPr>
              <w:keepNext w:val="0"/>
              <w:keepLines w:val="0"/>
              <w:pageBreakBefore w:val="0"/>
              <w:kinsoku/>
              <w:wordWrap/>
              <w:overflowPunct/>
              <w:topLinePunct w:val="0"/>
              <w:autoSpaceDE/>
              <w:autoSpaceDN/>
              <w:bidi w:val="0"/>
              <w:spacing w:line="300" w:lineRule="exact"/>
              <w:jc w:val="left"/>
              <w:textAlignment w:val="auto"/>
              <w:rPr>
                <w:rFonts w:hint="default" w:ascii="Times New Roman" w:hAnsi="Times New Roman" w:eastAsia="宋体" w:cs="Times New Roman"/>
                <w:color w:val="auto"/>
                <w:sz w:val="22"/>
                <w:szCs w:val="22"/>
              </w:rPr>
            </w:pPr>
          </w:p>
        </w:tc>
        <w:tc>
          <w:tcPr>
            <w:tcW w:w="4536" w:type="dxa"/>
            <w:noWrap w:val="0"/>
            <w:vAlign w:val="center"/>
          </w:tcPr>
          <w:p w14:paraId="61C04FEB">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highlight w:val="none"/>
                <w:lang w:val="en-US" w:eastAsia="zh-CN"/>
              </w:rPr>
              <w:t>鉴定费用已支付,鉴定机构未在合同约定的时限内及时出具鉴定报告，并被委托方投诉。</w:t>
            </w:r>
          </w:p>
        </w:tc>
        <w:tc>
          <w:tcPr>
            <w:tcW w:w="1645" w:type="dxa"/>
            <w:noWrap w:val="0"/>
            <w:vAlign w:val="center"/>
          </w:tcPr>
          <w:p w14:paraId="1A5954BA">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r>
              <w:rPr>
                <w:rFonts w:hint="default" w:ascii="Times New Roman" w:hAnsi="Times New Roman" w:eastAsia="宋体" w:cs="Times New Roman"/>
                <w:color w:val="auto"/>
                <w:sz w:val="22"/>
                <w:szCs w:val="22"/>
                <w:lang w:val="en-US" w:eastAsia="zh-CN"/>
              </w:rPr>
              <w:t>5</w:t>
            </w:r>
            <w:r>
              <w:rPr>
                <w:rFonts w:hint="default" w:ascii="Times New Roman" w:hAnsi="Times New Roman" w:eastAsia="宋体" w:cs="Times New Roman"/>
                <w:color w:val="auto"/>
                <w:sz w:val="22"/>
                <w:szCs w:val="22"/>
              </w:rPr>
              <w:t>分/次</w:t>
            </w:r>
          </w:p>
        </w:tc>
      </w:tr>
      <w:tr w14:paraId="2AE4D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2" w:type="dxa"/>
            <w:vMerge w:val="continue"/>
            <w:noWrap w:val="0"/>
            <w:vAlign w:val="center"/>
          </w:tcPr>
          <w:p w14:paraId="5E502AF3">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continue"/>
            <w:noWrap w:val="0"/>
            <w:vAlign w:val="top"/>
          </w:tcPr>
          <w:p w14:paraId="5961B710">
            <w:pPr>
              <w:keepNext w:val="0"/>
              <w:keepLines w:val="0"/>
              <w:pageBreakBefore w:val="0"/>
              <w:kinsoku/>
              <w:wordWrap/>
              <w:overflowPunct/>
              <w:topLinePunct w:val="0"/>
              <w:autoSpaceDE/>
              <w:autoSpaceDN/>
              <w:bidi w:val="0"/>
              <w:spacing w:line="300" w:lineRule="exact"/>
              <w:jc w:val="left"/>
              <w:textAlignment w:val="auto"/>
              <w:rPr>
                <w:rFonts w:hint="default" w:ascii="Times New Roman" w:hAnsi="Times New Roman" w:eastAsia="宋体" w:cs="Times New Roman"/>
                <w:color w:val="auto"/>
                <w:sz w:val="22"/>
                <w:szCs w:val="22"/>
              </w:rPr>
            </w:pPr>
          </w:p>
        </w:tc>
        <w:tc>
          <w:tcPr>
            <w:tcW w:w="4536" w:type="dxa"/>
            <w:vMerge w:val="restart"/>
            <w:noWrap w:val="0"/>
            <w:vAlign w:val="center"/>
          </w:tcPr>
          <w:p w14:paraId="4CBA5281">
            <w:pPr>
              <w:spacing w:line="260" w:lineRule="exact"/>
              <w:ind w:left="0" w:leftChars="0" w:firstLine="0" w:firstLineChars="0"/>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lang w:val="en-US" w:eastAsia="zh-CN"/>
              </w:rPr>
              <w:t>鉴定结论存在明显错误，造成不良影响的。</w:t>
            </w:r>
          </w:p>
        </w:tc>
        <w:tc>
          <w:tcPr>
            <w:tcW w:w="1645" w:type="dxa"/>
            <w:noWrap w:val="0"/>
            <w:vAlign w:val="center"/>
          </w:tcPr>
          <w:p w14:paraId="23E42003">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lang w:val="en-US" w:eastAsia="zh-CN"/>
              </w:rPr>
              <w:t>1.造成轻微不良影响的，扣5分/次。</w:t>
            </w:r>
          </w:p>
        </w:tc>
      </w:tr>
      <w:tr w14:paraId="2B08B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2" w:type="dxa"/>
            <w:vMerge w:val="continue"/>
            <w:noWrap w:val="0"/>
            <w:vAlign w:val="center"/>
          </w:tcPr>
          <w:p w14:paraId="3DDA7B68">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continue"/>
            <w:noWrap w:val="0"/>
            <w:vAlign w:val="top"/>
          </w:tcPr>
          <w:p w14:paraId="26F16B0C">
            <w:pPr>
              <w:keepNext w:val="0"/>
              <w:keepLines w:val="0"/>
              <w:pageBreakBefore w:val="0"/>
              <w:kinsoku/>
              <w:wordWrap/>
              <w:overflowPunct/>
              <w:topLinePunct w:val="0"/>
              <w:autoSpaceDE/>
              <w:autoSpaceDN/>
              <w:bidi w:val="0"/>
              <w:spacing w:line="300" w:lineRule="exact"/>
              <w:jc w:val="left"/>
              <w:textAlignment w:val="auto"/>
              <w:rPr>
                <w:rFonts w:hint="default" w:ascii="Times New Roman" w:hAnsi="Times New Roman" w:eastAsia="宋体" w:cs="Times New Roman"/>
                <w:color w:val="auto"/>
                <w:sz w:val="22"/>
                <w:szCs w:val="22"/>
              </w:rPr>
            </w:pPr>
          </w:p>
        </w:tc>
        <w:tc>
          <w:tcPr>
            <w:tcW w:w="4536" w:type="dxa"/>
            <w:vMerge w:val="continue"/>
            <w:noWrap w:val="0"/>
            <w:vAlign w:val="center"/>
          </w:tcPr>
          <w:p w14:paraId="05367E1E">
            <w:pPr>
              <w:spacing w:line="260" w:lineRule="exact"/>
              <w:ind w:left="0" w:leftChars="0" w:firstLine="0" w:firstLineChars="0"/>
              <w:jc w:val="both"/>
              <w:rPr>
                <w:rFonts w:hint="default" w:ascii="Times New Roman" w:hAnsi="Times New Roman" w:eastAsia="宋体" w:cs="Times New Roman"/>
                <w:color w:val="auto"/>
                <w:sz w:val="22"/>
                <w:szCs w:val="22"/>
                <w:lang w:val="en-US" w:eastAsia="zh-CN"/>
              </w:rPr>
            </w:pPr>
          </w:p>
        </w:tc>
        <w:tc>
          <w:tcPr>
            <w:tcW w:w="1645" w:type="dxa"/>
            <w:noWrap w:val="0"/>
            <w:vAlign w:val="center"/>
          </w:tcPr>
          <w:p w14:paraId="62ABB891">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lang w:val="en-US" w:eastAsia="zh-CN"/>
              </w:rPr>
              <w:t>2.造成较大不良影响的，扣10分/次。</w:t>
            </w:r>
          </w:p>
        </w:tc>
      </w:tr>
      <w:tr w14:paraId="2EBD3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2" w:type="dxa"/>
            <w:vMerge w:val="continue"/>
            <w:noWrap w:val="0"/>
            <w:vAlign w:val="center"/>
          </w:tcPr>
          <w:p w14:paraId="71C38710">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continue"/>
            <w:noWrap w:val="0"/>
            <w:vAlign w:val="top"/>
          </w:tcPr>
          <w:p w14:paraId="05D55A4B">
            <w:pPr>
              <w:keepNext w:val="0"/>
              <w:keepLines w:val="0"/>
              <w:pageBreakBefore w:val="0"/>
              <w:kinsoku/>
              <w:wordWrap/>
              <w:overflowPunct/>
              <w:topLinePunct w:val="0"/>
              <w:autoSpaceDE/>
              <w:autoSpaceDN/>
              <w:bidi w:val="0"/>
              <w:spacing w:line="300" w:lineRule="exact"/>
              <w:jc w:val="left"/>
              <w:textAlignment w:val="auto"/>
              <w:rPr>
                <w:rFonts w:hint="default" w:ascii="Times New Roman" w:hAnsi="Times New Roman" w:eastAsia="宋体" w:cs="Times New Roman"/>
                <w:color w:val="auto"/>
                <w:sz w:val="22"/>
                <w:szCs w:val="22"/>
              </w:rPr>
            </w:pPr>
          </w:p>
        </w:tc>
        <w:tc>
          <w:tcPr>
            <w:tcW w:w="4536" w:type="dxa"/>
            <w:vMerge w:val="continue"/>
            <w:noWrap w:val="0"/>
            <w:vAlign w:val="center"/>
          </w:tcPr>
          <w:p w14:paraId="39262955">
            <w:pPr>
              <w:spacing w:line="260" w:lineRule="exact"/>
              <w:ind w:left="0" w:leftChars="0" w:firstLine="0" w:firstLineChars="0"/>
              <w:jc w:val="both"/>
              <w:rPr>
                <w:rFonts w:hint="default" w:ascii="Times New Roman" w:hAnsi="Times New Roman" w:eastAsia="宋体" w:cs="Times New Roman"/>
                <w:color w:val="auto"/>
                <w:sz w:val="22"/>
                <w:szCs w:val="22"/>
                <w:lang w:val="en-US" w:eastAsia="zh-CN"/>
              </w:rPr>
            </w:pPr>
          </w:p>
        </w:tc>
        <w:tc>
          <w:tcPr>
            <w:tcW w:w="1645" w:type="dxa"/>
            <w:noWrap w:val="0"/>
            <w:vAlign w:val="center"/>
          </w:tcPr>
          <w:p w14:paraId="4BD60B83">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lang w:val="en-US" w:eastAsia="zh-CN"/>
              </w:rPr>
              <w:t>3.造成重大不良影响的，信用等级降为D级。</w:t>
            </w:r>
          </w:p>
        </w:tc>
      </w:tr>
      <w:tr w14:paraId="3D691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trPr>
        <w:tc>
          <w:tcPr>
            <w:tcW w:w="1042" w:type="dxa"/>
            <w:vMerge w:val="continue"/>
            <w:noWrap w:val="0"/>
            <w:vAlign w:val="center"/>
          </w:tcPr>
          <w:p w14:paraId="53C6294B">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continue"/>
            <w:noWrap w:val="0"/>
            <w:vAlign w:val="top"/>
          </w:tcPr>
          <w:p w14:paraId="58C66DC1">
            <w:pPr>
              <w:keepNext w:val="0"/>
              <w:keepLines w:val="0"/>
              <w:pageBreakBefore w:val="0"/>
              <w:kinsoku/>
              <w:wordWrap/>
              <w:overflowPunct/>
              <w:topLinePunct w:val="0"/>
              <w:autoSpaceDE/>
              <w:autoSpaceDN/>
              <w:bidi w:val="0"/>
              <w:spacing w:line="300" w:lineRule="exact"/>
              <w:jc w:val="left"/>
              <w:textAlignment w:val="auto"/>
              <w:rPr>
                <w:rFonts w:hint="default" w:ascii="Times New Roman" w:hAnsi="Times New Roman" w:eastAsia="宋体" w:cs="Times New Roman"/>
                <w:color w:val="auto"/>
                <w:sz w:val="22"/>
                <w:szCs w:val="22"/>
              </w:rPr>
            </w:pPr>
          </w:p>
        </w:tc>
        <w:tc>
          <w:tcPr>
            <w:tcW w:w="4536" w:type="dxa"/>
            <w:vMerge w:val="restart"/>
            <w:noWrap w:val="0"/>
            <w:vAlign w:val="center"/>
          </w:tcPr>
          <w:p w14:paraId="2FB451E0">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lang w:val="en-US"/>
              </w:rPr>
            </w:pPr>
            <w:r>
              <w:rPr>
                <w:rFonts w:hint="default" w:ascii="Times New Roman" w:hAnsi="Times New Roman" w:eastAsia="宋体" w:cs="Times New Roman"/>
                <w:color w:val="auto"/>
                <w:sz w:val="22"/>
                <w:szCs w:val="22"/>
                <w:lang w:val="en-US" w:eastAsia="zh-CN"/>
              </w:rPr>
              <w:t>经县级以上住房城乡建设主管部门认定，房屋鉴定未按照现行的强制性国家标准和自治区、市有关规定进行。</w:t>
            </w:r>
          </w:p>
        </w:tc>
        <w:tc>
          <w:tcPr>
            <w:tcW w:w="1645" w:type="dxa"/>
            <w:tcBorders>
              <w:bottom w:val="single" w:color="auto" w:sz="4" w:space="0"/>
            </w:tcBorders>
            <w:noWrap w:val="0"/>
            <w:vAlign w:val="center"/>
          </w:tcPr>
          <w:p w14:paraId="358D9EFB">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color w:val="auto"/>
                <w:sz w:val="22"/>
                <w:szCs w:val="22"/>
              </w:rPr>
              <w:t>鉴定结论模糊或表述不清的，扣1分/份</w:t>
            </w:r>
            <w:r>
              <w:rPr>
                <w:rFonts w:hint="default" w:ascii="Times New Roman" w:hAnsi="Times New Roman" w:eastAsia="宋体" w:cs="Times New Roman"/>
                <w:color w:val="auto"/>
                <w:sz w:val="22"/>
                <w:szCs w:val="22"/>
                <w:lang w:eastAsia="zh-CN"/>
              </w:rPr>
              <w:t>。</w:t>
            </w:r>
          </w:p>
        </w:tc>
      </w:tr>
      <w:tr w14:paraId="75F5D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1042" w:type="dxa"/>
            <w:vMerge w:val="continue"/>
            <w:noWrap w:val="0"/>
            <w:vAlign w:val="center"/>
          </w:tcPr>
          <w:p w14:paraId="7A8BB439">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continue"/>
            <w:noWrap w:val="0"/>
            <w:vAlign w:val="top"/>
          </w:tcPr>
          <w:p w14:paraId="10D2E65B">
            <w:pPr>
              <w:keepNext w:val="0"/>
              <w:keepLines w:val="0"/>
              <w:pageBreakBefore w:val="0"/>
              <w:kinsoku/>
              <w:wordWrap/>
              <w:overflowPunct/>
              <w:topLinePunct w:val="0"/>
              <w:autoSpaceDE/>
              <w:autoSpaceDN/>
              <w:bidi w:val="0"/>
              <w:spacing w:line="300" w:lineRule="exact"/>
              <w:jc w:val="left"/>
              <w:textAlignment w:val="auto"/>
              <w:rPr>
                <w:rFonts w:hint="default" w:ascii="Times New Roman" w:hAnsi="Times New Roman" w:eastAsia="宋体" w:cs="Times New Roman"/>
                <w:color w:val="auto"/>
                <w:sz w:val="22"/>
                <w:szCs w:val="22"/>
              </w:rPr>
            </w:pPr>
          </w:p>
        </w:tc>
        <w:tc>
          <w:tcPr>
            <w:tcW w:w="4536" w:type="dxa"/>
            <w:vMerge w:val="continue"/>
            <w:noWrap w:val="0"/>
            <w:vAlign w:val="center"/>
          </w:tcPr>
          <w:p w14:paraId="53526A1A">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lang w:val="en-US" w:eastAsia="zh-CN"/>
              </w:rPr>
            </w:pPr>
          </w:p>
        </w:tc>
        <w:tc>
          <w:tcPr>
            <w:tcW w:w="1645" w:type="dxa"/>
            <w:tcBorders>
              <w:top w:val="single" w:color="auto" w:sz="4" w:space="0"/>
              <w:bottom w:val="single" w:color="auto" w:sz="4" w:space="0"/>
            </w:tcBorders>
            <w:noWrap w:val="0"/>
            <w:vAlign w:val="center"/>
          </w:tcPr>
          <w:p w14:paraId="1DE1BEE5">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color w:val="auto"/>
                <w:sz w:val="22"/>
                <w:szCs w:val="22"/>
              </w:rPr>
              <w:t>无原始记录或缺少验算分析的，扣1分/份</w:t>
            </w:r>
            <w:r>
              <w:rPr>
                <w:rFonts w:hint="default" w:ascii="Times New Roman" w:hAnsi="Times New Roman" w:eastAsia="宋体" w:cs="Times New Roman"/>
                <w:color w:val="auto"/>
                <w:sz w:val="22"/>
                <w:szCs w:val="22"/>
                <w:lang w:eastAsia="zh-CN"/>
              </w:rPr>
              <w:t>。</w:t>
            </w:r>
          </w:p>
        </w:tc>
      </w:tr>
      <w:tr w14:paraId="7EC45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trPr>
        <w:tc>
          <w:tcPr>
            <w:tcW w:w="1042" w:type="dxa"/>
            <w:vMerge w:val="continue"/>
            <w:noWrap w:val="0"/>
            <w:vAlign w:val="center"/>
          </w:tcPr>
          <w:p w14:paraId="4480EBB2">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continue"/>
            <w:noWrap w:val="0"/>
            <w:vAlign w:val="top"/>
          </w:tcPr>
          <w:p w14:paraId="2381B404">
            <w:pPr>
              <w:keepNext w:val="0"/>
              <w:keepLines w:val="0"/>
              <w:pageBreakBefore w:val="0"/>
              <w:kinsoku/>
              <w:wordWrap/>
              <w:overflowPunct/>
              <w:topLinePunct w:val="0"/>
              <w:autoSpaceDE/>
              <w:autoSpaceDN/>
              <w:bidi w:val="0"/>
              <w:spacing w:line="300" w:lineRule="exact"/>
              <w:jc w:val="left"/>
              <w:textAlignment w:val="auto"/>
              <w:rPr>
                <w:rFonts w:hint="default" w:ascii="Times New Roman" w:hAnsi="Times New Roman" w:eastAsia="宋体" w:cs="Times New Roman"/>
                <w:color w:val="auto"/>
                <w:sz w:val="22"/>
                <w:szCs w:val="22"/>
              </w:rPr>
            </w:pPr>
          </w:p>
        </w:tc>
        <w:tc>
          <w:tcPr>
            <w:tcW w:w="4536" w:type="dxa"/>
            <w:vMerge w:val="continue"/>
            <w:noWrap w:val="0"/>
            <w:vAlign w:val="center"/>
          </w:tcPr>
          <w:p w14:paraId="5AC5D77A">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lang w:val="en-US" w:eastAsia="zh-CN"/>
              </w:rPr>
            </w:pPr>
          </w:p>
        </w:tc>
        <w:tc>
          <w:tcPr>
            <w:tcW w:w="1645" w:type="dxa"/>
            <w:tcBorders>
              <w:top w:val="single" w:color="auto" w:sz="4" w:space="0"/>
              <w:bottom w:val="single" w:color="auto" w:sz="4" w:space="0"/>
            </w:tcBorders>
            <w:noWrap w:val="0"/>
            <w:vAlign w:val="center"/>
          </w:tcPr>
          <w:p w14:paraId="48698A39">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color w:val="auto"/>
                <w:sz w:val="22"/>
                <w:szCs w:val="22"/>
              </w:rPr>
              <w:t>随意涂改原始记录的，扣1分/份</w:t>
            </w:r>
            <w:r>
              <w:rPr>
                <w:rFonts w:hint="default" w:ascii="Times New Roman" w:hAnsi="Times New Roman" w:eastAsia="宋体" w:cs="Times New Roman"/>
                <w:color w:val="auto"/>
                <w:sz w:val="22"/>
                <w:szCs w:val="22"/>
                <w:lang w:eastAsia="zh-CN"/>
              </w:rPr>
              <w:t>。</w:t>
            </w:r>
          </w:p>
        </w:tc>
      </w:tr>
      <w:tr w14:paraId="30FB1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atLeast"/>
        </w:trPr>
        <w:tc>
          <w:tcPr>
            <w:tcW w:w="1042" w:type="dxa"/>
            <w:vMerge w:val="continue"/>
            <w:noWrap w:val="0"/>
            <w:vAlign w:val="center"/>
          </w:tcPr>
          <w:p w14:paraId="01773CF8">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continue"/>
            <w:noWrap w:val="0"/>
            <w:vAlign w:val="top"/>
          </w:tcPr>
          <w:p w14:paraId="6E46D7ED">
            <w:pPr>
              <w:keepNext w:val="0"/>
              <w:keepLines w:val="0"/>
              <w:pageBreakBefore w:val="0"/>
              <w:kinsoku/>
              <w:wordWrap/>
              <w:overflowPunct/>
              <w:topLinePunct w:val="0"/>
              <w:autoSpaceDE/>
              <w:autoSpaceDN/>
              <w:bidi w:val="0"/>
              <w:spacing w:line="300" w:lineRule="exact"/>
              <w:jc w:val="left"/>
              <w:textAlignment w:val="auto"/>
              <w:rPr>
                <w:rFonts w:hint="default" w:ascii="Times New Roman" w:hAnsi="Times New Roman" w:eastAsia="宋体" w:cs="Times New Roman"/>
                <w:color w:val="auto"/>
                <w:sz w:val="22"/>
                <w:szCs w:val="22"/>
              </w:rPr>
            </w:pPr>
          </w:p>
        </w:tc>
        <w:tc>
          <w:tcPr>
            <w:tcW w:w="4536" w:type="dxa"/>
            <w:vMerge w:val="continue"/>
            <w:noWrap w:val="0"/>
            <w:vAlign w:val="center"/>
          </w:tcPr>
          <w:p w14:paraId="107DDD39">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lang w:val="en-US" w:eastAsia="zh-CN"/>
              </w:rPr>
            </w:pPr>
          </w:p>
        </w:tc>
        <w:tc>
          <w:tcPr>
            <w:tcW w:w="1645" w:type="dxa"/>
            <w:tcBorders>
              <w:top w:val="single" w:color="auto" w:sz="4" w:space="0"/>
              <w:bottom w:val="single" w:color="auto" w:sz="4" w:space="0"/>
            </w:tcBorders>
            <w:noWrap w:val="0"/>
            <w:vAlign w:val="center"/>
          </w:tcPr>
          <w:p w14:paraId="497F72C7">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违反规范强制性条文的，扣1分/份。</w:t>
            </w:r>
          </w:p>
        </w:tc>
      </w:tr>
      <w:tr w14:paraId="0C787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atLeast"/>
        </w:trPr>
        <w:tc>
          <w:tcPr>
            <w:tcW w:w="1042" w:type="dxa"/>
            <w:vMerge w:val="continue"/>
            <w:noWrap w:val="0"/>
            <w:vAlign w:val="center"/>
          </w:tcPr>
          <w:p w14:paraId="3FBFFDD1">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continue"/>
            <w:noWrap w:val="0"/>
            <w:vAlign w:val="top"/>
          </w:tcPr>
          <w:p w14:paraId="248C5E8E">
            <w:pPr>
              <w:keepNext w:val="0"/>
              <w:keepLines w:val="0"/>
              <w:pageBreakBefore w:val="0"/>
              <w:kinsoku/>
              <w:wordWrap/>
              <w:overflowPunct/>
              <w:topLinePunct w:val="0"/>
              <w:autoSpaceDE/>
              <w:autoSpaceDN/>
              <w:bidi w:val="0"/>
              <w:spacing w:line="300" w:lineRule="exact"/>
              <w:jc w:val="left"/>
              <w:textAlignment w:val="auto"/>
              <w:rPr>
                <w:rFonts w:hint="default" w:ascii="Times New Roman" w:hAnsi="Times New Roman" w:eastAsia="宋体" w:cs="Times New Roman"/>
                <w:color w:val="auto"/>
                <w:sz w:val="22"/>
                <w:szCs w:val="22"/>
              </w:rPr>
            </w:pPr>
          </w:p>
        </w:tc>
        <w:tc>
          <w:tcPr>
            <w:tcW w:w="4536" w:type="dxa"/>
            <w:vMerge w:val="continue"/>
            <w:tcBorders>
              <w:bottom w:val="single" w:color="auto" w:sz="4" w:space="0"/>
            </w:tcBorders>
            <w:noWrap w:val="0"/>
            <w:vAlign w:val="center"/>
          </w:tcPr>
          <w:p w14:paraId="0AFC924B">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lang w:val="en-US" w:eastAsia="zh-CN"/>
              </w:rPr>
            </w:pPr>
          </w:p>
        </w:tc>
        <w:tc>
          <w:tcPr>
            <w:tcW w:w="1645" w:type="dxa"/>
            <w:tcBorders>
              <w:top w:val="single" w:color="auto" w:sz="4" w:space="0"/>
              <w:bottom w:val="single" w:color="auto" w:sz="4" w:space="0"/>
            </w:tcBorders>
            <w:noWrap w:val="0"/>
            <w:vAlign w:val="center"/>
          </w:tcPr>
          <w:p w14:paraId="40C8E20D">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现场查勘不全面，相关文字、图像记录不规范，扣1分/份。</w:t>
            </w:r>
          </w:p>
        </w:tc>
      </w:tr>
      <w:tr w14:paraId="70708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2" w:type="dxa"/>
            <w:vMerge w:val="continue"/>
            <w:noWrap w:val="0"/>
            <w:vAlign w:val="center"/>
          </w:tcPr>
          <w:p w14:paraId="258AFD90">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continue"/>
            <w:noWrap w:val="0"/>
            <w:vAlign w:val="top"/>
          </w:tcPr>
          <w:p w14:paraId="7E8A684C">
            <w:pPr>
              <w:keepNext w:val="0"/>
              <w:keepLines w:val="0"/>
              <w:pageBreakBefore w:val="0"/>
              <w:kinsoku/>
              <w:wordWrap/>
              <w:overflowPunct/>
              <w:topLinePunct w:val="0"/>
              <w:autoSpaceDE/>
              <w:autoSpaceDN/>
              <w:bidi w:val="0"/>
              <w:spacing w:line="300" w:lineRule="exact"/>
              <w:jc w:val="left"/>
              <w:textAlignment w:val="auto"/>
              <w:rPr>
                <w:rFonts w:hint="default" w:ascii="Times New Roman" w:hAnsi="Times New Roman" w:eastAsia="宋体" w:cs="Times New Roman"/>
                <w:color w:val="auto"/>
                <w:sz w:val="22"/>
                <w:szCs w:val="22"/>
              </w:rPr>
            </w:pPr>
          </w:p>
        </w:tc>
        <w:tc>
          <w:tcPr>
            <w:tcW w:w="4536" w:type="dxa"/>
            <w:noWrap w:val="0"/>
            <w:vAlign w:val="center"/>
          </w:tcPr>
          <w:p w14:paraId="5B3F3112">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i w:val="0"/>
                <w:iCs w:val="0"/>
                <w:caps w:val="0"/>
                <w:color w:val="0F1115"/>
                <w:spacing w:val="0"/>
                <w:sz w:val="22"/>
                <w:szCs w:val="22"/>
                <w:shd w:val="clear" w:color="auto" w:fill="FFFFFF"/>
              </w:rPr>
              <w:t>对抽查</w:t>
            </w:r>
            <w:r>
              <w:rPr>
                <w:rFonts w:hint="default" w:ascii="Times New Roman" w:hAnsi="Times New Roman" w:eastAsia="宋体" w:cs="Times New Roman"/>
                <w:i w:val="0"/>
                <w:iCs w:val="0"/>
                <w:caps w:val="0"/>
                <w:color w:val="0F1115"/>
                <w:spacing w:val="0"/>
                <w:sz w:val="22"/>
                <w:szCs w:val="22"/>
                <w:shd w:val="clear" w:color="auto" w:fill="FFFFFF"/>
                <w:lang w:val="en-US" w:eastAsia="zh-CN"/>
              </w:rPr>
              <w:t>检查</w:t>
            </w:r>
            <w:r>
              <w:rPr>
                <w:rFonts w:hint="default" w:ascii="Times New Roman" w:hAnsi="Times New Roman" w:eastAsia="宋体" w:cs="Times New Roman"/>
                <w:i w:val="0"/>
                <w:iCs w:val="0"/>
                <w:caps w:val="0"/>
                <w:color w:val="0F1115"/>
                <w:spacing w:val="0"/>
                <w:sz w:val="22"/>
                <w:szCs w:val="22"/>
                <w:shd w:val="clear" w:color="auto" w:fill="FFFFFF"/>
              </w:rPr>
              <w:t>发现的问题，整改不力或拒不整改的</w:t>
            </w:r>
          </w:p>
        </w:tc>
        <w:tc>
          <w:tcPr>
            <w:tcW w:w="1645" w:type="dxa"/>
            <w:noWrap w:val="0"/>
            <w:vAlign w:val="center"/>
          </w:tcPr>
          <w:p w14:paraId="4AECD0A4">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lang w:val="en-US" w:eastAsia="zh-CN"/>
              </w:rPr>
              <w:t>-10分</w:t>
            </w:r>
            <w:r>
              <w:rPr>
                <w:rFonts w:hint="default" w:ascii="Times New Roman" w:hAnsi="Times New Roman" w:eastAsia="宋体" w:cs="Times New Roman"/>
                <w:color w:val="auto"/>
                <w:sz w:val="22"/>
                <w:szCs w:val="22"/>
              </w:rPr>
              <w:t>/次</w:t>
            </w:r>
          </w:p>
        </w:tc>
      </w:tr>
      <w:tr w14:paraId="1B7DC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2" w:type="dxa"/>
            <w:vMerge w:val="continue"/>
            <w:noWrap w:val="0"/>
            <w:vAlign w:val="center"/>
          </w:tcPr>
          <w:p w14:paraId="3F07F0F0">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color w:val="auto"/>
                <w:sz w:val="22"/>
                <w:szCs w:val="22"/>
              </w:rPr>
            </w:pPr>
          </w:p>
        </w:tc>
        <w:tc>
          <w:tcPr>
            <w:tcW w:w="2075" w:type="dxa"/>
            <w:vMerge w:val="continue"/>
            <w:noWrap w:val="0"/>
            <w:vAlign w:val="top"/>
          </w:tcPr>
          <w:p w14:paraId="1FAF3950">
            <w:pPr>
              <w:keepNext w:val="0"/>
              <w:keepLines w:val="0"/>
              <w:pageBreakBefore w:val="0"/>
              <w:kinsoku/>
              <w:wordWrap/>
              <w:overflowPunct/>
              <w:topLinePunct w:val="0"/>
              <w:autoSpaceDE/>
              <w:autoSpaceDN/>
              <w:bidi w:val="0"/>
              <w:spacing w:line="300" w:lineRule="exact"/>
              <w:jc w:val="left"/>
              <w:textAlignment w:val="auto"/>
              <w:rPr>
                <w:rFonts w:hint="default" w:ascii="Times New Roman" w:hAnsi="Times New Roman" w:eastAsia="宋体" w:cs="Times New Roman"/>
                <w:color w:val="auto"/>
                <w:sz w:val="22"/>
                <w:szCs w:val="22"/>
              </w:rPr>
            </w:pPr>
          </w:p>
        </w:tc>
        <w:tc>
          <w:tcPr>
            <w:tcW w:w="4536" w:type="dxa"/>
            <w:noWrap w:val="0"/>
            <w:vAlign w:val="center"/>
          </w:tcPr>
          <w:p w14:paraId="014BE0B8">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color w:val="auto"/>
                <w:sz w:val="22"/>
                <w:szCs w:val="22"/>
              </w:rPr>
              <w:t>受到</w:t>
            </w:r>
            <w:r>
              <w:rPr>
                <w:rFonts w:hint="default" w:ascii="Times New Roman" w:hAnsi="Times New Roman" w:eastAsia="宋体" w:cs="Times New Roman"/>
                <w:color w:val="auto"/>
                <w:sz w:val="22"/>
                <w:szCs w:val="22"/>
                <w:lang w:val="en-US" w:eastAsia="zh-CN"/>
              </w:rPr>
              <w:t>县级以上住房城乡建设主管部门</w:t>
            </w:r>
            <w:r>
              <w:rPr>
                <w:rFonts w:hint="default" w:ascii="Times New Roman" w:hAnsi="Times New Roman" w:eastAsia="宋体" w:cs="Times New Roman"/>
                <w:color w:val="auto"/>
                <w:sz w:val="22"/>
                <w:szCs w:val="22"/>
              </w:rPr>
              <w:t>通报批评或其他行政处理的</w:t>
            </w:r>
            <w:r>
              <w:rPr>
                <w:rFonts w:hint="default" w:ascii="Times New Roman" w:hAnsi="Times New Roman" w:eastAsia="宋体" w:cs="Times New Roman"/>
                <w:color w:val="auto"/>
                <w:sz w:val="22"/>
                <w:szCs w:val="22"/>
                <w:lang w:eastAsia="zh-CN"/>
              </w:rPr>
              <w:t>。</w:t>
            </w:r>
          </w:p>
        </w:tc>
        <w:tc>
          <w:tcPr>
            <w:tcW w:w="1645" w:type="dxa"/>
            <w:noWrap w:val="0"/>
            <w:vAlign w:val="center"/>
          </w:tcPr>
          <w:p w14:paraId="38640223">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受到国家、</w:t>
            </w:r>
            <w:r>
              <w:rPr>
                <w:rFonts w:hint="default" w:ascii="Times New Roman" w:hAnsi="Times New Roman" w:eastAsia="宋体" w:cs="Times New Roman"/>
                <w:color w:val="auto"/>
                <w:sz w:val="22"/>
                <w:szCs w:val="22"/>
                <w:lang w:val="en-US" w:eastAsia="zh-CN"/>
              </w:rPr>
              <w:t>自治区</w:t>
            </w:r>
            <w:r>
              <w:rPr>
                <w:rFonts w:hint="default" w:ascii="Times New Roman" w:hAnsi="Times New Roman" w:eastAsia="宋体" w:cs="Times New Roman"/>
                <w:color w:val="auto"/>
                <w:sz w:val="22"/>
                <w:szCs w:val="22"/>
              </w:rPr>
              <w:t>、</w:t>
            </w:r>
            <w:r>
              <w:rPr>
                <w:rFonts w:hint="default" w:ascii="Times New Roman" w:hAnsi="Times New Roman" w:eastAsia="宋体" w:cs="Times New Roman"/>
                <w:color w:val="auto"/>
                <w:sz w:val="22"/>
                <w:szCs w:val="22"/>
                <w:lang w:val="en-US" w:eastAsia="zh-CN"/>
              </w:rPr>
              <w:t>地（州、市）</w:t>
            </w:r>
            <w:r>
              <w:rPr>
                <w:rFonts w:hint="default" w:ascii="Times New Roman" w:hAnsi="Times New Roman" w:eastAsia="宋体" w:cs="Times New Roman"/>
                <w:color w:val="auto"/>
                <w:sz w:val="22"/>
                <w:szCs w:val="22"/>
              </w:rPr>
              <w:t>、县</w:t>
            </w:r>
            <w:r>
              <w:rPr>
                <w:rFonts w:hint="eastAsia" w:ascii="Times New Roman" w:hAnsi="Times New Roman" w:cs="Times New Roman"/>
                <w:color w:val="auto"/>
                <w:sz w:val="22"/>
                <w:szCs w:val="22"/>
                <w:lang w:eastAsia="zh-CN"/>
              </w:rPr>
              <w:t>（</w:t>
            </w:r>
            <w:r>
              <w:rPr>
                <w:rFonts w:hint="default" w:ascii="Times New Roman" w:hAnsi="Times New Roman" w:eastAsia="宋体" w:cs="Times New Roman"/>
                <w:color w:val="auto"/>
                <w:sz w:val="22"/>
                <w:szCs w:val="22"/>
              </w:rPr>
              <w:t>市</w:t>
            </w:r>
            <w:r>
              <w:rPr>
                <w:rFonts w:hint="default" w:ascii="Times New Roman" w:hAnsi="Times New Roman" w:eastAsia="宋体" w:cs="Times New Roman"/>
                <w:color w:val="auto"/>
                <w:sz w:val="22"/>
                <w:szCs w:val="22"/>
                <w:lang w:eastAsia="zh-CN"/>
              </w:rPr>
              <w:t>、</w:t>
            </w:r>
            <w:r>
              <w:rPr>
                <w:rFonts w:hint="default" w:ascii="Times New Roman" w:hAnsi="Times New Roman" w:eastAsia="宋体" w:cs="Times New Roman"/>
                <w:color w:val="auto"/>
                <w:sz w:val="22"/>
                <w:szCs w:val="22"/>
              </w:rPr>
              <w:t>区</w:t>
            </w:r>
            <w:r>
              <w:rPr>
                <w:rFonts w:hint="eastAsia" w:ascii="Times New Roman" w:hAnsi="Times New Roman" w:cs="Times New Roman"/>
                <w:color w:val="auto"/>
                <w:sz w:val="22"/>
                <w:szCs w:val="22"/>
                <w:lang w:eastAsia="zh-CN"/>
              </w:rPr>
              <w:t>）</w:t>
            </w:r>
            <w:r>
              <w:rPr>
                <w:rFonts w:hint="default" w:ascii="Times New Roman" w:hAnsi="Times New Roman" w:eastAsia="宋体" w:cs="Times New Roman"/>
                <w:color w:val="auto"/>
                <w:sz w:val="22"/>
                <w:szCs w:val="22"/>
              </w:rPr>
              <w:t>住建部门通报批评的，分别扣10分/次、5分/次、3分/次、2分/次</w:t>
            </w:r>
            <w:r>
              <w:rPr>
                <w:rFonts w:hint="default" w:ascii="Times New Roman" w:hAnsi="Times New Roman" w:eastAsia="宋体" w:cs="Times New Roman"/>
                <w:color w:val="auto"/>
                <w:sz w:val="22"/>
                <w:szCs w:val="22"/>
                <w:lang w:eastAsia="zh-CN"/>
              </w:rPr>
              <w:t>。</w:t>
            </w:r>
          </w:p>
        </w:tc>
      </w:tr>
      <w:tr w14:paraId="74B6C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exact"/>
        </w:trPr>
        <w:tc>
          <w:tcPr>
            <w:tcW w:w="9298" w:type="dxa"/>
            <w:gridSpan w:val="4"/>
            <w:noWrap w:val="0"/>
            <w:vAlign w:val="center"/>
          </w:tcPr>
          <w:p w14:paraId="68983496">
            <w:pPr>
              <w:widowControl/>
              <w:spacing w:line="340" w:lineRule="exact"/>
              <w:jc w:val="left"/>
              <w:rPr>
                <w:rFonts w:hint="eastAsia" w:ascii="Times New Roman" w:hAnsi="Times New Roman" w:cs="Times New Roman"/>
                <w:b/>
                <w:bCs/>
                <w:color w:val="auto"/>
                <w:sz w:val="22"/>
                <w:szCs w:val="22"/>
                <w:lang w:eastAsia="zh-CN"/>
              </w:rPr>
            </w:pPr>
            <w:r>
              <w:rPr>
                <w:rFonts w:hint="eastAsia" w:ascii="Times New Roman" w:hAnsi="Times New Roman" w:cs="Times New Roman"/>
                <w:b/>
                <w:bCs/>
                <w:color w:val="auto"/>
                <w:sz w:val="22"/>
                <w:szCs w:val="22"/>
                <w:lang w:eastAsia="zh-CN"/>
              </w:rPr>
              <w:t>注：</w:t>
            </w:r>
            <w:r>
              <w:rPr>
                <w:rFonts w:hint="default" w:ascii="Times New Roman" w:hAnsi="Times New Roman" w:eastAsia="宋体" w:cs="Times New Roman"/>
                <w:b/>
                <w:bCs/>
                <w:color w:val="auto"/>
                <w:sz w:val="22"/>
                <w:szCs w:val="22"/>
              </w:rPr>
              <w:t>同一事项不重复</w:t>
            </w:r>
            <w:r>
              <w:rPr>
                <w:rFonts w:hint="eastAsia" w:ascii="Times New Roman" w:hAnsi="Times New Roman" w:cs="Times New Roman"/>
                <w:b/>
                <w:bCs/>
                <w:color w:val="auto"/>
                <w:sz w:val="22"/>
                <w:szCs w:val="22"/>
                <w:lang w:eastAsia="zh-CN"/>
              </w:rPr>
              <w:t>加（</w:t>
            </w:r>
            <w:r>
              <w:rPr>
                <w:rFonts w:hint="default" w:ascii="Times New Roman" w:hAnsi="Times New Roman" w:eastAsia="宋体" w:cs="Times New Roman"/>
                <w:b/>
                <w:bCs/>
                <w:color w:val="auto"/>
                <w:sz w:val="22"/>
                <w:szCs w:val="22"/>
              </w:rPr>
              <w:t>扣</w:t>
            </w:r>
            <w:r>
              <w:rPr>
                <w:rFonts w:hint="eastAsia" w:ascii="Times New Roman" w:hAnsi="Times New Roman" w:cs="Times New Roman"/>
                <w:b/>
                <w:bCs/>
                <w:color w:val="auto"/>
                <w:sz w:val="22"/>
                <w:szCs w:val="22"/>
                <w:lang w:eastAsia="zh-CN"/>
              </w:rPr>
              <w:t>）</w:t>
            </w:r>
            <w:r>
              <w:rPr>
                <w:rFonts w:hint="default" w:ascii="Times New Roman" w:hAnsi="Times New Roman" w:eastAsia="宋体" w:cs="Times New Roman"/>
                <w:b/>
                <w:bCs/>
                <w:color w:val="auto"/>
                <w:sz w:val="22"/>
                <w:szCs w:val="22"/>
              </w:rPr>
              <w:t>分，以最高</w:t>
            </w:r>
            <w:r>
              <w:rPr>
                <w:rFonts w:hint="eastAsia" w:ascii="Times New Roman" w:hAnsi="Times New Roman" w:cs="Times New Roman"/>
                <w:b/>
                <w:bCs/>
                <w:color w:val="auto"/>
                <w:sz w:val="22"/>
                <w:szCs w:val="22"/>
                <w:lang w:eastAsia="zh-CN"/>
              </w:rPr>
              <w:t>加（</w:t>
            </w:r>
            <w:r>
              <w:rPr>
                <w:rFonts w:hint="default" w:ascii="Times New Roman" w:hAnsi="Times New Roman" w:eastAsia="宋体" w:cs="Times New Roman"/>
                <w:b/>
                <w:bCs/>
                <w:color w:val="auto"/>
                <w:sz w:val="22"/>
                <w:szCs w:val="22"/>
              </w:rPr>
              <w:t>扣</w:t>
            </w:r>
            <w:r>
              <w:rPr>
                <w:rFonts w:hint="eastAsia" w:ascii="Times New Roman" w:hAnsi="Times New Roman" w:cs="Times New Roman"/>
                <w:b/>
                <w:bCs/>
                <w:color w:val="auto"/>
                <w:sz w:val="22"/>
                <w:szCs w:val="22"/>
                <w:lang w:eastAsia="zh-CN"/>
              </w:rPr>
              <w:t>）</w:t>
            </w:r>
            <w:r>
              <w:rPr>
                <w:rFonts w:hint="default" w:ascii="Times New Roman" w:hAnsi="Times New Roman" w:eastAsia="宋体" w:cs="Times New Roman"/>
                <w:b/>
                <w:bCs/>
                <w:color w:val="auto"/>
                <w:sz w:val="22"/>
                <w:szCs w:val="22"/>
              </w:rPr>
              <w:t>分为准。</w:t>
            </w:r>
          </w:p>
        </w:tc>
      </w:tr>
    </w:tbl>
    <w:p w14:paraId="735D70E0">
      <w:pPr>
        <w:rPr>
          <w:rFonts w:hint="default" w:ascii="Times New Roman" w:hAnsi="Times New Roman" w:eastAsia="仿宋_GB2312" w:cs="Times New Roman"/>
          <w:sz w:val="32"/>
          <w:szCs w:val="32"/>
          <w:lang w:val="en-US" w:eastAsia="zh-CN"/>
        </w:rPr>
      </w:pPr>
    </w:p>
    <w:sectPr>
      <w:footerReference r:id="rId3"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050FDE-0CA5-45B2-AF37-4052E6F869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embedRegular r:id="rId2" w:fontKey="{E22EBE5C-A465-4C96-A0C1-F74A5F416DF8}"/>
  </w:font>
  <w:font w:name="方正楷体_GB2312">
    <w:panose1 w:val="02000000000000000000"/>
    <w:charset w:val="86"/>
    <w:family w:val="auto"/>
    <w:pitch w:val="default"/>
    <w:sig w:usb0="A00002BF" w:usb1="184F6CFA" w:usb2="00000012" w:usb3="00000000" w:csb0="00040001" w:csb1="00000000"/>
    <w:embedRegular r:id="rId3" w:fontKey="{9BB0AB9E-9CFD-42AF-BB98-F43285046114}"/>
  </w:font>
  <w:font w:name="方正小标宋_GBK">
    <w:altName w:val="Arial Unicode MS"/>
    <w:panose1 w:val="02000000000000000000"/>
    <w:charset w:val="86"/>
    <w:family w:val="auto"/>
    <w:pitch w:val="default"/>
    <w:sig w:usb0="00000000" w:usb1="00000000" w:usb2="00000000" w:usb3="00000000" w:csb0="00040000" w:csb1="00000000"/>
    <w:embedRegular r:id="rId4" w:fontKey="{E4669AD7-85A8-4AF3-9C6F-899F3BA235A1}"/>
  </w:font>
  <w:font w:name="仿宋_GB2312">
    <w:panose1 w:val="02010609030101010101"/>
    <w:charset w:val="86"/>
    <w:family w:val="modern"/>
    <w:pitch w:val="default"/>
    <w:sig w:usb0="00000001" w:usb1="080E0000" w:usb2="00000000" w:usb3="00000000" w:csb0="00040000" w:csb1="00000000"/>
    <w:embedRegular r:id="rId5" w:fontKey="{7C775A10-1C89-442E-8D19-5600C7A74C7D}"/>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0345F">
    <w:pPr>
      <w:pStyle w:val="5"/>
    </w:pPr>
    <w:r>
      <w:rPr>
        <w:sz w:val="18"/>
      </w:rPr>
      <w:pict>
        <v:shape id="文本框 1"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0C9FD459">
                <w:pPr>
                  <w:pStyle w:val="5"/>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D1431"/>
    <w:multiLevelType w:val="singleLevel"/>
    <w:tmpl w:val="304D143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01F4F7E"/>
    <w:rsid w:val="00311A5F"/>
    <w:rsid w:val="00557233"/>
    <w:rsid w:val="00F431B9"/>
    <w:rsid w:val="01FF0067"/>
    <w:rsid w:val="023575E5"/>
    <w:rsid w:val="0259024A"/>
    <w:rsid w:val="025C4FB6"/>
    <w:rsid w:val="02693733"/>
    <w:rsid w:val="032B09E8"/>
    <w:rsid w:val="03724B3A"/>
    <w:rsid w:val="03B617A8"/>
    <w:rsid w:val="03B84D5A"/>
    <w:rsid w:val="04056C0C"/>
    <w:rsid w:val="04061BAD"/>
    <w:rsid w:val="045A77D7"/>
    <w:rsid w:val="051F632A"/>
    <w:rsid w:val="06E3504E"/>
    <w:rsid w:val="073E6F3C"/>
    <w:rsid w:val="0775613A"/>
    <w:rsid w:val="08C3644A"/>
    <w:rsid w:val="08D062B9"/>
    <w:rsid w:val="094840A2"/>
    <w:rsid w:val="098F1B29"/>
    <w:rsid w:val="0993774F"/>
    <w:rsid w:val="09F75C16"/>
    <w:rsid w:val="0A2D14EA"/>
    <w:rsid w:val="0BC6397B"/>
    <w:rsid w:val="0C4D4FA8"/>
    <w:rsid w:val="0C943AA2"/>
    <w:rsid w:val="0EAA135B"/>
    <w:rsid w:val="0F0149D4"/>
    <w:rsid w:val="11993FF0"/>
    <w:rsid w:val="119A7465"/>
    <w:rsid w:val="12900868"/>
    <w:rsid w:val="130E23CF"/>
    <w:rsid w:val="139B7146"/>
    <w:rsid w:val="144618D2"/>
    <w:rsid w:val="1461070D"/>
    <w:rsid w:val="1483462F"/>
    <w:rsid w:val="14BA1BCC"/>
    <w:rsid w:val="150D0C45"/>
    <w:rsid w:val="1537523F"/>
    <w:rsid w:val="154A3249"/>
    <w:rsid w:val="167F4E7B"/>
    <w:rsid w:val="16BA6D54"/>
    <w:rsid w:val="171971BE"/>
    <w:rsid w:val="174F2A9F"/>
    <w:rsid w:val="17852965"/>
    <w:rsid w:val="17BA0860"/>
    <w:rsid w:val="19DB1778"/>
    <w:rsid w:val="1B6F3710"/>
    <w:rsid w:val="1BB43819"/>
    <w:rsid w:val="1CC070E7"/>
    <w:rsid w:val="1DC576E2"/>
    <w:rsid w:val="1DDA0FB7"/>
    <w:rsid w:val="2044337B"/>
    <w:rsid w:val="207D242B"/>
    <w:rsid w:val="209C3CC7"/>
    <w:rsid w:val="21F52377"/>
    <w:rsid w:val="21FC2DBE"/>
    <w:rsid w:val="22AA3280"/>
    <w:rsid w:val="23111551"/>
    <w:rsid w:val="23525B7C"/>
    <w:rsid w:val="23614286"/>
    <w:rsid w:val="27BB7CDD"/>
    <w:rsid w:val="28481571"/>
    <w:rsid w:val="286454B7"/>
    <w:rsid w:val="289C7B0E"/>
    <w:rsid w:val="29111E48"/>
    <w:rsid w:val="291C47AB"/>
    <w:rsid w:val="29491A44"/>
    <w:rsid w:val="2A040F35"/>
    <w:rsid w:val="2AAF63FE"/>
    <w:rsid w:val="2AC77FE1"/>
    <w:rsid w:val="2B591CE7"/>
    <w:rsid w:val="2B637DA9"/>
    <w:rsid w:val="2C1E2435"/>
    <w:rsid w:val="2C2A53B3"/>
    <w:rsid w:val="2D933D57"/>
    <w:rsid w:val="2DAC227D"/>
    <w:rsid w:val="2DB87198"/>
    <w:rsid w:val="2EA102EE"/>
    <w:rsid w:val="2EB55486"/>
    <w:rsid w:val="2EDB1CF3"/>
    <w:rsid w:val="2EF4119E"/>
    <w:rsid w:val="2F8D6403"/>
    <w:rsid w:val="2F9360C6"/>
    <w:rsid w:val="2FBF5509"/>
    <w:rsid w:val="2FBF8F67"/>
    <w:rsid w:val="2FC05CC5"/>
    <w:rsid w:val="2FCF2577"/>
    <w:rsid w:val="2FD30766"/>
    <w:rsid w:val="305762F6"/>
    <w:rsid w:val="31264419"/>
    <w:rsid w:val="313B5C41"/>
    <w:rsid w:val="32544FB6"/>
    <w:rsid w:val="32A05C83"/>
    <w:rsid w:val="32D92155"/>
    <w:rsid w:val="336D09C1"/>
    <w:rsid w:val="33792F26"/>
    <w:rsid w:val="34086058"/>
    <w:rsid w:val="341272F8"/>
    <w:rsid w:val="343F499E"/>
    <w:rsid w:val="34817B40"/>
    <w:rsid w:val="34A56ACD"/>
    <w:rsid w:val="358703ED"/>
    <w:rsid w:val="35B53FBD"/>
    <w:rsid w:val="36625046"/>
    <w:rsid w:val="36F62AE0"/>
    <w:rsid w:val="37BF1123"/>
    <w:rsid w:val="38872870"/>
    <w:rsid w:val="39795509"/>
    <w:rsid w:val="3A282FB0"/>
    <w:rsid w:val="3A6A35C8"/>
    <w:rsid w:val="3A89042E"/>
    <w:rsid w:val="3A8C7E9B"/>
    <w:rsid w:val="3DF42CD0"/>
    <w:rsid w:val="3E67A454"/>
    <w:rsid w:val="3F460E27"/>
    <w:rsid w:val="3FDE18A4"/>
    <w:rsid w:val="40786313"/>
    <w:rsid w:val="40B41131"/>
    <w:rsid w:val="41FD11C6"/>
    <w:rsid w:val="449F46B2"/>
    <w:rsid w:val="45A858ED"/>
    <w:rsid w:val="45F80B91"/>
    <w:rsid w:val="46BB01C5"/>
    <w:rsid w:val="471F6138"/>
    <w:rsid w:val="47FF7FB9"/>
    <w:rsid w:val="4A5E0608"/>
    <w:rsid w:val="4A9C3D23"/>
    <w:rsid w:val="4D5A4DFE"/>
    <w:rsid w:val="4E86459C"/>
    <w:rsid w:val="4F0F35D4"/>
    <w:rsid w:val="50CC6933"/>
    <w:rsid w:val="52AF61C6"/>
    <w:rsid w:val="53643D1E"/>
    <w:rsid w:val="5366439E"/>
    <w:rsid w:val="53954932"/>
    <w:rsid w:val="555B06BD"/>
    <w:rsid w:val="55A24ADB"/>
    <w:rsid w:val="55DFC408"/>
    <w:rsid w:val="5753390A"/>
    <w:rsid w:val="58DA1063"/>
    <w:rsid w:val="58E04391"/>
    <w:rsid w:val="5A82030A"/>
    <w:rsid w:val="5A8E6AA3"/>
    <w:rsid w:val="5AB86FC4"/>
    <w:rsid w:val="5AFC6D92"/>
    <w:rsid w:val="5B515976"/>
    <w:rsid w:val="5C7A1695"/>
    <w:rsid w:val="5CD11FF3"/>
    <w:rsid w:val="5DD706C5"/>
    <w:rsid w:val="5EA201C7"/>
    <w:rsid w:val="5FD64D50"/>
    <w:rsid w:val="5FFB0053"/>
    <w:rsid w:val="60E27AAD"/>
    <w:rsid w:val="613C09A5"/>
    <w:rsid w:val="616F549D"/>
    <w:rsid w:val="61963B97"/>
    <w:rsid w:val="631F6D97"/>
    <w:rsid w:val="647A1DAB"/>
    <w:rsid w:val="656E2414"/>
    <w:rsid w:val="65927F31"/>
    <w:rsid w:val="65CE23AE"/>
    <w:rsid w:val="68040309"/>
    <w:rsid w:val="684352D5"/>
    <w:rsid w:val="68F26A8A"/>
    <w:rsid w:val="690B56C7"/>
    <w:rsid w:val="692B3716"/>
    <w:rsid w:val="69635503"/>
    <w:rsid w:val="697274F4"/>
    <w:rsid w:val="6A2353BE"/>
    <w:rsid w:val="6ACB7804"/>
    <w:rsid w:val="6C965A18"/>
    <w:rsid w:val="6CD01233"/>
    <w:rsid w:val="6E781F2E"/>
    <w:rsid w:val="6E922B12"/>
    <w:rsid w:val="6E9738BA"/>
    <w:rsid w:val="6ED3BB5C"/>
    <w:rsid w:val="6EF72976"/>
    <w:rsid w:val="6EFF6F46"/>
    <w:rsid w:val="6F5B0BE5"/>
    <w:rsid w:val="6FEC1E9A"/>
    <w:rsid w:val="71B96608"/>
    <w:rsid w:val="72890008"/>
    <w:rsid w:val="72F5541E"/>
    <w:rsid w:val="7358228A"/>
    <w:rsid w:val="73896EA9"/>
    <w:rsid w:val="73C3376E"/>
    <w:rsid w:val="7423420D"/>
    <w:rsid w:val="744877CF"/>
    <w:rsid w:val="750F7440"/>
    <w:rsid w:val="754E0DBB"/>
    <w:rsid w:val="758D7B90"/>
    <w:rsid w:val="759A3179"/>
    <w:rsid w:val="75DD8758"/>
    <w:rsid w:val="76D9077B"/>
    <w:rsid w:val="76DD3FCF"/>
    <w:rsid w:val="77F72CB1"/>
    <w:rsid w:val="78E20BC8"/>
    <w:rsid w:val="7A995CD5"/>
    <w:rsid w:val="7A9D5348"/>
    <w:rsid w:val="7B3F9F27"/>
    <w:rsid w:val="7B9B28DB"/>
    <w:rsid w:val="7B9F750F"/>
    <w:rsid w:val="7C605FBA"/>
    <w:rsid w:val="7CD24FF0"/>
    <w:rsid w:val="7D4A0A5C"/>
    <w:rsid w:val="7E7F0292"/>
    <w:rsid w:val="7E971A7F"/>
    <w:rsid w:val="7F6D746C"/>
    <w:rsid w:val="7FAF16E6"/>
    <w:rsid w:val="7FCA5686"/>
    <w:rsid w:val="BF96C0AC"/>
    <w:rsid w:val="DA53E6AE"/>
    <w:rsid w:val="DFE77440"/>
    <w:rsid w:val="E5F9F21A"/>
    <w:rsid w:val="EFCFAE3C"/>
    <w:rsid w:val="F5B4EC42"/>
    <w:rsid w:val="F5EB54DF"/>
    <w:rsid w:val="F77ED131"/>
    <w:rsid w:val="FF673C81"/>
    <w:rsid w:val="FFDFBC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pPr>
      <w:ind w:left="113"/>
    </w:pPr>
    <w:rPr>
      <w:rFonts w:ascii="仿宋" w:hAnsi="仿宋" w:eastAsia="仿宋" w:cs="仿宋"/>
      <w:sz w:val="32"/>
      <w:szCs w:val="32"/>
      <w:lang w:val="zh-CN" w:eastAsia="zh-CN" w:bidi="zh-CN"/>
    </w:rPr>
  </w:style>
  <w:style w:type="paragraph" w:styleId="4">
    <w:name w:val="Body Text First Indent"/>
    <w:basedOn w:val="3"/>
    <w:qFormat/>
    <w:uiPriority w:val="0"/>
    <w:pPr>
      <w:spacing w:after="120"/>
      <w:ind w:firstLine="420" w:firstLineChars="100"/>
    </w:pPr>
    <w:rPr>
      <w:sz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列出段落1"/>
    <w:basedOn w:val="1"/>
    <w:qFormat/>
    <w:uiPriority w:val="34"/>
    <w:pPr>
      <w:ind w:firstLine="420"/>
    </w:pPr>
  </w:style>
  <w:style w:type="character" w:customStyle="1" w:styleId="13">
    <w:name w:val="font41"/>
    <w:basedOn w:val="10"/>
    <w:qFormat/>
    <w:uiPriority w:val="0"/>
    <w:rPr>
      <w:rFonts w:ascii="宋体" w:hAnsi="宋体" w:eastAsia="宋体" w:cs="宋体"/>
      <w:b/>
      <w:bCs/>
      <w:color w:val="000000"/>
      <w:sz w:val="34"/>
      <w:szCs w:val="34"/>
      <w:u w:val="none"/>
    </w:rPr>
  </w:style>
  <w:style w:type="character" w:customStyle="1" w:styleId="14">
    <w:name w:val="font51"/>
    <w:basedOn w:val="10"/>
    <w:qFormat/>
    <w:uiPriority w:val="0"/>
    <w:rPr>
      <w:rFonts w:ascii="宋体" w:hAnsi="宋体" w:eastAsia="宋体" w:cs="宋体"/>
      <w:b/>
      <w:bCs/>
      <w:color w:val="000000"/>
      <w:sz w:val="24"/>
      <w:szCs w:val="24"/>
      <w:u w:val="none"/>
    </w:rPr>
  </w:style>
  <w:style w:type="character" w:customStyle="1" w:styleId="15">
    <w:name w:val="font61"/>
    <w:basedOn w:val="10"/>
    <w:qFormat/>
    <w:uiPriority w:val="0"/>
    <w:rPr>
      <w:rFonts w:ascii="宋体" w:hAnsi="宋体" w:eastAsia="宋体" w:cs="宋体"/>
      <w:color w:val="000000"/>
      <w:sz w:val="24"/>
      <w:szCs w:val="24"/>
      <w:u w:val="none"/>
    </w:rPr>
  </w:style>
  <w:style w:type="character" w:customStyle="1" w:styleId="16">
    <w:name w:val="font71"/>
    <w:basedOn w:val="10"/>
    <w:qFormat/>
    <w:uiPriority w:val="0"/>
    <w:rPr>
      <w:rFonts w:hint="default" w:ascii="Arial" w:hAnsi="Arial" w:cs="Arial"/>
      <w:color w:val="000000"/>
      <w:sz w:val="6"/>
      <w:szCs w:val="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2161</Words>
  <Characters>2177</Characters>
  <Lines>0</Lines>
  <Paragraphs>0</Paragraphs>
  <TotalTime>13</TotalTime>
  <ScaleCrop>false</ScaleCrop>
  <LinksUpToDate>false</LinksUpToDate>
  <CharactersWithSpaces>2196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2025-03-13T06:38:00Z</dcterms:created>
  <dc:creator>王海超</dc:creator>
  <cp:lastModifiedBy>MG</cp:lastModifiedBy>
  <cp:lastPrinted>2026-03-13T15:56:00Z</cp:lastPrinted>
  <dcterms:modified xsi:type="dcterms:W3CDTF">2026-04-09T10:59:56Z</dcterms:modified>
  <dc:title>关于征求《新疆维吾尔自治区房屋安全与抗震鉴定机构信用评价管理办法（征求意见稿）》意见建议的通知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eyJoZGlkIjoiODdjYjcxZGVmYWY3ZTE1YWZkOGY4NGQ3ZGNlM2JiYTUiLCJ1c2VySWQiOiIyODM0MzE1NTMifQ==</vt:lpwstr>
  </property>
  <property fmtid="{D5CDD505-2E9C-101B-9397-08002B2CF9AE}" pid="4" name="ICV">
    <vt:lpwstr>3EEA09ED3803C64B293ECA69DE9E0402</vt:lpwstr>
  </property>
</Properties>
</file>