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44"/>
          <w:szCs w:val="44"/>
          <w:lang w:val="en-US" w:eastAsia="zh-CN"/>
        </w:rPr>
      </w:pP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b/>
          <w:bCs/>
          <w:sz w:val="44"/>
          <w:szCs w:val="44"/>
          <w:lang w:val="en-US" w:eastAsia="zh-CN"/>
        </w:rPr>
      </w:pPr>
      <w:r>
        <w:rPr>
          <w:rFonts w:hint="eastAsia"/>
          <w:b/>
          <w:bCs/>
          <w:sz w:val="44"/>
          <w:szCs w:val="44"/>
          <w:lang w:val="en-US" w:eastAsia="zh-CN"/>
        </w:rPr>
        <w:t>起草说明</w:t>
      </w:r>
    </w:p>
    <w:p>
      <w:pPr>
        <w:pStyle w:val="4"/>
        <w:keepNext w:val="0"/>
        <w:keepLines w:val="0"/>
        <w:pageBreakBefore w:val="0"/>
        <w:widowControl/>
        <w:kinsoku/>
        <w:wordWrap/>
        <w:overflowPunct/>
        <w:topLinePunct w:val="0"/>
        <w:autoSpaceDE/>
        <w:autoSpaceDN/>
        <w:bidi w:val="0"/>
        <w:adjustRightInd/>
        <w:snapToGrid/>
        <w:spacing w:line="240" w:lineRule="auto"/>
        <w:ind w:left="0" w:leftChars="0" w:firstLine="420"/>
        <w:textAlignment w:val="auto"/>
        <w:rPr>
          <w:rFonts w:hint="eastAsia" w:ascii="仿宋_GB2312" w:hAnsi="仿宋_GB2312" w:eastAsia="仿宋_GB2312" w:cs="仿宋_GB2312"/>
          <w:snapToGrid w:val="0"/>
          <w:kern w:val="0"/>
          <w:sz w:val="32"/>
          <w:szCs w:val="32"/>
          <w:lang w:val="en-US" w:eastAsia="zh-CN" w:bidi="ar-SA"/>
        </w:rPr>
      </w:pPr>
    </w:p>
    <w:p>
      <w:pPr>
        <w:pStyle w:val="5"/>
        <w:keepNext w:val="0"/>
        <w:keepLines w:val="0"/>
        <w:pageBreakBefore w:val="0"/>
        <w:widowControl/>
        <w:kinsoku/>
        <w:wordWrap/>
        <w:overflowPunct/>
        <w:topLinePunct w:val="0"/>
        <w:autoSpaceDE/>
        <w:autoSpaceDN/>
        <w:bidi w:val="0"/>
        <w:adjustRightInd w:val="0"/>
        <w:snapToGrid w:val="0"/>
        <w:spacing w:after="0" w:line="360" w:lineRule="auto"/>
        <w:ind w:left="0" w:leftChars="0" w:firstLine="579" w:firstLineChars="181"/>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根据自治区住房和城乡建设厅、自治区市场监督管理局联合下发的《关于发布2024年第二批自治区工程建设地方标准制（修）订计划的公告》，编制组经过广泛的调查研究，认真总结实践经验，参考有关国内外标准和先进经验，结合新疆地域特点，按照国家相关标准及参考国内其他地区地方标准，针对我区目前既有建筑外墙外保温薄抹灰系统的实际情况，结合工程现状，在广泛征求意见的基础上，制订了本标准。</w:t>
      </w:r>
    </w:p>
    <w:p>
      <w:pPr>
        <w:pStyle w:val="5"/>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本标准共有7章和4个附录，主要技术内容有：总则、术语、基本规定、材料与系统、设计、施工、验收。</w:t>
      </w:r>
    </w:p>
    <w:p>
      <w:pPr>
        <w:keepNext w:val="0"/>
        <w:keepLines w:val="0"/>
        <w:pageBreakBefore w:val="0"/>
        <w:widowControl/>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标准由新疆维吾尔自治区住房和城乡建设厅负责管理，由乌鲁木齐市建筑建材科学研究院有限责任公司负责具体内容的解释。执行过程中如有意见或建议，请联系乌鲁木齐市建筑建材科学研究院有限责任公司（地址：新疆乌鲁木齐市水磨沟区安居北路217号，电话：0991-4678160，邮政编码：830063，电子邮箱：48743765@qq.com），以供修订时参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napToGrid w:val="0"/>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D6608B"/>
    <w:rsid w:val="09E77F85"/>
    <w:rsid w:val="4FA20CDF"/>
    <w:rsid w:val="4FFF3AB4"/>
    <w:rsid w:val="513C2130"/>
    <w:rsid w:val="54371EE9"/>
    <w:rsid w:val="59352C7E"/>
    <w:rsid w:val="5AB03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正文退格"/>
    <w:basedOn w:val="1"/>
    <w:qFormat/>
    <w:uiPriority w:val="0"/>
    <w:pPr>
      <w:ind w:firstLine="200" w:firstLineChars="200"/>
    </w:pPr>
  </w:style>
  <w:style w:type="paragraph" w:customStyle="1" w:styleId="5">
    <w:name w:val="无列表1"/>
    <w:semiHidden/>
    <w:qFormat/>
    <w:uiPriority w:val="0"/>
    <w:pPr>
      <w:spacing w:after="160" w:line="259" w:lineRule="auto"/>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2024-12-27T16:50:39Z</dcterms:created>
  <dc:creator>xjbb</dc:creator>
  <cp:lastModifiedBy>zjt</cp:lastModifiedBy>
  <dcterms:modified xsi:type="dcterms:W3CDTF">2025-06-26T09:09:41Z</dcterms:modified>
  <dc:title>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B7E01808BC0E414186D37867AA319063_12</vt:lpwstr>
  </property>
</Properties>
</file>