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val="0"/>
          <w:bCs/>
          <w:kern w:val="0"/>
          <w:sz w:val="44"/>
          <w:szCs w:val="44"/>
          <w:lang w:val="en-US" w:eastAsia="zh-CN" w:bidi="ar-SA"/>
        </w:rPr>
      </w:pPr>
      <w:r>
        <w:rPr>
          <w:rFonts w:hint="eastAsia" w:ascii="方正小标宋简体" w:hAnsi="方正小标宋简体" w:eastAsia="方正小标宋简体" w:cs="方正小标宋简体"/>
          <w:bCs/>
          <w:kern w:val="0"/>
          <w:sz w:val="44"/>
          <w:szCs w:val="44"/>
        </w:rPr>
        <w:t>新疆维吾尔自治区房屋建筑和市政基础设施工程建设项目招标“评定分离”</w:t>
      </w:r>
      <w:bookmarkStart w:id="0" w:name="_Toc6999"/>
      <w:r>
        <w:rPr>
          <w:rFonts w:hint="eastAsia" w:ascii="方正小标宋简体" w:hAnsi="方正小标宋简体" w:eastAsia="方正小标宋简体" w:cs="方正小标宋简体"/>
          <w:b w:val="0"/>
          <w:bCs/>
          <w:kern w:val="0"/>
          <w:sz w:val="44"/>
          <w:szCs w:val="44"/>
          <w:lang w:val="en-US" w:eastAsia="zh-CN" w:bidi="ar-SA"/>
        </w:rPr>
        <w:t>暂行办法</w:t>
      </w:r>
    </w:p>
    <w:p>
      <w:pPr>
        <w:pStyle w:val="2"/>
        <w:spacing w:before="0" w:after="0" w:line="600" w:lineRule="exact"/>
        <w:jc w:val="center"/>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w:t>
      </w:r>
      <w:r>
        <w:rPr>
          <w:rFonts w:hint="eastAsia" w:ascii="方正楷体简体" w:hAnsi="方正楷体简体" w:eastAsia="方正楷体简体" w:cs="方正楷体简体"/>
          <w:b w:val="0"/>
          <w:bCs/>
          <w:sz w:val="32"/>
          <w:szCs w:val="32"/>
          <w:lang w:eastAsia="zh-CN"/>
        </w:rPr>
        <w:t>征求意见稿</w:t>
      </w:r>
      <w:r>
        <w:rPr>
          <w:rFonts w:hint="eastAsia" w:ascii="方正楷体简体" w:hAnsi="方正楷体简体" w:eastAsia="方正楷体简体" w:cs="方正楷体简体"/>
          <w:b w:val="0"/>
          <w:bCs/>
          <w:sz w:val="32"/>
          <w:szCs w:val="32"/>
        </w:rPr>
        <w:t>）</w:t>
      </w:r>
    </w:p>
    <w:p>
      <w:pPr>
        <w:pStyle w:val="2"/>
        <w:spacing w:before="0" w:after="0"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bookmarkEnd w:id="0"/>
    </w:p>
    <w:p>
      <w:pPr>
        <w:widowControl/>
        <w:ind w:firstLine="642" w:firstLineChars="200"/>
        <w:jc w:val="left"/>
        <w:rPr>
          <w:rFonts w:hint="eastAsia" w:ascii="仿宋_GB2312" w:hAnsi="仿宋_GB2312" w:eastAsia="仿宋_GB2312" w:cs="仿宋_GB2312"/>
          <w:color w:val="002060"/>
          <w:sz w:val="32"/>
          <w:szCs w:val="32"/>
        </w:rPr>
      </w:pPr>
      <w:r>
        <w:rPr>
          <w:rFonts w:hint="eastAsia" w:ascii="仿宋_GB2312" w:hAnsi="仿宋_GB2312" w:eastAsia="仿宋_GB2312" w:cs="仿宋_GB2312"/>
          <w:b/>
          <w:bCs/>
          <w:sz w:val="32"/>
          <w:szCs w:val="32"/>
        </w:rPr>
        <w:t>第一条【定义】 “</w:t>
      </w:r>
      <w:r>
        <w:rPr>
          <w:rFonts w:hint="eastAsia" w:ascii="仿宋_GB2312" w:hAnsi="仿宋_GB2312" w:eastAsia="仿宋_GB2312" w:cs="仿宋_GB2312"/>
          <w:sz w:val="32"/>
          <w:szCs w:val="32"/>
        </w:rPr>
        <w:t>评定分离”是指将招标投标程序中评标委员会评标和招标人定标作为相对独立的两个环节进行分离。评标委员会根据招标文件规定的程序和方法进行独立评审，招标人根据评标委员会提出的书面评标报告和推荐的定标候选人，按照招标文件规定的定标方法，结合对定标候选人合同履行能力和风险进行复核的情况，自主确定中标人。</w:t>
      </w:r>
    </w:p>
    <w:p>
      <w:pPr>
        <w:pStyle w:val="4"/>
        <w:ind w:firstLine="642"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sz w:val="32"/>
          <w:szCs w:val="32"/>
        </w:rPr>
        <w:t xml:space="preserve">第二条【定标原则】 </w:t>
      </w:r>
      <w:r>
        <w:rPr>
          <w:rFonts w:hint="eastAsia" w:ascii="仿宋_GB2312" w:hAnsi="仿宋_GB2312" w:eastAsia="仿宋_GB2312" w:cs="仿宋_GB2312"/>
          <w:color w:val="000000"/>
          <w:sz w:val="32"/>
          <w:szCs w:val="32"/>
          <w:lang w:bidi="ar"/>
        </w:rPr>
        <w:t>招标人应当按照</w:t>
      </w:r>
      <w:r>
        <w:rPr>
          <w:rFonts w:hint="eastAsia" w:ascii="仿宋_GB2312" w:hAnsi="仿宋_GB2312" w:eastAsia="仿宋_GB2312" w:cs="仿宋_GB2312"/>
          <w:sz w:val="32"/>
          <w:szCs w:val="32"/>
          <w:lang w:bidi="ar"/>
        </w:rPr>
        <w:t>充分竞争、优质优价</w:t>
      </w:r>
      <w:r>
        <w:rPr>
          <w:rFonts w:hint="eastAsia" w:ascii="仿宋_GB2312" w:hAnsi="仿宋_GB2312" w:eastAsia="仿宋_GB2312" w:cs="仿宋_GB2312"/>
          <w:kern w:val="0"/>
          <w:sz w:val="32"/>
          <w:szCs w:val="32"/>
          <w:lang w:bidi="ar"/>
        </w:rPr>
        <w:t>的</w:t>
      </w:r>
      <w:r>
        <w:rPr>
          <w:rFonts w:hint="eastAsia" w:ascii="仿宋_GB2312" w:hAnsi="仿宋_GB2312" w:eastAsia="仿宋_GB2312" w:cs="仿宋_GB2312"/>
          <w:sz w:val="32"/>
          <w:szCs w:val="32"/>
          <w:lang w:bidi="ar"/>
        </w:rPr>
        <w:t>原则，综合考虑信用、履约、报价等因素，择优选择合适</w:t>
      </w:r>
      <w:r>
        <w:rPr>
          <w:rFonts w:hint="eastAsia" w:ascii="仿宋_GB2312" w:hAnsi="仿宋_GB2312" w:eastAsia="仿宋_GB2312" w:cs="仿宋_GB2312"/>
          <w:kern w:val="0"/>
          <w:sz w:val="32"/>
          <w:szCs w:val="32"/>
          <w:lang w:bidi="ar"/>
        </w:rPr>
        <w:t>的定标候选人为中标人。</w:t>
      </w:r>
    </w:p>
    <w:p>
      <w:pPr>
        <w:pStyle w:val="4"/>
        <w:ind w:firstLine="642"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 xml:space="preserve">第三条【决策约束】 </w:t>
      </w:r>
      <w:r>
        <w:rPr>
          <w:rFonts w:hint="eastAsia" w:ascii="仿宋_GB2312" w:hAnsi="仿宋_GB2312" w:eastAsia="仿宋_GB2312" w:cs="仿宋_GB2312"/>
          <w:kern w:val="0"/>
          <w:sz w:val="32"/>
          <w:szCs w:val="32"/>
          <w:lang w:bidi="ar"/>
        </w:rPr>
        <w:t>招标人应根据国家法律、法规和规章要求，按照科学、民主决策原则，建立健全内部控制机制和决策约束机制。评定分离的内控机制应纳入“三重一大”决策机制或履行审批程序，并向本级或上级纪检监察部门备案。</w:t>
      </w:r>
    </w:p>
    <w:p>
      <w:pPr>
        <w:pStyle w:val="4"/>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第四条【适用范围】 </w:t>
      </w:r>
      <w:r>
        <w:rPr>
          <w:rFonts w:hint="eastAsia" w:ascii="仿宋_GB2312" w:hAnsi="仿宋_GB2312" w:eastAsia="仿宋_GB2312" w:cs="仿宋_GB2312"/>
          <w:color w:val="000000"/>
          <w:sz w:val="32"/>
          <w:szCs w:val="32"/>
          <w:lang w:bidi="ar"/>
        </w:rPr>
        <w:t>本</w:t>
      </w:r>
      <w:r>
        <w:rPr>
          <w:rFonts w:hint="eastAsia" w:ascii="仿宋_GB2312" w:hAnsi="仿宋_GB2312" w:eastAsia="仿宋_GB2312" w:cs="仿宋_GB2312"/>
          <w:color w:val="000000"/>
          <w:sz w:val="32"/>
          <w:szCs w:val="32"/>
          <w:lang w:eastAsia="zh-CN" w:bidi="ar"/>
        </w:rPr>
        <w:t>办法</w:t>
      </w:r>
      <w:r>
        <w:rPr>
          <w:rFonts w:hint="eastAsia" w:ascii="仿宋_GB2312" w:hAnsi="仿宋_GB2312" w:eastAsia="仿宋_GB2312" w:cs="仿宋_GB2312"/>
          <w:color w:val="000000"/>
          <w:sz w:val="32"/>
          <w:szCs w:val="32"/>
          <w:lang w:bidi="ar"/>
        </w:rPr>
        <w:t>适用于自治区、</w:t>
      </w:r>
      <w:r>
        <w:rPr>
          <w:rFonts w:hint="eastAsia" w:ascii="仿宋_GB2312" w:hAnsi="仿宋_GB2312" w:eastAsia="仿宋_GB2312" w:cs="仿宋_GB2312"/>
          <w:color w:val="000000"/>
          <w:kern w:val="0"/>
          <w:sz w:val="32"/>
          <w:szCs w:val="32"/>
        </w:rPr>
        <w:t>新疆生产建设兵团行政区域内</w:t>
      </w:r>
      <w:r>
        <w:rPr>
          <w:rFonts w:hint="eastAsia" w:ascii="仿宋_GB2312" w:hAnsi="仿宋_GB2312" w:eastAsia="仿宋_GB2312" w:cs="仿宋_GB2312"/>
          <w:color w:val="000000"/>
          <w:sz w:val="32"/>
          <w:szCs w:val="32"/>
          <w:lang w:bidi="ar"/>
        </w:rPr>
        <w:t>开展“评定分离”改革试点的地区。</w:t>
      </w:r>
    </w:p>
    <w:p>
      <w:pPr>
        <w:pStyle w:val="2"/>
        <w:spacing w:before="0" w:after="0" w:line="600" w:lineRule="exact"/>
        <w:jc w:val="center"/>
        <w:rPr>
          <w:rFonts w:hint="eastAsia" w:ascii="仿宋_GB2312" w:hAnsi="仿宋_GB2312" w:eastAsia="仿宋_GB2312" w:cs="仿宋_GB2312"/>
          <w:sz w:val="32"/>
          <w:szCs w:val="32"/>
        </w:rPr>
      </w:pPr>
    </w:p>
    <w:p>
      <w:pPr>
        <w:pStyle w:val="2"/>
        <w:spacing w:before="0" w:after="0"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“评定分离”方案确定</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第五条【定标方案】 </w:t>
      </w:r>
      <w:r>
        <w:rPr>
          <w:rFonts w:hint="eastAsia" w:ascii="仿宋_GB2312" w:hAnsi="仿宋_GB2312" w:eastAsia="仿宋_GB2312" w:cs="仿宋_GB2312"/>
          <w:sz w:val="32"/>
          <w:szCs w:val="32"/>
        </w:rPr>
        <w:t>招标人采用“评定分离”方式招标的，应充分理解定标原则，结合项目实际，根据本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的规定，制定切实可行的定标方案并在招标文件中明确。</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第六条【评标方法】 </w:t>
      </w:r>
      <w:r>
        <w:rPr>
          <w:rFonts w:hint="eastAsia" w:ascii="仿宋_GB2312" w:hAnsi="仿宋_GB2312" w:eastAsia="仿宋_GB2312" w:cs="仿宋_GB2312"/>
          <w:sz w:val="32"/>
          <w:szCs w:val="32"/>
        </w:rPr>
        <w:t>招标人应根据招标项目具体情况科学制定相应的评标方法，并在招标文件中明确。</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第七条【评审因素】 </w:t>
      </w:r>
      <w:r>
        <w:rPr>
          <w:rFonts w:hint="eastAsia" w:ascii="仿宋_GB2312" w:hAnsi="仿宋_GB2312" w:eastAsia="仿宋_GB2312" w:cs="仿宋_GB2312"/>
          <w:sz w:val="32"/>
          <w:szCs w:val="32"/>
        </w:rPr>
        <w:t>评审因素包括形式评审、资格审查、响应性审查、资信、技术、经济（投标报价）等。</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第八条【定标候选人的推荐】 </w:t>
      </w:r>
      <w:r>
        <w:rPr>
          <w:rFonts w:hint="eastAsia" w:ascii="仿宋_GB2312" w:hAnsi="仿宋_GB2312" w:eastAsia="仿宋_GB2312" w:cs="仿宋_GB2312"/>
          <w:sz w:val="32"/>
          <w:szCs w:val="32"/>
        </w:rPr>
        <w:t>定标候选人不得少于3家，不宜超过5家，具体数量应在招标文件中明确，评标委员会应依据招标文件中规定的评标方法确定定标候选人，定标候选人排名不分先后。</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第九条【定标方法】 </w:t>
      </w:r>
      <w:r>
        <w:rPr>
          <w:rFonts w:hint="eastAsia" w:ascii="仿宋_GB2312" w:hAnsi="仿宋_GB2312" w:eastAsia="仿宋_GB2312" w:cs="仿宋_GB2312"/>
          <w:sz w:val="32"/>
          <w:szCs w:val="32"/>
        </w:rPr>
        <w:t>定标委员会应依据招标文件公布的定标方案，采用下列方法在评标委员会推荐的定标候选人中确定中标候选人：</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价格竞争定标法。按照招标文件规定的价格竞争方法确定中标候选人。可以采用最低投标价法、次低价法、平均值法等，具体方法由招标人在招标文件中确定。此方法适用于投资额或单项合同估算价1000万元以下技术及性能标准简单、通用的建设工程项目。</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票决定标法：定标委员会成员根据定标因素及定标标准对各定标候选人进行评价比较后，采用记名投票的方式确定中标候选人，并详实注明具体投票理由，确定得票数量最多的为中标人；当单轮得票数相同无法确定中标人时，应当对得票数最高且相同的单位再次票决，具体细则应在招标文件中明确。招标人应将定标委员会成员的记名部分予以密封（详见附表2、附表3）。</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体议事法。采用集体议事法时，应当在招标文件中明确议事规则，定标委员会成员各自发表意见，最终由定标委员会组长确定中标候选人。所有定标委员会成员的意见应当作书面记录，并由定标委员会成员签字确认。</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（四）其他方法。招标人可以将上述定标方法组合使用，也可以结合项目特点和自身实际，本着公平公正的原则，制定其他定标方法，并在招标文件中明确。</w:t>
      </w:r>
    </w:p>
    <w:p>
      <w:pPr>
        <w:autoSpaceDE w:val="0"/>
        <w:spacing w:line="579"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第十条【定标因素】 </w:t>
      </w:r>
      <w:r>
        <w:rPr>
          <w:rFonts w:hint="eastAsia" w:ascii="仿宋_GB2312" w:hAnsi="仿宋_GB2312" w:eastAsia="仿宋_GB2312" w:cs="仿宋_GB2312"/>
          <w:sz w:val="32"/>
          <w:szCs w:val="32"/>
        </w:rPr>
        <w:t>招标人可以根据项目实际确定定标因素及其内容，并在招标文件中明确。定标因素除参考评标委员会评审意见、定标核查情况、质询或考察报告外，还可以参考（但不限于）以下因素：</w:t>
      </w:r>
    </w:p>
    <w:p>
      <w:pPr>
        <w:autoSpaceDE w:val="0"/>
        <w:spacing w:line="579"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（一）价格因素：主要包括商务报价高低、主要材料报价的合理性、不平衡报价情况等；</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（二）企业实力：包括企业规模、资质等级、</w:t>
      </w:r>
      <w:r>
        <w:rPr>
          <w:rFonts w:hint="eastAsia" w:ascii="仿宋_GB2312" w:hAnsi="仿宋_GB2312" w:eastAsia="仿宋_GB2312" w:cs="仿宋_GB2312"/>
          <w:color w:val="000000"/>
          <w:sz w:val="32"/>
          <w:szCs w:val="32"/>
          <w:lang w:bidi="ar"/>
        </w:rPr>
        <w:t>专业技术人员规模、近几</w:t>
      </w:r>
      <w:r>
        <w:rPr>
          <w:rFonts w:hint="eastAsia" w:ascii="仿宋_GB2312" w:hAnsi="仿宋_GB2312" w:eastAsia="仿宋_GB2312" w:cs="仿宋_GB2312"/>
          <w:sz w:val="32"/>
          <w:szCs w:val="32"/>
        </w:rPr>
        <w:t>年的营业额、财务状况、</w:t>
      </w:r>
      <w:r>
        <w:rPr>
          <w:rFonts w:hint="eastAsia" w:ascii="仿宋_GB2312" w:hAnsi="仿宋_GB2312" w:eastAsia="仿宋_GB2312" w:cs="仿宋_GB2312"/>
          <w:color w:val="000000"/>
          <w:sz w:val="32"/>
          <w:szCs w:val="32"/>
          <w:lang w:bidi="ar"/>
        </w:rPr>
        <w:t>过往</w:t>
      </w:r>
      <w:r>
        <w:rPr>
          <w:rFonts w:hint="eastAsia" w:ascii="仿宋_GB2312" w:hAnsi="仿宋_GB2312" w:eastAsia="仿宋_GB2312" w:cs="仿宋_GB2312"/>
          <w:sz w:val="32"/>
          <w:szCs w:val="32"/>
        </w:rPr>
        <w:t>业绩（含业绩影响力、复杂程度）等方面。</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bidi="ar"/>
        </w:rPr>
        <w:t>企业信誉：</w:t>
      </w:r>
      <w:r>
        <w:rPr>
          <w:rFonts w:hint="eastAsia" w:ascii="仿宋_GB2312" w:hAnsi="仿宋_GB2312" w:eastAsia="仿宋_GB2312" w:cs="仿宋_GB2312"/>
          <w:color w:val="000000"/>
          <w:sz w:val="32"/>
          <w:szCs w:val="32"/>
          <w:lang w:bidi="ar"/>
        </w:rPr>
        <w:t>主要包括</w:t>
      </w:r>
      <w:r>
        <w:rPr>
          <w:rFonts w:hint="eastAsia" w:ascii="仿宋_GB2312" w:hAnsi="仿宋_GB2312" w:eastAsia="仿宋_GB2312" w:cs="仿宋_GB2312"/>
          <w:sz w:val="32"/>
          <w:szCs w:val="32"/>
        </w:rPr>
        <w:t>（不限于）企业信用评价情况（可参照自治区住房城乡建设行业信用信息管理平台或</w:t>
      </w:r>
      <w:r>
        <w:rPr>
          <w:rFonts w:hint="eastAsia" w:ascii="仿宋_GB2312" w:hAnsi="仿宋_GB2312" w:eastAsia="仿宋_GB2312" w:cs="仿宋_GB2312"/>
          <w:color w:val="000000"/>
          <w:spacing w:val="5"/>
          <w:sz w:val="32"/>
          <w:szCs w:val="32"/>
          <w:shd w:val="clear" w:color="auto" w:fill="FFFFFF"/>
        </w:rPr>
        <w:t>兵团建筑业监管信息化工作平台</w:t>
      </w:r>
      <w:r>
        <w:rPr>
          <w:rFonts w:hint="eastAsia" w:ascii="仿宋_GB2312" w:hAnsi="仿宋_GB2312" w:eastAsia="仿宋_GB2312" w:cs="仿宋_GB2312"/>
          <w:sz w:val="32"/>
          <w:szCs w:val="32"/>
        </w:rPr>
        <w:t>信用评价结果）、过往业绩履约情况、建设单位履约评价情况，全国建筑市场监管服务平台、全国信用信息共享平台、“信用中国”、裁判文书网查询情况等；</w:t>
      </w:r>
    </w:p>
    <w:p>
      <w:pPr>
        <w:pStyle w:val="4"/>
        <w:spacing w:line="600" w:lineRule="exact"/>
        <w:ind w:firstLine="640" w:firstLineChars="200"/>
        <w:jc w:val="both"/>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sz w:val="32"/>
          <w:szCs w:val="32"/>
          <w:lang w:bidi="ar"/>
        </w:rPr>
        <w:t>（四）投标方案：主要包括技术标情况、工程建设</w:t>
      </w:r>
      <w:r>
        <w:rPr>
          <w:rFonts w:hint="eastAsia" w:ascii="仿宋_GB2312" w:hAnsi="仿宋_GB2312" w:eastAsia="仿宋_GB2312" w:cs="仿宋_GB2312"/>
          <w:color w:val="auto"/>
          <w:sz w:val="32"/>
          <w:szCs w:val="32"/>
          <w:lang w:eastAsia="zh-CN" w:bidi="ar"/>
        </w:rPr>
        <w:t>过程中</w:t>
      </w:r>
      <w:r>
        <w:rPr>
          <w:rFonts w:hint="eastAsia" w:ascii="仿宋_GB2312" w:hAnsi="仿宋_GB2312" w:eastAsia="仿宋_GB2312" w:cs="仿宋_GB2312"/>
          <w:color w:val="auto"/>
          <w:sz w:val="32"/>
          <w:szCs w:val="32"/>
          <w:lang w:bidi="ar"/>
        </w:rPr>
        <w:t>重难点问题的解决方案、主要材料品牌等；</w:t>
      </w:r>
    </w:p>
    <w:p>
      <w:pPr>
        <w:autoSpaceDE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（五）拟派团队管理能力与水平：主要包括团队主要负责人类似工程业绩、拟派项目团队管理机构人员的技术职称、执业资格等资信实力；</w:t>
      </w:r>
    </w:p>
    <w:p>
      <w:pPr>
        <w:autoSpaceDE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（六）其他因素。</w:t>
      </w:r>
    </w:p>
    <w:p>
      <w:pPr>
        <w:pStyle w:val="10"/>
        <w:ind w:left="0" w:leftChars="0" w:firstLine="640"/>
        <w:rPr>
          <w:rFonts w:hint="eastAsia"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sz w:val="32"/>
          <w:szCs w:val="32"/>
        </w:rPr>
        <w:t>招标人确定的定标因素不得含有倾向或者排斥潜在投标人的内容</w:t>
      </w:r>
      <w:r>
        <w:rPr>
          <w:rFonts w:hint="eastAsia" w:ascii="仿宋_GB2312" w:hAnsi="仿宋_GB2312" w:eastAsia="仿宋_GB2312" w:cs="仿宋_GB2312"/>
          <w:b w:val="0"/>
          <w:bCs w:val="0"/>
          <w:color w:val="auto"/>
          <w:sz w:val="32"/>
          <w:szCs w:val="32"/>
        </w:rPr>
        <w:t>。</w:t>
      </w:r>
      <w:bookmarkStart w:id="1" w:name="_Toc17824"/>
      <w:r>
        <w:rPr>
          <w:rFonts w:hint="eastAsia" w:ascii="Times New Roman" w:hAnsi="Times New Roman" w:eastAsia="仿宋_GB2312" w:cs="Times New Roman"/>
          <w:b w:val="0"/>
          <w:bCs w:val="0"/>
          <w:color w:val="auto"/>
          <w:kern w:val="2"/>
          <w:sz w:val="32"/>
          <w:szCs w:val="32"/>
          <w:lang w:val="en-US" w:eastAsia="zh-CN" w:bidi="ar-SA"/>
        </w:rPr>
        <w:t>定标过程中可以对拟派项目负责人进行答辩，在评标中已采用答辩方式的，定标中不得再要求进行答辩。</w:t>
      </w:r>
    </w:p>
    <w:p>
      <w:pPr>
        <w:pStyle w:val="4"/>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评标</w:t>
      </w:r>
      <w:bookmarkEnd w:id="1"/>
    </w:p>
    <w:p>
      <w:pPr>
        <w:pStyle w:val="4"/>
        <w:spacing w:line="600" w:lineRule="exact"/>
        <w:ind w:firstLine="642"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sz w:val="32"/>
          <w:szCs w:val="32"/>
        </w:rPr>
        <w:t xml:space="preserve">第十一条【评审范围】 </w:t>
      </w:r>
      <w:r>
        <w:rPr>
          <w:rFonts w:hint="eastAsia" w:ascii="Times New Roman" w:hAnsi="Times New Roman" w:eastAsia="仿宋_GB2312" w:cs="Times New Roman"/>
          <w:b w:val="0"/>
          <w:bCs w:val="0"/>
          <w:color w:val="auto"/>
          <w:kern w:val="2"/>
          <w:sz w:val="32"/>
          <w:szCs w:val="32"/>
          <w:lang w:val="en-US" w:eastAsia="zh-CN" w:bidi="ar-SA"/>
        </w:rPr>
        <w:t>采</w:t>
      </w:r>
      <w:r>
        <w:rPr>
          <w:rFonts w:hint="eastAsia" w:ascii="仿宋_GB2312" w:hAnsi="仿宋_GB2312" w:eastAsia="仿宋_GB2312" w:cs="仿宋_GB2312"/>
          <w:sz w:val="32"/>
          <w:szCs w:val="32"/>
        </w:rPr>
        <w:t>用“评定分离”的招标项目，</w:t>
      </w:r>
      <w:r>
        <w:rPr>
          <w:rFonts w:hint="eastAsia" w:ascii="Times New Roman" w:hAnsi="Times New Roman" w:eastAsia="仿宋_GB2312" w:cs="Times New Roman"/>
          <w:b w:val="0"/>
          <w:bCs w:val="0"/>
          <w:color w:val="auto"/>
          <w:kern w:val="2"/>
          <w:sz w:val="32"/>
          <w:szCs w:val="32"/>
          <w:lang w:val="en-US" w:eastAsia="zh-CN" w:bidi="ar-SA"/>
        </w:rPr>
        <w:t>宜采用“远程异地”评标，</w:t>
      </w:r>
      <w:r>
        <w:rPr>
          <w:rFonts w:hint="eastAsia" w:ascii="仿宋_GB2312" w:hAnsi="仿宋_GB2312" w:eastAsia="仿宋_GB2312" w:cs="仿宋_GB2312"/>
          <w:b w:val="0"/>
          <w:bCs w:val="0"/>
          <w:color w:val="auto"/>
          <w:sz w:val="32"/>
          <w:szCs w:val="32"/>
        </w:rPr>
        <w:t>且应将所有投标人纳入评审范围。</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第十二条【初步评审】 </w:t>
      </w:r>
      <w:r>
        <w:rPr>
          <w:rFonts w:hint="eastAsia" w:ascii="仿宋_GB2312" w:hAnsi="仿宋_GB2312" w:eastAsia="仿宋_GB2312" w:cs="仿宋_GB2312"/>
          <w:sz w:val="32"/>
          <w:szCs w:val="32"/>
        </w:rPr>
        <w:t>评标委员会按照招标文件规定对各投标文件是否满足招标文件的资格要求、响应性要求、实质性要求（含重大偏差情况）、报价情况进行初步评审。</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第十三条【详细评审】 </w:t>
      </w:r>
      <w:r>
        <w:rPr>
          <w:rFonts w:hint="eastAsia" w:ascii="仿宋_GB2312" w:hAnsi="仿宋_GB2312" w:eastAsia="仿宋_GB2312" w:cs="仿宋_GB2312"/>
          <w:sz w:val="32"/>
          <w:szCs w:val="32"/>
        </w:rPr>
        <w:t>评标委员会应对通过初步评审的投标人的技术方案、技术力量、设施条件进行详细评审；并对质量安全技术要求、工期控制能力、造价控制等提出技术咨询建议。</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 xml:space="preserve">第十四条【否决投标】 </w:t>
      </w:r>
      <w:r>
        <w:rPr>
          <w:rFonts w:hint="eastAsia" w:ascii="仿宋_GB2312" w:hAnsi="仿宋_GB2312" w:eastAsia="仿宋_GB2312" w:cs="仿宋_GB2312"/>
          <w:sz w:val="32"/>
          <w:szCs w:val="32"/>
        </w:rPr>
        <w:t xml:space="preserve">除法律法规规定和招标文件规定否决投标的情形外，评标委员会不得否决投标文件。经评标委员会评审，符合招标文件要求的定标候选人少于招标文件规定的数量且使得投标明显缺乏竞争的，评标委员会可以否决全部投标。 </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投标人少于三个或者所有投标被否决的，招标人在分析招标失败的原因并采取相应措施后，应当依法重新招标。</w:t>
      </w:r>
    </w:p>
    <w:p>
      <w:pPr>
        <w:pStyle w:val="8"/>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第十五条【问题澄清】 </w:t>
      </w:r>
      <w:r>
        <w:rPr>
          <w:rFonts w:hint="eastAsia" w:ascii="仿宋_GB2312" w:hAnsi="仿宋_GB2312" w:eastAsia="仿宋_GB2312" w:cs="仿宋_GB2312"/>
          <w:color w:val="auto"/>
          <w:sz w:val="32"/>
          <w:szCs w:val="32"/>
        </w:rPr>
        <w:t>评标委员会可以书面方式要求投标人对投标文件中含义不明确、对同类问题表述不一致或者有明显文字和计算错误的内容作必要的澄清、说明或者补正。澄清、说明或者补正应当采用书面方式进行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并不得超出投标文件的范围或者改变投标文件的实质性内容。</w:t>
      </w:r>
    </w:p>
    <w:p>
      <w:pPr>
        <w:pStyle w:val="8"/>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评标委员会不得接受投标人主动提出的澄清、说明或补正。</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 xml:space="preserve">第十六条【评标报告】 </w:t>
      </w:r>
      <w:r>
        <w:rPr>
          <w:rFonts w:hint="eastAsia" w:ascii="仿宋_GB2312" w:hAnsi="仿宋_GB2312" w:eastAsia="仿宋_GB2312" w:cs="仿宋_GB2312"/>
          <w:color w:val="auto"/>
          <w:sz w:val="32"/>
          <w:szCs w:val="32"/>
        </w:rPr>
        <w:t>评标完成后，评标委员会应当向招标人提交书面评标报告。评标报告应当明确记录定标候选人的优势、缺点、风险等评审情况和推荐理</w:t>
      </w:r>
      <w:r>
        <w:rPr>
          <w:rFonts w:hint="eastAsia" w:ascii="仿宋_GB2312" w:hAnsi="仿宋_GB2312" w:eastAsia="仿宋_GB2312" w:cs="仿宋_GB2312"/>
          <w:sz w:val="32"/>
          <w:szCs w:val="32"/>
        </w:rPr>
        <w:t>由，并对技术、质量、安全、工期的控制能力等提供技术咨询建议。以不排序的形式将定标候选人推荐给招标人。</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第十七条【评标结果公示】 </w:t>
      </w:r>
      <w:r>
        <w:rPr>
          <w:rFonts w:hint="eastAsia" w:ascii="仿宋_GB2312" w:hAnsi="仿宋_GB2312" w:eastAsia="仿宋_GB2312" w:cs="仿宋_GB2312"/>
          <w:sz w:val="32"/>
          <w:szCs w:val="32"/>
        </w:rPr>
        <w:t>招标人应当在评标工作完成后的3日内，对评标结果（定标候选人）进行公示，公示期不少于3日。公示中应附评标报告（评标专家姓名除外）。</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投标人或者其他利害关系人对评标结果有异议的，应当在定标候选人公示期间提出。招标人应当自收到异议之日起3日内作出答复；作出答复前，应当暂停招标投标活动。</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第十八条【继续定标或重新招标情形】 </w:t>
      </w:r>
      <w:r>
        <w:rPr>
          <w:rFonts w:hint="eastAsia" w:ascii="仿宋_GB2312" w:hAnsi="仿宋_GB2312" w:eastAsia="仿宋_GB2312" w:cs="仿宋_GB2312"/>
          <w:sz w:val="32"/>
          <w:szCs w:val="32"/>
        </w:rPr>
        <w:t>评标结果（定标候选人）公示期间，因质疑或投诉导致定标候选人少于招标文件规定的数量时，招标人继续定标还是重新招标由招标人在招标文件中明确，但定标候选人少于三个或者所有投标被否决的，招标人应当依法重新组织招标。</w:t>
      </w:r>
    </w:p>
    <w:p>
      <w:pPr>
        <w:pStyle w:val="4"/>
        <w:spacing w:line="600" w:lineRule="exact"/>
        <w:ind w:firstLine="640" w:firstLineChars="200"/>
        <w:jc w:val="both"/>
        <w:rPr>
          <w:rFonts w:hint="eastAsia" w:ascii="仿宋_GB2312" w:hAnsi="仿宋_GB2312" w:eastAsia="仿宋_GB2312" w:cs="仿宋_GB2312"/>
          <w:sz w:val="32"/>
          <w:szCs w:val="32"/>
        </w:rPr>
      </w:pPr>
    </w:p>
    <w:p>
      <w:pPr>
        <w:pStyle w:val="4"/>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定标</w:t>
      </w:r>
    </w:p>
    <w:p>
      <w:pPr>
        <w:widowControl/>
        <w:autoSpaceDE w:val="0"/>
        <w:spacing w:line="579" w:lineRule="exact"/>
        <w:ind w:firstLine="64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sz w:val="32"/>
          <w:szCs w:val="32"/>
        </w:rPr>
        <w:t xml:space="preserve">第十九条【定标委员会的组建】 </w:t>
      </w:r>
      <w:r>
        <w:rPr>
          <w:rFonts w:hint="eastAsia" w:ascii="仿宋_GB2312" w:hAnsi="仿宋_GB2312" w:eastAsia="仿宋_GB2312" w:cs="仿宋_GB2312"/>
          <w:b w:val="0"/>
          <w:bCs w:val="0"/>
          <w:color w:val="auto"/>
          <w:sz w:val="32"/>
          <w:szCs w:val="32"/>
          <w:lang w:bidi="ar"/>
        </w:rPr>
        <w:t>定标委员会由招标人通过“三重一大”决策程序组建，成员数量为5人及以上单数</w:t>
      </w:r>
      <w:r>
        <w:rPr>
          <w:rFonts w:hint="eastAsia" w:ascii="仿宋_GB2312" w:hAnsi="仿宋_GB2312" w:eastAsia="仿宋_GB2312" w:cs="仿宋_GB2312"/>
          <w:b w:val="0"/>
          <w:bCs w:val="0"/>
          <w:color w:val="auto"/>
          <w:sz w:val="32"/>
          <w:szCs w:val="32"/>
          <w:lang w:eastAsia="zh-CN" w:bidi="ar"/>
        </w:rPr>
        <w:t>，</w:t>
      </w:r>
      <w:r>
        <w:rPr>
          <w:rFonts w:hint="eastAsia" w:ascii="仿宋_GB2312" w:hAnsi="仿宋_GB2312" w:eastAsia="仿宋_GB2312" w:cs="仿宋_GB2312"/>
          <w:b w:val="0"/>
          <w:bCs w:val="0"/>
          <w:color w:val="auto"/>
          <w:sz w:val="32"/>
          <w:szCs w:val="32"/>
          <w:lang w:bidi="ar"/>
        </w:rPr>
        <w:t>包括但不限于成员人数、定标委员会组长人选、定标委员会人员名单、备选人员名单。定标委员会名单、备选人员名单在中标结果确定前应当保密。</w:t>
      </w:r>
    </w:p>
    <w:p>
      <w:pPr>
        <w:pStyle w:val="4"/>
        <w:ind w:firstLine="642"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rPr>
        <w:t xml:space="preserve">第二十条【备选人员规定】 </w:t>
      </w:r>
      <w:r>
        <w:rPr>
          <w:rFonts w:hint="eastAsia" w:ascii="仿宋_GB2312" w:hAnsi="仿宋_GB2312" w:eastAsia="仿宋_GB2312" w:cs="仿宋_GB2312"/>
          <w:sz w:val="32"/>
          <w:szCs w:val="32"/>
          <w:lang w:bidi="ar"/>
        </w:rPr>
        <w:t>备选人员应具备工程建设项目等方面的管理经验或专业技术能力，原则上从招标人中产生。备选人员数量不得少于定标委员会成员数的2倍，数量不足的，可从招标人上下级单位或受招标人委托的专业人员中产生，受招标人委托的专业人员数量不得超过定标委员会成员总数的三分之一，备选人员名单确定需经招标人“三重一大”</w:t>
      </w:r>
      <w:r>
        <w:rPr>
          <w:rFonts w:hint="eastAsia" w:ascii="仿宋_GB2312" w:hAnsi="仿宋_GB2312" w:eastAsia="仿宋_GB2312" w:cs="仿宋_GB2312"/>
          <w:sz w:val="32"/>
          <w:szCs w:val="32"/>
        </w:rPr>
        <w:t>决策机制</w:t>
      </w:r>
      <w:r>
        <w:rPr>
          <w:rFonts w:hint="eastAsia" w:ascii="仿宋_GB2312" w:hAnsi="仿宋_GB2312" w:eastAsia="仿宋_GB2312" w:cs="仿宋_GB2312"/>
          <w:sz w:val="32"/>
          <w:szCs w:val="32"/>
          <w:lang w:bidi="ar"/>
        </w:rPr>
        <w:t>审议通过。</w:t>
      </w:r>
    </w:p>
    <w:p>
      <w:pPr>
        <w:pStyle w:val="4"/>
        <w:spacing w:line="60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定标委员会成员在定标前应填写廉政</w:t>
      </w:r>
      <w:r>
        <w:rPr>
          <w:rFonts w:hint="eastAsia" w:ascii="仿宋_GB2312" w:hAnsi="仿宋_GB2312" w:eastAsia="仿宋_GB2312" w:cs="仿宋_GB2312"/>
          <w:sz w:val="32"/>
          <w:szCs w:val="32"/>
        </w:rPr>
        <w:t>承诺书。</w:t>
      </w:r>
      <w:r>
        <w:rPr>
          <w:rFonts w:hint="eastAsia" w:ascii="仿宋_GB2312" w:hAnsi="仿宋_GB2312" w:eastAsia="仿宋_GB2312" w:cs="仿宋_GB2312"/>
          <w:sz w:val="32"/>
          <w:szCs w:val="32"/>
          <w:lang w:bidi="ar"/>
        </w:rPr>
        <w:t>与定标候选人存在利害关系的，应当主动回避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招标人应在招标文件中明确定标委员会成员应当回避的具体情形。</w:t>
      </w:r>
    </w:p>
    <w:p>
      <w:pPr>
        <w:autoSpaceDE w:val="0"/>
        <w:spacing w:line="579"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第二十一条【定标核查】 </w:t>
      </w:r>
      <w:r>
        <w:rPr>
          <w:rFonts w:hint="eastAsia" w:ascii="仿宋_GB2312" w:hAnsi="仿宋_GB2312" w:eastAsia="仿宋_GB2312" w:cs="仿宋_GB2312"/>
          <w:sz w:val="32"/>
          <w:szCs w:val="32"/>
          <w:lang w:bidi="ar"/>
        </w:rPr>
        <w:t>招标人在定标会议前应对定标候选人进行定标核查。核查内容应在招标文件中予以明确，应包括信用信息、行贿受贿情况、履约能力等内容，以及招标人认为需要核查的其他内容。</w:t>
      </w:r>
    </w:p>
    <w:p>
      <w:pPr>
        <w:pStyle w:val="4"/>
        <w:spacing w:line="600" w:lineRule="exact"/>
        <w:ind w:firstLine="642"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 xml:space="preserve">第二十二条【定标会要求】 </w:t>
      </w:r>
      <w:r>
        <w:rPr>
          <w:rFonts w:hint="eastAsia" w:ascii="仿宋_GB2312" w:hAnsi="仿宋_GB2312" w:eastAsia="仿宋_GB2312" w:cs="仿宋_GB2312"/>
          <w:sz w:val="32"/>
          <w:szCs w:val="32"/>
        </w:rPr>
        <w:t>招标人原则上应当在定标候选人公示结束后7日内召开定标会。招标人可进入公共资源交易中心定标，也可自行确定定标地点，定标过程应全程录音录像，录音录像应清晰可辨。招标人无正当理由不得延期召开定标会。</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招标人代表在定标会上可以介绍项目情况、开标评标情况以及对定标候选人或其拟派项目负责人的考察、质询情况；定标委员会成员有疑问的，可以向招标人代表提问。</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第二十三条【考察质询】 </w:t>
      </w:r>
      <w:r>
        <w:rPr>
          <w:rFonts w:hint="eastAsia" w:ascii="仿宋_GB2312" w:hAnsi="仿宋_GB2312" w:eastAsia="仿宋_GB2312" w:cs="仿宋_GB2312"/>
          <w:sz w:val="32"/>
          <w:szCs w:val="32"/>
        </w:rPr>
        <w:t>招标人在定标会议前可以对定标候选人进行考察、质询，并出具考察、质询报告作为定标要素之一。招标文件中应明确是否需要对中标候选人进行考察、质询，以及考察的内容。招标人定标前组织考察的，定标会议时间可以适当推迟（最长不超过5日），并在定标会议记录中载明。</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第二十四条【定标结果公示】 </w:t>
      </w:r>
      <w:r>
        <w:rPr>
          <w:rFonts w:hint="eastAsia" w:ascii="仿宋_GB2312" w:hAnsi="仿宋_GB2312" w:eastAsia="仿宋_GB2312" w:cs="仿宋_GB2312"/>
          <w:sz w:val="32"/>
          <w:szCs w:val="32"/>
        </w:rPr>
        <w:t>招标人应当在定标工作完成后的3日内，对定标结果（中标候选人）进行公示，公示期不得少于3日。公示内容包括：拟中标人、评标时间、定标时间、定标方法、投标价格、拟中标人得票情况（采用票决法）、定标理由（采用集体议事法）等内容。定标结果（中标候选人）公示期间，投诉人提出针对中标候选人以外的异议，无论调查结果是否属实，均不改变评标委员会已确定并公示的定标候选人名单。</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招标人擅自改变中标结果的，或者中标人无正当理由放弃中标项目的，应当依法承担法律责任。</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第二十五条【重新招标或定标】 </w:t>
      </w:r>
      <w:r>
        <w:rPr>
          <w:rFonts w:hint="eastAsia" w:ascii="仿宋_GB2312" w:hAnsi="仿宋_GB2312" w:eastAsia="仿宋_GB2312" w:cs="仿宋_GB2312"/>
          <w:sz w:val="32"/>
          <w:szCs w:val="32"/>
        </w:rPr>
        <w:t>中标候选人数量应为1名。定标结果（中标候选人）公示期间，因质疑、投诉经查实后导致中标候选人不符合招标文件要求或因不可抗力不能履行合同时，剩余定标候选人数量超过3个（含3个）的，招标人可以重新组织招标，也可以重新组织定标活动，定标可按照同样的程序和方法在剩余定标候选人中继续确定1名中标候选人并公示。剩余定标候选人数量不足3个的，招标人应重新组织招标。</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第二十六条【合同签订】 </w:t>
      </w:r>
      <w:r>
        <w:rPr>
          <w:rFonts w:hint="eastAsia" w:ascii="仿宋_GB2312" w:hAnsi="仿宋_GB2312" w:eastAsia="仿宋_GB2312" w:cs="仿宋_GB2312"/>
          <w:sz w:val="32"/>
          <w:szCs w:val="32"/>
        </w:rPr>
        <w:t>招标人和中标人应当在投标有效期内</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sz w:val="32"/>
          <w:szCs w:val="32"/>
        </w:rPr>
        <w:t>并在自中标通知书发出之日起30日内，依照招标文件、投标文件签订书面合同，合同的标的、价款、质量、履行期限等主要条款应当与招标文件和中标人的投标文件的内容一致。招标人和中标人不得再行订立背离合同实质性内容的其他协议。</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第二十七条【定标备案】 </w:t>
      </w:r>
      <w:r>
        <w:rPr>
          <w:rFonts w:hint="eastAsia" w:ascii="仿宋_GB2312" w:hAnsi="仿宋_GB2312" w:eastAsia="仿宋_GB2312" w:cs="仿宋_GB2312"/>
          <w:sz w:val="32"/>
          <w:szCs w:val="32"/>
        </w:rPr>
        <w:t>招标人应在确定中标人后，将定标记录、定标报告纳入招标投标情况报告中，报送住房城乡建设主管部门备案，同时</w:t>
      </w:r>
      <w:r>
        <w:rPr>
          <w:rFonts w:hint="eastAsia" w:ascii="仿宋_GB2312" w:hAnsi="仿宋_GB2312" w:eastAsia="仿宋_GB2312" w:cs="仿宋_GB2312"/>
          <w:sz w:val="32"/>
          <w:szCs w:val="32"/>
          <w:lang w:eastAsia="zh-CN"/>
        </w:rPr>
        <w:t>报送</w:t>
      </w:r>
      <w:r>
        <w:rPr>
          <w:rFonts w:hint="eastAsia" w:ascii="仿宋_GB2312" w:hAnsi="仿宋_GB2312" w:eastAsia="仿宋_GB2312" w:cs="仿宋_GB2312"/>
          <w:sz w:val="32"/>
          <w:szCs w:val="32"/>
        </w:rPr>
        <w:t>本单位纪检监察部门。</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定标记录应包括定标报告、备选人员名单、正式成员名单、选票原件、统计报表、公证记录（如有）、考察质询情况（如有）、项目负责人答辩情况（如有）、定标会议录音、录像</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定标报告应包括定标委员会组建情况、评标报告、定标方法（定标因素、定标标准）、定标过程情况、拟中标人情况及理由、签订合同前要处理的事宜及澄清说明补正事项纪要等。</w:t>
      </w:r>
    </w:p>
    <w:p>
      <w:pPr>
        <w:pStyle w:val="4"/>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责任与管理</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第二十八条【招标人负责制】 </w:t>
      </w:r>
      <w:r>
        <w:rPr>
          <w:rFonts w:hint="eastAsia" w:ascii="仿宋_GB2312" w:hAnsi="仿宋_GB2312" w:eastAsia="仿宋_GB2312" w:cs="仿宋_GB2312"/>
          <w:sz w:val="32"/>
          <w:szCs w:val="32"/>
        </w:rPr>
        <w:t>招标人是依照《中华人民共和国招标投标法》规定提出招标项目、进行招标的法人或者其他组织。建筑工程招标、评标、定标活动由招标人依法组织实施。招标人应对招标过程、结果及合同内容的合法合规性及公平合理性负责。</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第二十九条【监督机制】 </w:t>
      </w:r>
      <w:r>
        <w:rPr>
          <w:rFonts w:hint="eastAsia" w:ascii="仿宋_GB2312" w:hAnsi="仿宋_GB2312" w:eastAsia="仿宋_GB2312" w:cs="仿宋_GB2312"/>
          <w:sz w:val="32"/>
          <w:szCs w:val="32"/>
        </w:rPr>
        <w:t>招标人应组建监督小组对定标过程进行全程监督。监督小组由招标人或招标人上级主管单位纪检监察人员或审计人员、工程建设领域相关专业技术人员组成，原则上不少于2人。监督工作完成后应在定标报告上签字。</w:t>
      </w:r>
    </w:p>
    <w:p>
      <w:pPr>
        <w:pStyle w:val="4"/>
        <w:spacing w:line="600" w:lineRule="exact"/>
        <w:ind w:firstLine="642"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第三十条【保密要求】 </w:t>
      </w:r>
      <w:r>
        <w:rPr>
          <w:rFonts w:hint="eastAsia" w:ascii="仿宋_GB2312" w:hAnsi="仿宋_GB2312" w:eastAsia="仿宋_GB2312" w:cs="仿宋_GB2312"/>
          <w:sz w:val="32"/>
          <w:szCs w:val="32"/>
        </w:rPr>
        <w:t>招标人、定标委员会成员、监督小组成员及相关工作人员应当严格保守秘密，不得以任何形式向外透露定标委员会成员信息、定标考察或答辩情况、定标过程及与定标有关的其他情况。</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第三十一条【定标委员会职责】 </w:t>
      </w:r>
      <w:r>
        <w:rPr>
          <w:rFonts w:hint="eastAsia" w:ascii="仿宋_GB2312" w:hAnsi="仿宋_GB2312" w:eastAsia="仿宋_GB2312" w:cs="仿宋_GB2312"/>
          <w:sz w:val="32"/>
          <w:szCs w:val="32"/>
        </w:rPr>
        <w:t>定标委员会成员在定标期间不得与任何投标单位或者其他利害关系人私下接触。不得收受投标人、中介机构、其他利害关系人的财物或者好处。定标委员会成员应当客观、公正地履行职责，遵守职业道德，并对所提出的定标意见承担个人责任。</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第三十二条【投诉渠道】 </w:t>
      </w:r>
      <w:r>
        <w:rPr>
          <w:rFonts w:hint="eastAsia" w:ascii="仿宋_GB2312" w:hAnsi="仿宋_GB2312" w:eastAsia="仿宋_GB2312" w:cs="仿宋_GB2312"/>
          <w:sz w:val="32"/>
          <w:szCs w:val="32"/>
        </w:rPr>
        <w:t>投诉人在投诉举报招标投标各方主体涉嫌违反建设工程招标投标相关法律法规、规章的行为时，应按照《工程建设项目招标投标活动投诉处理办法》（国家发改委等7部委令第11号）相关规定，应向项目所在地住房城乡建设主管部门提出；投诉人在投诉举报招标投标各方主体涉嫌违反党规、职务违法、职务犯罪等问题时，应按照规定逐级向纪检监察机关反映。</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第三十三条【标后核查】 </w:t>
      </w:r>
      <w:r>
        <w:rPr>
          <w:rFonts w:hint="eastAsia" w:ascii="仿宋_GB2312" w:hAnsi="仿宋_GB2312" w:eastAsia="仿宋_GB2312" w:cs="仿宋_GB2312"/>
          <w:sz w:val="32"/>
          <w:szCs w:val="32"/>
        </w:rPr>
        <w:t>各级住房城乡建设主管部门应采用随机抽查和定向检查相结合的方式，对采用“评定分离”方式的招标项目进行标后核查，加大事中事后查处力度。发现招标投标各方主体涉嫌违反建设工程招标投标相关法律法规、规章情形的，应依法予以处理。</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前款所称招标投标各方主体是指参与项目招标投标活动的招标人、投标人、评标专家、招标代理机构、依法实施项目监督管理的部门或相关人员等。</w:t>
      </w:r>
    </w:p>
    <w:p>
      <w:pPr>
        <w:pStyle w:val="4"/>
        <w:spacing w:line="60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第三十四条【线索移交】 </w:t>
      </w:r>
      <w:r>
        <w:rPr>
          <w:rFonts w:hint="eastAsia" w:ascii="仿宋_GB2312" w:hAnsi="仿宋_GB2312" w:eastAsia="仿宋_GB2312" w:cs="仿宋_GB2312"/>
          <w:sz w:val="32"/>
          <w:szCs w:val="32"/>
        </w:rPr>
        <w:t>各级住房城乡建设主管部门在依法实施项目招标投标监督管理或受理投诉举报案件中，发现涉及招标投标各方主体存在涉嫌违反党规党纪、职务违法犯罪等问题线索的，应当及时移送本级纪检监察机关处理。</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住房城乡建设主管部门应当建立健全移送问题线索工作机制，明确责任部门，严肃工作纪律，对发现的问题线索及时、如实报送，不得隐瞒、延误。故意隐瞒不报、延误报送造成严重后果或者不良影响的，依规依纪依法追究相关人员责任。</w:t>
      </w:r>
    </w:p>
    <w:p>
      <w:pPr>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第三十五条【执行规定】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自20  年 月 日起施行，</w:t>
      </w:r>
      <w:bookmarkStart w:id="2" w:name="_Toc18840"/>
      <w:bookmarkStart w:id="3" w:name="_Toc27511"/>
      <w:r>
        <w:rPr>
          <w:rFonts w:hint="eastAsia" w:ascii="仿宋_GB2312" w:hAnsi="仿宋_GB2312" w:eastAsia="仿宋_GB2312" w:cs="仿宋_GB2312"/>
          <w:sz w:val="32"/>
          <w:szCs w:val="32"/>
        </w:rPr>
        <w:t>有效期为 年，原《关于印发&lt;自治区房屋建筑和市政基础设施工程建设项目招标“评定分离”试点工作实施方案&gt;&lt;自治区房屋建筑和市政基础设施工程建设项目招标“评定分离”操作指导规则(试行)&gt;的通知》（新建建〔2021〕8号）同时废止。</w:t>
      </w:r>
    </w:p>
    <w:p>
      <w:pPr>
        <w:pStyle w:val="4"/>
        <w:spacing w:line="600" w:lineRule="exact"/>
        <w:ind w:firstLine="640" w:firstLineChars="200"/>
        <w:jc w:val="both"/>
        <w:rPr>
          <w:rFonts w:hint="eastAsia" w:ascii="仿宋_GB2312" w:hAnsi="仿宋_GB2312" w:eastAsia="仿宋_GB2312" w:cs="仿宋_GB2312"/>
          <w:sz w:val="32"/>
          <w:szCs w:val="32"/>
        </w:rPr>
      </w:pPr>
    </w:p>
    <w:bookmarkEnd w:id="2"/>
    <w:bookmarkEnd w:id="3"/>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在“评定分离”方式下，本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提供了</w:t>
      </w:r>
      <w:bookmarkStart w:id="36" w:name="_GoBack"/>
      <w:bookmarkEnd w:id="36"/>
      <w:r>
        <w:rPr>
          <w:rFonts w:hint="eastAsia" w:ascii="仿宋_GB2312" w:hAnsi="仿宋_GB2312" w:eastAsia="仿宋_GB2312" w:cs="仿宋_GB2312"/>
          <w:sz w:val="32"/>
          <w:szCs w:val="32"/>
        </w:rPr>
        <w:t>部分表式样本供招标人参考。</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附件（参考样表）</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附表1:《评标结果（定标候选人）公示》</w:t>
      </w:r>
    </w:p>
    <w:p>
      <w:pPr>
        <w:pStyle w:val="4"/>
        <w:spacing w:line="60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附表2:《票决定标选票第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轮（样本）》</w:t>
      </w:r>
    </w:p>
    <w:p>
      <w:pPr>
        <w:pStyle w:val="4"/>
        <w:spacing w:line="60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附表3:《票决定标选票第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轮计票汇总表（样本）》</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附表4:《定标结果（中标候选人）公示》</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附表5:《（工程名称）中标结果公告》</w:t>
      </w:r>
    </w:p>
    <w:p>
      <w:pPr>
        <w:pStyle w:val="4"/>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附表6:《定标报告》</w:t>
      </w:r>
    </w:p>
    <w:p>
      <w:pPr>
        <w:pStyle w:val="6"/>
        <w:ind w:firstLine="0" w:firstLineChars="0"/>
      </w:pPr>
      <w:r>
        <w:rPr>
          <w:rFonts w:ascii="Arial" w:hAnsi="Arial" w:cs="Arial"/>
          <w:b/>
          <w:kern w:val="0"/>
          <w:szCs w:val="30"/>
        </w:rPr>
        <w:br w:type="page"/>
      </w:r>
      <w:bookmarkStart w:id="4" w:name="_Toc27450"/>
      <w:bookmarkStart w:id="5" w:name="_Toc26296"/>
      <w:bookmarkStart w:id="6" w:name="_Toc28248"/>
      <w:bookmarkStart w:id="7" w:name="_Toc17694"/>
      <w:bookmarkStart w:id="8" w:name="_Toc29410"/>
      <w:bookmarkStart w:id="9" w:name="_Toc15075"/>
    </w:p>
    <w:p>
      <w:pPr>
        <w:widowControl/>
        <w:jc w:val="left"/>
        <w:rPr>
          <w:rFonts w:hint="eastAsia" w:ascii="仿宋_GB2312" w:hAnsi="仿宋_GB2312" w:eastAsia="仿宋_GB2312" w:cs="仿宋_GB2312"/>
          <w:b/>
          <w:kern w:val="44"/>
          <w:sz w:val="32"/>
          <w:szCs w:val="32"/>
        </w:rPr>
      </w:pPr>
      <w:r>
        <w:rPr>
          <w:rFonts w:hint="eastAsia" w:ascii="仿宋_GB2312" w:hAnsi="仿宋_GB2312" w:eastAsia="仿宋_GB2312" w:cs="仿宋_GB2312"/>
          <w:b/>
          <w:kern w:val="44"/>
          <w:sz w:val="32"/>
          <w:szCs w:val="32"/>
        </w:rPr>
        <w:t>附表1：</w:t>
      </w:r>
    </w:p>
    <w:bookmarkEnd w:id="4"/>
    <w:bookmarkEnd w:id="5"/>
    <w:bookmarkEnd w:id="6"/>
    <w:bookmarkEnd w:id="7"/>
    <w:bookmarkEnd w:id="8"/>
    <w:bookmarkEnd w:id="9"/>
    <w:p>
      <w:pPr>
        <w:widowControl/>
        <w:jc w:val="center"/>
        <w:rPr>
          <w:rFonts w:hint="eastAsia" w:ascii="仿宋_GB2312" w:hAnsi="仿宋_GB2312" w:eastAsia="仿宋_GB2312" w:cs="仿宋_GB2312"/>
          <w:bCs/>
          <w:sz w:val="24"/>
        </w:rPr>
      </w:pPr>
      <w:r>
        <w:rPr>
          <w:rFonts w:hint="eastAsia" w:ascii="仿宋_GB2312" w:hAnsi="仿宋_GB2312" w:eastAsia="仿宋_GB2312" w:cs="仿宋_GB2312"/>
          <w:b/>
          <w:kern w:val="44"/>
          <w:sz w:val="32"/>
          <w:szCs w:val="32"/>
        </w:rPr>
        <w:t>评标结果（定标候选人）公示</w:t>
      </w:r>
    </w:p>
    <w:tbl>
      <w:tblPr>
        <w:tblStyle w:val="11"/>
        <w:tblW w:w="9127" w:type="dxa"/>
        <w:jc w:val="center"/>
        <w:tblLayout w:type="fixed"/>
        <w:tblCellMar>
          <w:top w:w="15" w:type="dxa"/>
          <w:left w:w="15" w:type="dxa"/>
          <w:bottom w:w="15" w:type="dxa"/>
          <w:right w:w="15" w:type="dxa"/>
        </w:tblCellMar>
      </w:tblPr>
      <w:tblGrid>
        <w:gridCol w:w="1655"/>
        <w:gridCol w:w="208"/>
        <w:gridCol w:w="1365"/>
        <w:gridCol w:w="1391"/>
        <w:gridCol w:w="1553"/>
        <w:gridCol w:w="1439"/>
        <w:gridCol w:w="1516"/>
      </w:tblGrid>
      <w:tr>
        <w:tblPrEx>
          <w:tblCellMar>
            <w:top w:w="15" w:type="dxa"/>
            <w:left w:w="15" w:type="dxa"/>
            <w:bottom w:w="15" w:type="dxa"/>
            <w:right w:w="15" w:type="dxa"/>
          </w:tblCellMar>
        </w:tblPrEx>
        <w:trPr>
          <w:trHeight w:val="561" w:hRule="atLeast"/>
          <w:jc w:val="center"/>
        </w:trPr>
        <w:tc>
          <w:tcPr>
            <w:tcW w:w="165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招标工程名称</w:t>
            </w:r>
          </w:p>
        </w:tc>
        <w:tc>
          <w:tcPr>
            <w:tcW w:w="7472" w:type="dxa"/>
            <w:gridSpan w:val="6"/>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cs="宋体"/>
                <w:bCs/>
                <w:sz w:val="24"/>
              </w:rPr>
            </w:pPr>
          </w:p>
        </w:tc>
      </w:tr>
      <w:tr>
        <w:tblPrEx>
          <w:tblCellMar>
            <w:top w:w="15" w:type="dxa"/>
            <w:left w:w="15" w:type="dxa"/>
            <w:bottom w:w="15" w:type="dxa"/>
            <w:right w:w="15" w:type="dxa"/>
          </w:tblCellMar>
        </w:tblPrEx>
        <w:trPr>
          <w:trHeight w:val="561" w:hRule="atLeast"/>
          <w:jc w:val="center"/>
        </w:trPr>
        <w:tc>
          <w:tcPr>
            <w:tcW w:w="165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公示时间</w:t>
            </w:r>
          </w:p>
        </w:tc>
        <w:tc>
          <w:tcPr>
            <w:tcW w:w="7472" w:type="dxa"/>
            <w:gridSpan w:val="6"/>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Cs w:val="21"/>
              </w:rPr>
            </w:pPr>
            <w:r>
              <w:rPr>
                <w:rFonts w:hint="eastAsia"/>
              </w:rPr>
              <w:t>年     月     日 至     年     月     日</w:t>
            </w:r>
          </w:p>
        </w:tc>
      </w:tr>
      <w:tr>
        <w:tblPrEx>
          <w:tblCellMar>
            <w:top w:w="15" w:type="dxa"/>
            <w:left w:w="15" w:type="dxa"/>
            <w:bottom w:w="15" w:type="dxa"/>
            <w:right w:w="15" w:type="dxa"/>
          </w:tblCellMar>
        </w:tblPrEx>
        <w:trPr>
          <w:trHeight w:val="440" w:hRule="atLeast"/>
          <w:jc w:val="center"/>
        </w:trPr>
        <w:tc>
          <w:tcPr>
            <w:tcW w:w="9127" w:type="dxa"/>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Cs w:val="21"/>
              </w:rPr>
            </w:pPr>
            <w:r>
              <w:rPr>
                <w:rFonts w:hint="eastAsia"/>
              </w:rPr>
              <w:t>推荐的定标候选人</w:t>
            </w:r>
          </w:p>
        </w:tc>
      </w:tr>
      <w:tr>
        <w:tblPrEx>
          <w:tblCellMar>
            <w:top w:w="15" w:type="dxa"/>
            <w:left w:w="15" w:type="dxa"/>
            <w:bottom w:w="15" w:type="dxa"/>
            <w:right w:w="15" w:type="dxa"/>
          </w:tblCellMar>
        </w:tblPrEx>
        <w:trPr>
          <w:trHeight w:val="538" w:hRule="atLeast"/>
          <w:jc w:val="center"/>
        </w:trPr>
        <w:tc>
          <w:tcPr>
            <w:tcW w:w="186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Cs w:val="21"/>
              </w:rPr>
            </w:pPr>
            <w:r>
              <w:rPr>
                <w:rFonts w:hint="eastAsia" w:ascii="宋体" w:hAnsi="宋体" w:cs="宋体"/>
                <w:bCs/>
                <w:szCs w:val="21"/>
              </w:rPr>
              <w:t>投标人名称</w:t>
            </w:r>
          </w:p>
        </w:tc>
        <w:tc>
          <w:tcPr>
            <w:tcW w:w="136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Cs w:val="21"/>
              </w:rPr>
            </w:pPr>
            <w:r>
              <w:rPr>
                <w:rFonts w:hint="eastAsia" w:ascii="宋体" w:hAnsi="宋体" w:cs="宋体"/>
                <w:bCs/>
                <w:szCs w:val="21"/>
              </w:rPr>
              <w:t>A</w:t>
            </w:r>
          </w:p>
        </w:tc>
        <w:tc>
          <w:tcPr>
            <w:tcW w:w="139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Cs w:val="21"/>
              </w:rPr>
            </w:pPr>
            <w:r>
              <w:rPr>
                <w:rFonts w:hint="eastAsia" w:ascii="宋体" w:hAnsi="宋体" w:cs="宋体"/>
                <w:bCs/>
                <w:szCs w:val="21"/>
              </w:rPr>
              <w:t>B</w:t>
            </w:r>
          </w:p>
        </w:tc>
        <w:tc>
          <w:tcPr>
            <w:tcW w:w="15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r>
              <w:rPr>
                <w:rFonts w:hint="eastAsia" w:ascii="宋体" w:hAnsi="宋体" w:cs="宋体"/>
                <w:bCs/>
                <w:sz w:val="24"/>
              </w:rPr>
              <w:t>...</w:t>
            </w:r>
          </w:p>
        </w:tc>
        <w:tc>
          <w:tcPr>
            <w:tcW w:w="14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r>
              <w:rPr>
                <w:rFonts w:hint="eastAsia" w:ascii="宋体" w:hAnsi="宋体" w:cs="宋体"/>
                <w:bCs/>
                <w:sz w:val="24"/>
              </w:rPr>
              <w:t>...</w:t>
            </w:r>
          </w:p>
        </w:tc>
        <w:tc>
          <w:tcPr>
            <w:tcW w:w="151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r>
              <w:rPr>
                <w:rFonts w:hint="eastAsia" w:ascii="宋体" w:hAnsi="宋体" w:cs="宋体"/>
                <w:bCs/>
                <w:sz w:val="24"/>
              </w:rPr>
              <w:t>...</w:t>
            </w:r>
          </w:p>
        </w:tc>
      </w:tr>
      <w:tr>
        <w:tblPrEx>
          <w:tblCellMar>
            <w:top w:w="15" w:type="dxa"/>
            <w:left w:w="15" w:type="dxa"/>
            <w:bottom w:w="15" w:type="dxa"/>
            <w:right w:w="15" w:type="dxa"/>
          </w:tblCellMar>
        </w:tblPrEx>
        <w:trPr>
          <w:trHeight w:val="518" w:hRule="atLeast"/>
          <w:jc w:val="center"/>
        </w:trPr>
        <w:tc>
          <w:tcPr>
            <w:tcW w:w="186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投标报价（元）</w:t>
            </w:r>
          </w:p>
        </w:tc>
        <w:tc>
          <w:tcPr>
            <w:tcW w:w="136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39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4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1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r>
      <w:tr>
        <w:tblPrEx>
          <w:tblCellMar>
            <w:top w:w="15" w:type="dxa"/>
            <w:left w:w="15" w:type="dxa"/>
            <w:bottom w:w="15" w:type="dxa"/>
            <w:right w:w="15" w:type="dxa"/>
          </w:tblCellMar>
        </w:tblPrEx>
        <w:trPr>
          <w:trHeight w:val="526" w:hRule="atLeast"/>
          <w:jc w:val="center"/>
        </w:trPr>
        <w:tc>
          <w:tcPr>
            <w:tcW w:w="186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工期（天）</w:t>
            </w:r>
          </w:p>
        </w:tc>
        <w:tc>
          <w:tcPr>
            <w:tcW w:w="136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39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4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1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r>
      <w:tr>
        <w:tblPrEx>
          <w:tblCellMar>
            <w:top w:w="15" w:type="dxa"/>
            <w:left w:w="15" w:type="dxa"/>
            <w:bottom w:w="15" w:type="dxa"/>
            <w:right w:w="15" w:type="dxa"/>
          </w:tblCellMar>
        </w:tblPrEx>
        <w:trPr>
          <w:trHeight w:val="526" w:hRule="atLeast"/>
          <w:jc w:val="center"/>
        </w:trPr>
        <w:tc>
          <w:tcPr>
            <w:tcW w:w="186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承诺质量标准</w:t>
            </w:r>
          </w:p>
        </w:tc>
        <w:tc>
          <w:tcPr>
            <w:tcW w:w="136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39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4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1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r>
      <w:tr>
        <w:tblPrEx>
          <w:tblCellMar>
            <w:top w:w="15" w:type="dxa"/>
            <w:left w:w="15" w:type="dxa"/>
            <w:bottom w:w="15" w:type="dxa"/>
            <w:right w:w="15" w:type="dxa"/>
          </w:tblCellMar>
        </w:tblPrEx>
        <w:trPr>
          <w:trHeight w:val="526" w:hRule="atLeast"/>
          <w:jc w:val="center"/>
        </w:trPr>
        <w:tc>
          <w:tcPr>
            <w:tcW w:w="186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项目负责人</w:t>
            </w:r>
          </w:p>
        </w:tc>
        <w:tc>
          <w:tcPr>
            <w:tcW w:w="136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39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4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1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r>
      <w:tr>
        <w:tblPrEx>
          <w:tblCellMar>
            <w:top w:w="15" w:type="dxa"/>
            <w:left w:w="15" w:type="dxa"/>
            <w:bottom w:w="15" w:type="dxa"/>
            <w:right w:w="15" w:type="dxa"/>
          </w:tblCellMar>
        </w:tblPrEx>
        <w:trPr>
          <w:trHeight w:val="533" w:hRule="atLeast"/>
          <w:jc w:val="center"/>
        </w:trPr>
        <w:tc>
          <w:tcPr>
            <w:tcW w:w="186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项目负责人</w:t>
            </w:r>
          </w:p>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执业资格证书名称及编号</w:t>
            </w:r>
          </w:p>
        </w:tc>
        <w:tc>
          <w:tcPr>
            <w:tcW w:w="136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39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4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1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r>
      <w:tr>
        <w:tblPrEx>
          <w:tblCellMar>
            <w:top w:w="15" w:type="dxa"/>
            <w:left w:w="15" w:type="dxa"/>
            <w:bottom w:w="15" w:type="dxa"/>
            <w:right w:w="15" w:type="dxa"/>
          </w:tblCellMar>
        </w:tblPrEx>
        <w:trPr>
          <w:trHeight w:val="521" w:hRule="atLeast"/>
          <w:jc w:val="center"/>
        </w:trPr>
        <w:tc>
          <w:tcPr>
            <w:tcW w:w="186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项目管理机构</w:t>
            </w:r>
          </w:p>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人员信息</w:t>
            </w:r>
          </w:p>
        </w:tc>
        <w:tc>
          <w:tcPr>
            <w:tcW w:w="136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39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4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1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r>
      <w:tr>
        <w:tblPrEx>
          <w:tblCellMar>
            <w:top w:w="15" w:type="dxa"/>
            <w:left w:w="15" w:type="dxa"/>
            <w:bottom w:w="15" w:type="dxa"/>
            <w:right w:w="15" w:type="dxa"/>
          </w:tblCellMar>
        </w:tblPrEx>
        <w:trPr>
          <w:trHeight w:val="521" w:hRule="atLeast"/>
          <w:jc w:val="center"/>
        </w:trPr>
        <w:tc>
          <w:tcPr>
            <w:tcW w:w="186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重大偏差</w:t>
            </w:r>
          </w:p>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评审情况</w:t>
            </w:r>
          </w:p>
        </w:tc>
        <w:tc>
          <w:tcPr>
            <w:tcW w:w="136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39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4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1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r>
      <w:tr>
        <w:tblPrEx>
          <w:tblCellMar>
            <w:top w:w="15" w:type="dxa"/>
            <w:left w:w="15" w:type="dxa"/>
            <w:bottom w:w="15" w:type="dxa"/>
            <w:right w:w="15" w:type="dxa"/>
          </w:tblCellMar>
        </w:tblPrEx>
        <w:trPr>
          <w:trHeight w:val="521" w:hRule="atLeast"/>
          <w:jc w:val="center"/>
        </w:trPr>
        <w:tc>
          <w:tcPr>
            <w:tcW w:w="186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形式和资格</w:t>
            </w:r>
          </w:p>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评审情况</w:t>
            </w:r>
          </w:p>
        </w:tc>
        <w:tc>
          <w:tcPr>
            <w:tcW w:w="136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39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4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1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r>
      <w:tr>
        <w:tblPrEx>
          <w:tblCellMar>
            <w:top w:w="15" w:type="dxa"/>
            <w:left w:w="15" w:type="dxa"/>
            <w:bottom w:w="15" w:type="dxa"/>
            <w:right w:w="15" w:type="dxa"/>
          </w:tblCellMar>
        </w:tblPrEx>
        <w:trPr>
          <w:trHeight w:val="521" w:hRule="atLeast"/>
          <w:jc w:val="center"/>
        </w:trPr>
        <w:tc>
          <w:tcPr>
            <w:tcW w:w="186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技术标定性</w:t>
            </w:r>
          </w:p>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评审情况</w:t>
            </w:r>
          </w:p>
        </w:tc>
        <w:tc>
          <w:tcPr>
            <w:tcW w:w="136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39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4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1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r>
      <w:tr>
        <w:tblPrEx>
          <w:tblCellMar>
            <w:top w:w="15" w:type="dxa"/>
            <w:left w:w="15" w:type="dxa"/>
            <w:bottom w:w="15" w:type="dxa"/>
            <w:right w:w="15" w:type="dxa"/>
          </w:tblCellMar>
        </w:tblPrEx>
        <w:trPr>
          <w:trHeight w:val="521" w:hRule="atLeast"/>
          <w:jc w:val="center"/>
        </w:trPr>
        <w:tc>
          <w:tcPr>
            <w:tcW w:w="186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企业信用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评价情况</w:t>
            </w:r>
          </w:p>
        </w:tc>
        <w:tc>
          <w:tcPr>
            <w:tcW w:w="136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39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4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1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r>
      <w:tr>
        <w:tblPrEx>
          <w:tblCellMar>
            <w:top w:w="15" w:type="dxa"/>
            <w:left w:w="15" w:type="dxa"/>
            <w:bottom w:w="15" w:type="dxa"/>
            <w:right w:w="15" w:type="dxa"/>
          </w:tblCellMar>
        </w:tblPrEx>
        <w:trPr>
          <w:trHeight w:val="450" w:hRule="atLeast"/>
          <w:jc w:val="center"/>
        </w:trPr>
        <w:tc>
          <w:tcPr>
            <w:tcW w:w="186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pPr>
            <w:r>
              <w:rPr>
                <w:rFonts w:hint="eastAsia"/>
              </w:rPr>
              <w:t>业绩情况</w:t>
            </w:r>
          </w:p>
        </w:tc>
        <w:tc>
          <w:tcPr>
            <w:tcW w:w="136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39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4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c>
          <w:tcPr>
            <w:tcW w:w="151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宋体" w:hAnsi="宋体" w:cs="宋体"/>
                <w:bCs/>
                <w:sz w:val="24"/>
              </w:rPr>
            </w:pPr>
          </w:p>
        </w:tc>
      </w:tr>
      <w:tr>
        <w:tblPrEx>
          <w:tblCellMar>
            <w:top w:w="15" w:type="dxa"/>
            <w:left w:w="15" w:type="dxa"/>
            <w:bottom w:w="15" w:type="dxa"/>
            <w:right w:w="15" w:type="dxa"/>
          </w:tblCellMar>
        </w:tblPrEx>
        <w:trPr>
          <w:trHeight w:val="521" w:hRule="atLeast"/>
          <w:jc w:val="center"/>
        </w:trPr>
        <w:tc>
          <w:tcPr>
            <w:tcW w:w="9127" w:type="dxa"/>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投标人或者其他利害关系人对上述评标结果有异议的，应当在公示期间向招标人提出。有投诉的，应当向监督管理部门提出。</w:t>
            </w:r>
          </w:p>
          <w:p>
            <w:pPr>
              <w:keepNext w:val="0"/>
              <w:keepLines w:val="0"/>
              <w:pageBreakBefore w:val="0"/>
              <w:widowControl w:val="0"/>
              <w:kinsoku/>
              <w:wordWrap/>
              <w:overflowPunct/>
              <w:topLinePunct w:val="0"/>
              <w:autoSpaceDE/>
              <w:autoSpaceDN/>
              <w:bidi w:val="0"/>
              <w:adjustRightInd/>
              <w:snapToGrid/>
              <w:spacing w:line="300" w:lineRule="exact"/>
              <w:textAlignment w:val="auto"/>
              <w:rPr>
                <w:u w:val="single"/>
              </w:rPr>
            </w:pPr>
            <w:r>
              <w:rPr>
                <w:rFonts w:hint="eastAsia"/>
              </w:rPr>
              <w:t>招标人：</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u w:val="single"/>
              </w:rPr>
            </w:pPr>
            <w:r>
              <w:rPr>
                <w:rFonts w:hint="eastAsia"/>
              </w:rPr>
              <w:t>监督管理部门：</w:t>
            </w:r>
            <w:r>
              <w:rPr>
                <w:rFonts w:hint="eastAsia"/>
                <w:u w:val="single"/>
              </w:rPr>
              <w:t xml:space="preserve">         </w:t>
            </w:r>
            <w:r>
              <w:rPr>
                <w:rFonts w:hint="eastAsia"/>
              </w:rPr>
              <w:t>联系方式：</w:t>
            </w:r>
            <w:r>
              <w:rPr>
                <w:rFonts w:hint="eastAsia"/>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Cs/>
              </w:rPr>
            </w:pPr>
            <w:r>
              <w:rPr>
                <w:rFonts w:hint="eastAsia"/>
              </w:rPr>
              <w:t>公示期满对评标结果没有异议的，招标人将按照招标文件的规定组织定标活动。</w:t>
            </w:r>
          </w:p>
        </w:tc>
      </w:tr>
    </w:tbl>
    <w:p>
      <w:pPr>
        <w:pStyle w:val="3"/>
        <w:keepNext/>
        <w:keepLines/>
        <w:pageBreakBefore w:val="0"/>
        <w:widowControl w:val="0"/>
        <w:kinsoku/>
        <w:wordWrap/>
        <w:overflowPunct/>
        <w:topLinePunct w:val="0"/>
        <w:autoSpaceDE/>
        <w:autoSpaceDN/>
        <w:bidi w:val="0"/>
        <w:adjustRightInd/>
        <w:snapToGrid/>
        <w:spacing w:before="0" w:after="0" w:line="300" w:lineRule="exact"/>
        <w:textAlignment w:val="auto"/>
        <w:rPr>
          <w:rFonts w:ascii="Calibri" w:hAnsi="Calibri" w:eastAsia="宋体"/>
          <w:b w:val="0"/>
          <w:bCs w:val="0"/>
          <w:sz w:val="21"/>
          <w:szCs w:val="24"/>
        </w:rPr>
      </w:pPr>
      <w:bookmarkStart w:id="10" w:name="_Toc1011"/>
      <w:bookmarkStart w:id="11" w:name="_Toc18232"/>
      <w:bookmarkStart w:id="12" w:name="_Toc21772"/>
      <w:bookmarkStart w:id="13" w:name="_Toc7889"/>
      <w:bookmarkStart w:id="14" w:name="_Toc4673"/>
      <w:bookmarkStart w:id="15" w:name="_Toc11736"/>
      <w:r>
        <w:rPr>
          <w:rFonts w:hint="eastAsia" w:ascii="Calibri" w:hAnsi="Calibri" w:eastAsia="宋体"/>
          <w:b w:val="0"/>
          <w:bCs w:val="0"/>
          <w:sz w:val="21"/>
          <w:szCs w:val="24"/>
        </w:rPr>
        <w:t>备注：</w:t>
      </w:r>
    </w:p>
    <w:p>
      <w:pPr>
        <w:pStyle w:val="3"/>
        <w:keepNext/>
        <w:keepLines/>
        <w:pageBreakBefore w:val="0"/>
        <w:widowControl w:val="0"/>
        <w:kinsoku/>
        <w:wordWrap/>
        <w:overflowPunct/>
        <w:topLinePunct w:val="0"/>
        <w:autoSpaceDE/>
        <w:autoSpaceDN/>
        <w:bidi w:val="0"/>
        <w:adjustRightInd/>
        <w:snapToGrid/>
        <w:spacing w:before="0" w:after="0" w:line="300" w:lineRule="exact"/>
        <w:textAlignment w:val="auto"/>
        <w:rPr>
          <w:rFonts w:ascii="Calibri" w:hAnsi="Calibri" w:eastAsia="宋体"/>
          <w:b w:val="0"/>
          <w:bCs w:val="0"/>
          <w:sz w:val="21"/>
          <w:szCs w:val="24"/>
        </w:rPr>
      </w:pPr>
      <w:r>
        <w:rPr>
          <w:rFonts w:hint="eastAsia" w:ascii="Calibri" w:hAnsi="Calibri" w:eastAsia="宋体"/>
          <w:b w:val="0"/>
          <w:bCs w:val="0"/>
          <w:sz w:val="21"/>
          <w:szCs w:val="24"/>
        </w:rPr>
        <w:t>1、技术标定性评审情况需列明经评标委员会评审，对定标候选人技术标的合理化建议，如：技术标（技术标准、质量控制、安全措施、工期等因素）的优点、存在缺陷或签订合同前应注意和澄清的事项。</w:t>
      </w:r>
    </w:p>
    <w:p>
      <w:pPr>
        <w:pStyle w:val="3"/>
        <w:keepNext/>
        <w:keepLines/>
        <w:pageBreakBefore w:val="0"/>
        <w:widowControl w:val="0"/>
        <w:kinsoku/>
        <w:wordWrap/>
        <w:overflowPunct/>
        <w:topLinePunct w:val="0"/>
        <w:autoSpaceDE/>
        <w:autoSpaceDN/>
        <w:bidi w:val="0"/>
        <w:adjustRightInd/>
        <w:snapToGrid/>
        <w:spacing w:before="0" w:after="0" w:line="300" w:lineRule="exact"/>
        <w:textAlignment w:val="auto"/>
        <w:rPr>
          <w:rFonts w:ascii="Calibri" w:hAnsi="Calibri" w:eastAsia="宋体"/>
          <w:b w:val="0"/>
          <w:bCs w:val="0"/>
          <w:sz w:val="21"/>
          <w:szCs w:val="24"/>
        </w:rPr>
      </w:pPr>
      <w:r>
        <w:rPr>
          <w:rFonts w:hint="eastAsia" w:ascii="Calibri" w:hAnsi="Calibri" w:eastAsia="宋体"/>
          <w:b w:val="0"/>
          <w:bCs w:val="0"/>
          <w:sz w:val="21"/>
          <w:szCs w:val="24"/>
        </w:rPr>
        <w:t>2、需公示的业绩情况内容包括企业业绩和项目负责人业绩等信息（如有）。</w:t>
      </w:r>
    </w:p>
    <w:p>
      <w:pPr>
        <w:rPr>
          <w:rFonts w:hint="eastAsia" w:ascii="仿宋" w:hAnsi="仿宋" w:eastAsia="仿宋" w:cs="仿宋"/>
          <w:b/>
          <w:kern w:val="44"/>
          <w:sz w:val="32"/>
          <w:szCs w:val="32"/>
        </w:rPr>
      </w:pPr>
      <w:r>
        <w:rPr>
          <w:rFonts w:hint="eastAsia" w:ascii="仿宋" w:hAnsi="仿宋" w:eastAsia="仿宋" w:cs="仿宋"/>
          <w:b/>
          <w:kern w:val="44"/>
          <w:sz w:val="32"/>
          <w:szCs w:val="32"/>
        </w:rPr>
        <w:br w:type="page"/>
      </w:r>
    </w:p>
    <w:p>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仿宋_GB2312" w:hAnsi="仿宋_GB2312" w:eastAsia="仿宋_GB2312" w:cs="仿宋_GB2312"/>
          <w:bCs w:val="0"/>
          <w:color w:val="auto"/>
          <w:kern w:val="44"/>
        </w:rPr>
      </w:pPr>
      <w:r>
        <w:rPr>
          <w:rFonts w:hint="eastAsia" w:ascii="仿宋_GB2312" w:hAnsi="仿宋_GB2312" w:eastAsia="仿宋_GB2312" w:cs="仿宋_GB2312"/>
          <w:bCs w:val="0"/>
          <w:color w:val="auto"/>
          <w:kern w:val="44"/>
        </w:rPr>
        <w:t>附表2：</w:t>
      </w:r>
    </w:p>
    <w:p>
      <w:pPr>
        <w:pStyle w:val="3"/>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Cs w:val="0"/>
          <w:color w:val="auto"/>
          <w:kern w:val="44"/>
        </w:rPr>
      </w:pPr>
      <w:r>
        <w:rPr>
          <w:rFonts w:hint="eastAsia" w:ascii="仿宋_GB2312" w:hAnsi="仿宋_GB2312" w:eastAsia="仿宋_GB2312" w:cs="仿宋_GB2312"/>
          <w:bCs w:val="0"/>
          <w:color w:val="auto"/>
          <w:kern w:val="44"/>
        </w:rPr>
        <w:t>票决定标选票第</w:t>
      </w:r>
      <w:r>
        <w:rPr>
          <w:rFonts w:hint="eastAsia" w:ascii="仿宋_GB2312" w:hAnsi="仿宋_GB2312" w:eastAsia="仿宋_GB2312" w:cs="仿宋_GB2312"/>
          <w:bCs w:val="0"/>
          <w:color w:val="auto"/>
          <w:kern w:val="44"/>
          <w:u w:val="single"/>
        </w:rPr>
        <w:t xml:space="preserve">  </w:t>
      </w:r>
      <w:r>
        <w:rPr>
          <w:rFonts w:hint="eastAsia" w:ascii="仿宋_GB2312" w:hAnsi="仿宋_GB2312" w:eastAsia="仿宋_GB2312" w:cs="仿宋_GB2312"/>
          <w:bCs w:val="0"/>
          <w:color w:val="auto"/>
          <w:kern w:val="44"/>
        </w:rPr>
        <w:t>轮（样本）</w:t>
      </w:r>
      <w:bookmarkEnd w:id="10"/>
      <w:bookmarkEnd w:id="11"/>
      <w:bookmarkEnd w:id="12"/>
      <w:bookmarkEnd w:id="13"/>
      <w:bookmarkEnd w:id="14"/>
      <w:bookmarkEnd w:id="15"/>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招标项目（标段）名称：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64"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 w:val="24"/>
              </w:rPr>
            </w:pPr>
            <w:r>
              <w:rPr>
                <w:rFonts w:hint="eastAsia" w:ascii="宋体" w:hAnsi="宋体" w:cs="宋体"/>
                <w:color w:val="auto"/>
                <w:sz w:val="24"/>
              </w:rPr>
              <w:t>推荐的中标人名称</w:t>
            </w:r>
          </w:p>
        </w:tc>
        <w:tc>
          <w:tcPr>
            <w:tcW w:w="6496" w:type="dxa"/>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9060" w:type="dxa"/>
            <w:gridSpan w:val="2"/>
          </w:tcPr>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bCs/>
                <w:color w:val="auto"/>
                <w:sz w:val="24"/>
              </w:rPr>
            </w:pPr>
            <w:r>
              <w:rPr>
                <w:rFonts w:hint="eastAsia" w:ascii="宋体" w:hAnsi="宋体" w:cs="宋体"/>
                <w:color w:val="auto"/>
                <w:sz w:val="24"/>
              </w:rPr>
              <w:t>推荐理由：</w:t>
            </w:r>
          </w:p>
        </w:tc>
      </w:tr>
    </w:tbl>
    <w:p>
      <w:pPr>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定标地点：</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 xml:space="preserve">定标委员（签名）：                                            </w:t>
      </w:r>
    </w:p>
    <w:p>
      <w:pPr>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color w:val="auto"/>
          <w:sz w:val="24"/>
        </w:rPr>
      </w:pPr>
    </w:p>
    <w:p>
      <w:pPr>
        <w:pageBreakBefore w:val="0"/>
        <w:widowControl w:val="0"/>
        <w:kinsoku/>
        <w:wordWrap/>
        <w:overflowPunct/>
        <w:topLinePunct w:val="0"/>
        <w:autoSpaceDE/>
        <w:autoSpaceDN/>
        <w:bidi w:val="0"/>
        <w:adjustRightInd/>
        <w:snapToGrid/>
        <w:spacing w:line="400" w:lineRule="exact"/>
        <w:jc w:val="right"/>
        <w:textAlignment w:val="auto"/>
        <w:rPr>
          <w:rFonts w:ascii="Arial" w:hAnsi="Arial" w:cs="Arial"/>
          <w:color w:val="auto"/>
        </w:rPr>
      </w:pPr>
      <w:r>
        <w:rPr>
          <w:rFonts w:hint="eastAsia" w:ascii="宋体" w:hAnsi="宋体" w:cs="宋体"/>
          <w:color w:val="auto"/>
          <w:sz w:val="24"/>
        </w:rPr>
        <w:t>年   月   日</w:t>
      </w:r>
    </w:p>
    <w:p>
      <w:pPr>
        <w:pageBreakBefore w:val="0"/>
        <w:widowControl w:val="0"/>
        <w:kinsoku/>
        <w:wordWrap/>
        <w:overflowPunct/>
        <w:topLinePunct w:val="0"/>
        <w:autoSpaceDE/>
        <w:autoSpaceDN/>
        <w:bidi w:val="0"/>
        <w:adjustRightInd/>
        <w:snapToGrid/>
        <w:spacing w:line="400" w:lineRule="exact"/>
        <w:textAlignment w:val="auto"/>
        <w:rPr>
          <w:color w:val="auto"/>
        </w:rPr>
      </w:pPr>
      <w:r>
        <w:rPr>
          <w:rFonts w:ascii="Arial" w:hAnsi="Arial" w:cs="Arial"/>
          <w:color w:val="auto"/>
        </w:rPr>
        <w:t>﹎﹎﹎﹎﹎﹎﹎﹎﹎﹎﹎﹎﹎﹎﹎﹎﹎﹎﹎﹎﹎﹎﹎﹎﹎﹎﹎﹎﹎﹎﹎﹎﹎﹎﹎﹎﹎﹎﹎</w:t>
      </w:r>
    </w:p>
    <w:p>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仿宋_GB2312" w:hAnsi="仿宋_GB2312" w:eastAsia="仿宋_GB2312" w:cs="仿宋_GB2312"/>
          <w:bCs w:val="0"/>
          <w:color w:val="auto"/>
          <w:kern w:val="44"/>
        </w:rPr>
      </w:pPr>
      <w:bookmarkStart w:id="16" w:name="_Toc4192"/>
      <w:bookmarkStart w:id="17" w:name="_Toc30009"/>
      <w:bookmarkStart w:id="18" w:name="_Toc23772"/>
      <w:bookmarkStart w:id="19" w:name="_Toc11123"/>
      <w:bookmarkStart w:id="20" w:name="_Toc30649"/>
      <w:bookmarkStart w:id="21" w:name="_Toc129"/>
      <w:r>
        <w:rPr>
          <w:rFonts w:hint="eastAsia" w:ascii="仿宋_GB2312" w:hAnsi="仿宋_GB2312" w:eastAsia="仿宋_GB2312" w:cs="仿宋_GB2312"/>
          <w:bCs w:val="0"/>
          <w:color w:val="auto"/>
          <w:kern w:val="44"/>
        </w:rPr>
        <w:t>附表3：</w:t>
      </w:r>
    </w:p>
    <w:p>
      <w:pPr>
        <w:pStyle w:val="3"/>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Cs w:val="0"/>
          <w:color w:val="auto"/>
          <w:kern w:val="44"/>
        </w:rPr>
      </w:pPr>
      <w:r>
        <w:rPr>
          <w:rFonts w:hint="eastAsia" w:ascii="仿宋_GB2312" w:hAnsi="仿宋_GB2312" w:eastAsia="仿宋_GB2312" w:cs="仿宋_GB2312"/>
          <w:bCs w:val="0"/>
          <w:color w:val="auto"/>
          <w:kern w:val="44"/>
        </w:rPr>
        <w:t>票决定标选票第</w:t>
      </w:r>
      <w:r>
        <w:rPr>
          <w:rFonts w:hint="eastAsia" w:ascii="仿宋_GB2312" w:hAnsi="仿宋_GB2312" w:eastAsia="仿宋_GB2312" w:cs="仿宋_GB2312"/>
          <w:bCs w:val="0"/>
          <w:color w:val="auto"/>
          <w:kern w:val="44"/>
          <w:u w:val="single"/>
        </w:rPr>
        <w:t xml:space="preserve">  </w:t>
      </w:r>
      <w:r>
        <w:rPr>
          <w:rFonts w:hint="eastAsia" w:ascii="仿宋_GB2312" w:hAnsi="仿宋_GB2312" w:eastAsia="仿宋_GB2312" w:cs="仿宋_GB2312"/>
          <w:bCs w:val="0"/>
          <w:color w:val="auto"/>
          <w:kern w:val="44"/>
        </w:rPr>
        <w:t>轮计票汇总表（样本）</w:t>
      </w:r>
      <w:bookmarkEnd w:id="16"/>
      <w:bookmarkEnd w:id="17"/>
      <w:bookmarkEnd w:id="18"/>
      <w:bookmarkEnd w:id="19"/>
      <w:bookmarkEnd w:id="20"/>
      <w:bookmarkEnd w:id="21"/>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招标项目（标段）名称：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608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9"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序号</w:t>
            </w:r>
          </w:p>
        </w:tc>
        <w:tc>
          <w:tcPr>
            <w:tcW w:w="6525"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投标人名称</w:t>
            </w:r>
          </w:p>
        </w:tc>
        <w:tc>
          <w:tcPr>
            <w:tcW w:w="1546"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推荐为中标人的票数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9"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1</w:t>
            </w:r>
          </w:p>
        </w:tc>
        <w:tc>
          <w:tcPr>
            <w:tcW w:w="6525" w:type="dxa"/>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p>
        </w:tc>
        <w:tc>
          <w:tcPr>
            <w:tcW w:w="1546" w:type="dxa"/>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9"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2</w:t>
            </w:r>
          </w:p>
        </w:tc>
        <w:tc>
          <w:tcPr>
            <w:tcW w:w="6525" w:type="dxa"/>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p>
        </w:tc>
        <w:tc>
          <w:tcPr>
            <w:tcW w:w="1546" w:type="dxa"/>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9"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3</w:t>
            </w:r>
          </w:p>
        </w:tc>
        <w:tc>
          <w:tcPr>
            <w:tcW w:w="6525" w:type="dxa"/>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p>
        </w:tc>
        <w:tc>
          <w:tcPr>
            <w:tcW w:w="1546" w:type="dxa"/>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9" w:type="dxa"/>
            <w:vAlign w:val="center"/>
          </w:tcPr>
          <w:p>
            <w:pPr>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rPr>
            </w:pPr>
            <w:r>
              <w:rPr>
                <w:rFonts w:hint="eastAsia" w:ascii="宋体" w:hAnsi="宋体" w:cs="宋体"/>
                <w:color w:val="auto"/>
                <w:sz w:val="24"/>
              </w:rPr>
              <w:t>……</w:t>
            </w:r>
          </w:p>
        </w:tc>
        <w:tc>
          <w:tcPr>
            <w:tcW w:w="6525" w:type="dxa"/>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p>
        </w:tc>
        <w:tc>
          <w:tcPr>
            <w:tcW w:w="1546" w:type="dxa"/>
          </w:tcPr>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p>
        </w:tc>
      </w:tr>
    </w:tbl>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定标地点：                                             年     月    日</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定标委员会负责人（签名）：                           计票人签名：</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r>
        <w:rPr>
          <w:rFonts w:hint="eastAsia" w:ascii="宋体" w:hAnsi="宋体" w:cs="宋体"/>
          <w:color w:val="auto"/>
          <w:sz w:val="24"/>
        </w:rPr>
        <w:t>定标委员会成员（签名）：                             监票人签名：</w:t>
      </w:r>
      <w:bookmarkStart w:id="22" w:name="_Toc9759"/>
      <w:bookmarkStart w:id="23" w:name="_Toc29913"/>
      <w:bookmarkStart w:id="24" w:name="_Toc32585"/>
      <w:bookmarkStart w:id="25" w:name="_Toc31398"/>
      <w:bookmarkStart w:id="26" w:name="_Toc5832"/>
      <w:bookmarkStart w:id="27" w:name="_Toc26458"/>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rPr>
      </w:pPr>
    </w:p>
    <w:p>
      <w:pPr>
        <w:pStyle w:val="3"/>
        <w:pageBreakBefore w:val="0"/>
        <w:kinsoku/>
        <w:wordWrap/>
        <w:overflowPunct/>
        <w:topLinePunct w:val="0"/>
        <w:autoSpaceDE/>
        <w:autoSpaceDN/>
        <w:bidi w:val="0"/>
        <w:adjustRightInd/>
        <w:snapToGrid/>
        <w:spacing w:before="0" w:after="0" w:line="400" w:lineRule="exact"/>
        <w:textAlignment w:val="auto"/>
        <w:rPr>
          <w:rFonts w:hint="eastAsia" w:ascii="仿宋_GB2312" w:hAnsi="仿宋_GB2312" w:eastAsia="仿宋_GB2312" w:cs="仿宋_GB2312"/>
          <w:bCs w:val="0"/>
          <w:color w:val="auto"/>
          <w:kern w:val="44"/>
        </w:rPr>
      </w:pPr>
      <w:r>
        <w:rPr>
          <w:rFonts w:hint="eastAsia" w:ascii="仿宋_GB2312" w:hAnsi="仿宋_GB2312" w:eastAsia="仿宋_GB2312" w:cs="仿宋_GB2312"/>
          <w:bCs w:val="0"/>
          <w:color w:val="auto"/>
          <w:kern w:val="44"/>
        </w:rPr>
        <w:t>附</w:t>
      </w:r>
      <w:bookmarkEnd w:id="22"/>
      <w:r>
        <w:rPr>
          <w:rFonts w:hint="eastAsia" w:ascii="仿宋_GB2312" w:hAnsi="仿宋_GB2312" w:eastAsia="仿宋_GB2312" w:cs="仿宋_GB2312"/>
          <w:bCs w:val="0"/>
          <w:color w:val="auto"/>
          <w:kern w:val="44"/>
        </w:rPr>
        <w:t>表4：</w:t>
      </w:r>
    </w:p>
    <w:p>
      <w:pPr>
        <w:pStyle w:val="3"/>
        <w:pageBreakBefore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Cs w:val="0"/>
          <w:color w:val="auto"/>
          <w:kern w:val="44"/>
        </w:rPr>
      </w:pPr>
      <w:bookmarkStart w:id="28" w:name="_Toc1589"/>
      <w:r>
        <w:rPr>
          <w:rFonts w:hint="eastAsia" w:ascii="仿宋_GB2312" w:hAnsi="仿宋_GB2312" w:eastAsia="仿宋_GB2312" w:cs="仿宋_GB2312"/>
          <w:bCs w:val="0"/>
          <w:color w:val="auto"/>
          <w:kern w:val="44"/>
        </w:rPr>
        <w:t>定标结果（中标候选人）公示</w:t>
      </w:r>
    </w:p>
    <w:p>
      <w:pPr>
        <w:pageBreakBefore w:val="0"/>
        <w:kinsoku/>
        <w:wordWrap/>
        <w:overflowPunct/>
        <w:topLinePunct w:val="0"/>
        <w:autoSpaceDE/>
        <w:autoSpaceDN/>
        <w:bidi w:val="0"/>
        <w:adjustRightInd/>
        <w:snapToGrid/>
        <w:spacing w:line="400" w:lineRule="exact"/>
        <w:textAlignment w:val="auto"/>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317"/>
        <w:gridCol w:w="1300"/>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44"/>
                <w:szCs w:val="44"/>
                <w:lang w:bidi="ar"/>
              </w:rPr>
            </w:pPr>
            <w:r>
              <w:rPr>
                <w:rFonts w:hint="eastAsia" w:ascii="宋体" w:hAnsi="宋体" w:cs="宋体"/>
                <w:color w:val="000000"/>
                <w:kern w:val="0"/>
                <w:sz w:val="32"/>
                <w:szCs w:val="32"/>
                <w:lang w:bidi="ar"/>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04"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kern w:val="0"/>
                <w:sz w:val="24"/>
                <w:lang w:bidi="ar"/>
              </w:rPr>
              <w:t>招标人</w:t>
            </w:r>
          </w:p>
        </w:tc>
        <w:tc>
          <w:tcPr>
            <w:tcW w:w="6818" w:type="dxa"/>
            <w:gridSpan w:val="3"/>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704"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kern w:val="0"/>
                <w:sz w:val="24"/>
                <w:lang w:bidi="ar"/>
              </w:rPr>
              <w:t>项目名称</w:t>
            </w:r>
          </w:p>
        </w:tc>
        <w:tc>
          <w:tcPr>
            <w:tcW w:w="6818" w:type="dxa"/>
            <w:gridSpan w:val="3"/>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04"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kern w:val="0"/>
                <w:sz w:val="24"/>
                <w:lang w:bidi="ar"/>
              </w:rPr>
              <w:t>评标时间</w:t>
            </w:r>
          </w:p>
        </w:tc>
        <w:tc>
          <w:tcPr>
            <w:tcW w:w="6818" w:type="dxa"/>
            <w:gridSpan w:val="3"/>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04"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kern w:val="0"/>
                <w:sz w:val="24"/>
                <w:lang w:bidi="ar"/>
              </w:rPr>
              <w:t>定标时间</w:t>
            </w:r>
          </w:p>
        </w:tc>
        <w:tc>
          <w:tcPr>
            <w:tcW w:w="6818" w:type="dxa"/>
            <w:gridSpan w:val="3"/>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04"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kern w:val="0"/>
                <w:sz w:val="24"/>
                <w:lang w:bidi="ar"/>
              </w:rPr>
              <w:t>定标方法</w:t>
            </w:r>
          </w:p>
        </w:tc>
        <w:tc>
          <w:tcPr>
            <w:tcW w:w="6818" w:type="dxa"/>
            <w:gridSpan w:val="3"/>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04"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kern w:val="0"/>
                <w:sz w:val="24"/>
                <w:lang w:bidi="ar"/>
              </w:rPr>
              <w:t>拟中标人</w:t>
            </w:r>
          </w:p>
        </w:tc>
        <w:tc>
          <w:tcPr>
            <w:tcW w:w="6818" w:type="dxa"/>
            <w:gridSpan w:val="3"/>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44"/>
                <w:szCs w:val="44"/>
                <w:lang w:bidi="ar"/>
              </w:rPr>
            </w:pPr>
            <w:r>
              <w:rPr>
                <w:rFonts w:hint="eastAsia" w:ascii="宋体" w:hAnsi="宋体" w:cs="宋体"/>
                <w:color w:val="000000"/>
                <w:kern w:val="0"/>
                <w:sz w:val="32"/>
                <w:szCs w:val="32"/>
                <w:lang w:bidi="ar"/>
              </w:rPr>
              <w:t>二、定标结果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4"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kern w:val="0"/>
                <w:sz w:val="24"/>
                <w:lang w:bidi="ar"/>
              </w:rPr>
              <w:t>序号</w:t>
            </w:r>
          </w:p>
        </w:tc>
        <w:tc>
          <w:tcPr>
            <w:tcW w:w="3317"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kern w:val="0"/>
                <w:sz w:val="24"/>
                <w:lang w:bidi="ar"/>
              </w:rPr>
              <w:t>中标候选人名称</w:t>
            </w:r>
          </w:p>
        </w:tc>
        <w:tc>
          <w:tcPr>
            <w:tcW w:w="1300"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rPr>
            </w:pPr>
            <w:r>
              <w:rPr>
                <w:rFonts w:hint="eastAsia" w:ascii="宋体" w:hAnsi="宋体" w:cs="宋体"/>
                <w:color w:val="000000"/>
                <w:kern w:val="0"/>
                <w:sz w:val="24"/>
                <w:lang w:bidi="ar"/>
              </w:rPr>
              <w:t>得票数</w:t>
            </w:r>
          </w:p>
        </w:tc>
        <w:tc>
          <w:tcPr>
            <w:tcW w:w="2201" w:type="dxa"/>
            <w:vAlign w:val="center"/>
          </w:tcPr>
          <w:p>
            <w:pPr>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04"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3317"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c>
          <w:tcPr>
            <w:tcW w:w="1300"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c>
          <w:tcPr>
            <w:tcW w:w="2201"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704"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3317"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c>
          <w:tcPr>
            <w:tcW w:w="1300"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c>
          <w:tcPr>
            <w:tcW w:w="2201"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4"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3</w:t>
            </w:r>
          </w:p>
        </w:tc>
        <w:tc>
          <w:tcPr>
            <w:tcW w:w="3317"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c>
          <w:tcPr>
            <w:tcW w:w="1300"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c>
          <w:tcPr>
            <w:tcW w:w="2201"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04"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3317"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c>
          <w:tcPr>
            <w:tcW w:w="1300"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c>
          <w:tcPr>
            <w:tcW w:w="2201"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04" w:type="dxa"/>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lang w:bidi="ar"/>
              </w:rPr>
            </w:pPr>
          </w:p>
        </w:tc>
        <w:tc>
          <w:tcPr>
            <w:tcW w:w="3317"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c>
          <w:tcPr>
            <w:tcW w:w="1300"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c>
          <w:tcPr>
            <w:tcW w:w="2201" w:type="dxa"/>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522" w:type="dxa"/>
            <w:gridSpan w:val="4"/>
            <w:vAlign w:val="center"/>
          </w:tcPr>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本公示期自：</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起，至</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止。</w:t>
            </w:r>
          </w:p>
          <w:p>
            <w:pPr>
              <w:pageBreakBefore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lang w:bidi="ar"/>
              </w:rPr>
            </w:pPr>
            <w:r>
              <w:rPr>
                <w:rFonts w:hint="eastAsia" w:ascii="宋体" w:hAnsi="宋体" w:cs="宋体"/>
                <w:color w:val="000000"/>
                <w:kern w:val="0"/>
                <w:sz w:val="24"/>
                <w:lang w:bidi="ar"/>
              </w:rPr>
              <w:t>投标人或者其他利害关系人对上述结果有异议的，应当在公示期间向招标人提出。公示期满对定标结果没有异议的，招标人将发布中标公告并签发中标通知书。涉及投诉举报的，执行本导则三十</w:t>
            </w:r>
            <w:r>
              <w:rPr>
                <w:rFonts w:hint="eastAsia" w:ascii="宋体" w:hAnsi="宋体" w:cs="宋体"/>
                <w:color w:val="000000"/>
                <w:kern w:val="0"/>
                <w:sz w:val="24"/>
                <w:lang w:eastAsia="zh-CN" w:bidi="ar"/>
              </w:rPr>
              <w:t>二</w:t>
            </w:r>
            <w:r>
              <w:rPr>
                <w:rFonts w:hint="eastAsia" w:ascii="宋体" w:hAnsi="宋体" w:cs="宋体"/>
                <w:color w:val="000000"/>
                <w:kern w:val="0"/>
                <w:sz w:val="24"/>
                <w:lang w:bidi="ar"/>
              </w:rPr>
              <w:t>条规定。</w:t>
            </w:r>
          </w:p>
        </w:tc>
      </w:tr>
    </w:tbl>
    <w:p>
      <w:pPr>
        <w:widowControl/>
        <w:jc w:val="left"/>
        <w:rPr>
          <w:rFonts w:hint="eastAsia" w:ascii="仿宋" w:hAnsi="仿宋" w:eastAsia="仿宋" w:cs="仿宋"/>
          <w:b/>
          <w:kern w:val="44"/>
          <w:sz w:val="32"/>
          <w:szCs w:val="32"/>
        </w:rPr>
      </w:pPr>
    </w:p>
    <w:p>
      <w:pPr>
        <w:widowControl/>
        <w:spacing w:line="360" w:lineRule="auto"/>
        <w:jc w:val="left"/>
        <w:rPr>
          <w:rFonts w:hint="eastAsia" w:ascii="仿宋" w:hAnsi="仿宋" w:eastAsia="仿宋" w:cs="仿宋"/>
          <w:b/>
          <w:kern w:val="44"/>
          <w:sz w:val="32"/>
          <w:szCs w:val="32"/>
        </w:rPr>
      </w:pPr>
    </w:p>
    <w:p>
      <w:pPr>
        <w:pageBreakBefore w:val="0"/>
        <w:widowControl/>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kern w:val="44"/>
          <w:sz w:val="32"/>
          <w:szCs w:val="32"/>
        </w:rPr>
      </w:pPr>
      <w:r>
        <w:rPr>
          <w:rFonts w:hint="eastAsia" w:ascii="仿宋_GB2312" w:hAnsi="仿宋_GB2312" w:eastAsia="仿宋_GB2312" w:cs="仿宋_GB2312"/>
          <w:b/>
          <w:kern w:val="44"/>
          <w:sz w:val="32"/>
          <w:szCs w:val="32"/>
        </w:rPr>
        <w:t>附表5：</w:t>
      </w:r>
    </w:p>
    <w:p>
      <w:pPr>
        <w:pStyle w:val="3"/>
        <w:pageBreakBefore w:val="0"/>
        <w:kinsoku/>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bCs w:val="0"/>
          <w:kern w:val="44"/>
        </w:rPr>
      </w:pPr>
      <w:r>
        <w:rPr>
          <w:rFonts w:hint="eastAsia" w:ascii="仿宋_GB2312" w:hAnsi="仿宋_GB2312" w:eastAsia="仿宋_GB2312" w:cs="仿宋_GB2312"/>
          <w:bCs w:val="0"/>
          <w:kern w:val="44"/>
        </w:rPr>
        <w:t>（工程名称） 中标结果</w:t>
      </w:r>
      <w:bookmarkEnd w:id="23"/>
      <w:bookmarkEnd w:id="24"/>
      <w:bookmarkEnd w:id="25"/>
      <w:bookmarkEnd w:id="26"/>
      <w:bookmarkEnd w:id="27"/>
      <w:bookmarkEnd w:id="28"/>
      <w:r>
        <w:rPr>
          <w:rFonts w:hint="eastAsia" w:ascii="仿宋_GB2312" w:hAnsi="仿宋_GB2312" w:eastAsia="仿宋_GB2312" w:cs="仿宋_GB2312"/>
          <w:bCs w:val="0"/>
          <w:kern w:val="44"/>
        </w:rPr>
        <w:t>公告</w:t>
      </w:r>
    </w:p>
    <w:p>
      <w:pPr>
        <w:pageBreakBefore w:val="0"/>
        <w:kinsoku/>
        <w:overflowPunct/>
        <w:topLinePunct w:val="0"/>
        <w:autoSpaceDE/>
        <w:autoSpaceDN/>
        <w:bidi w:val="0"/>
        <w:adjustRightInd/>
        <w:snapToGrid/>
        <w:spacing w:line="560" w:lineRule="exact"/>
        <w:textAlignment w:val="auto"/>
      </w:pPr>
    </w:p>
    <w:p>
      <w:pPr>
        <w:pageBreakBefore w:val="0"/>
        <w:widowControl/>
        <w:kinsoku/>
        <w:overflowPunct/>
        <w:topLinePunct w:val="0"/>
        <w:autoSpaceDE/>
        <w:autoSpaceDN/>
        <w:bidi w:val="0"/>
        <w:adjustRightInd/>
        <w:snapToGrid/>
        <w:spacing w:line="560" w:lineRule="exact"/>
        <w:jc w:val="left"/>
        <w:textAlignment w:val="auto"/>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项目类别：</w:t>
      </w:r>
      <w:r>
        <w:rPr>
          <w:rFonts w:hint="eastAsia" w:ascii="宋体" w:hAnsi="宋体" w:cs="宋体"/>
          <w:sz w:val="24"/>
          <w:u w:val="single"/>
        </w:rPr>
        <w:t xml:space="preserve">       </w:t>
      </w:r>
    </w:p>
    <w:p>
      <w:pPr>
        <w:pageBreakBefore w:val="0"/>
        <w:widowControl/>
        <w:kinsoku/>
        <w:overflowPunct/>
        <w:topLinePunct w:val="0"/>
        <w:autoSpaceDE/>
        <w:autoSpaceDN/>
        <w:bidi w:val="0"/>
        <w:adjustRightInd/>
        <w:snapToGrid/>
        <w:spacing w:line="560" w:lineRule="exact"/>
        <w:jc w:val="left"/>
        <w:textAlignment w:val="auto"/>
        <w:rPr>
          <w:rFonts w:hint="eastAsia" w:ascii="宋体" w:hAnsi="宋体" w:cs="宋体"/>
          <w:sz w:val="24"/>
          <w:u w:val="single"/>
        </w:rPr>
      </w:pPr>
      <w:r>
        <w:rPr>
          <w:rFonts w:hint="eastAsia" w:ascii="宋体" w:hAnsi="宋体" w:cs="宋体"/>
          <w:sz w:val="24"/>
        </w:rPr>
        <w:t xml:space="preserve">一、招标人： </w:t>
      </w:r>
      <w:r>
        <w:rPr>
          <w:rFonts w:hint="eastAsia" w:ascii="宋体" w:hAnsi="宋体" w:cs="宋体"/>
          <w:sz w:val="24"/>
          <w:u w:val="single"/>
        </w:rPr>
        <w:t xml:space="preserve">                </w:t>
      </w:r>
    </w:p>
    <w:p>
      <w:pPr>
        <w:pageBreakBefore w:val="0"/>
        <w:widowControl/>
        <w:kinsoku/>
        <w:overflowPunct/>
        <w:topLinePunct w:val="0"/>
        <w:autoSpaceDE/>
        <w:autoSpaceDN/>
        <w:bidi w:val="0"/>
        <w:adjustRightInd/>
        <w:snapToGrid/>
        <w:spacing w:line="560" w:lineRule="exact"/>
        <w:jc w:val="left"/>
        <w:textAlignment w:val="auto"/>
        <w:rPr>
          <w:rFonts w:hint="eastAsia" w:ascii="宋体" w:hAnsi="宋体" w:cs="宋体"/>
          <w:sz w:val="24"/>
        </w:rPr>
      </w:pPr>
      <w:r>
        <w:rPr>
          <w:rFonts w:hint="eastAsia" w:ascii="宋体" w:hAnsi="宋体" w:cs="宋体"/>
          <w:sz w:val="24"/>
        </w:rPr>
        <w:t xml:space="preserve">二、招标代理机构： </w:t>
      </w:r>
      <w:r>
        <w:rPr>
          <w:rFonts w:hint="eastAsia" w:ascii="宋体" w:hAnsi="宋体" w:cs="宋体"/>
          <w:sz w:val="24"/>
          <w:u w:val="single"/>
        </w:rPr>
        <w:t xml:space="preserve">               </w:t>
      </w:r>
    </w:p>
    <w:p>
      <w:pPr>
        <w:pageBreakBefore w:val="0"/>
        <w:widowControl/>
        <w:kinsoku/>
        <w:overflowPunct/>
        <w:topLinePunct w:val="0"/>
        <w:autoSpaceDE/>
        <w:autoSpaceDN/>
        <w:bidi w:val="0"/>
        <w:adjustRightInd/>
        <w:snapToGrid/>
        <w:spacing w:line="560" w:lineRule="exact"/>
        <w:jc w:val="left"/>
        <w:textAlignment w:val="auto"/>
        <w:rPr>
          <w:rFonts w:hint="eastAsia" w:ascii="宋体" w:hAnsi="宋体" w:cs="宋体"/>
          <w:sz w:val="24"/>
        </w:rPr>
      </w:pPr>
      <w:r>
        <w:rPr>
          <w:rFonts w:hint="eastAsia" w:ascii="宋体" w:hAnsi="宋体" w:cs="宋体"/>
          <w:sz w:val="24"/>
        </w:rPr>
        <w:t xml:space="preserve">三、招标范围： </w:t>
      </w:r>
      <w:r>
        <w:rPr>
          <w:rFonts w:hint="eastAsia" w:ascii="宋体" w:hAnsi="宋体" w:cs="宋体"/>
          <w:sz w:val="24"/>
          <w:u w:val="single"/>
        </w:rPr>
        <w:t xml:space="preserve">                  </w:t>
      </w:r>
      <w:r>
        <w:rPr>
          <w:rFonts w:hint="eastAsia" w:ascii="宋体" w:hAnsi="宋体" w:cs="宋体"/>
          <w:sz w:val="24"/>
        </w:rPr>
        <w:t xml:space="preserve"> </w:t>
      </w:r>
    </w:p>
    <w:p>
      <w:pPr>
        <w:pageBreakBefore w:val="0"/>
        <w:widowControl/>
        <w:kinsoku/>
        <w:overflowPunct/>
        <w:topLinePunct w:val="0"/>
        <w:autoSpaceDE/>
        <w:autoSpaceDN/>
        <w:bidi w:val="0"/>
        <w:adjustRightInd/>
        <w:snapToGrid/>
        <w:spacing w:line="560" w:lineRule="exact"/>
        <w:jc w:val="left"/>
        <w:textAlignment w:val="auto"/>
        <w:rPr>
          <w:rFonts w:hint="eastAsia" w:ascii="宋体" w:hAnsi="宋体" w:cs="宋体"/>
          <w:sz w:val="24"/>
          <w:u w:val="single"/>
        </w:rPr>
      </w:pPr>
      <w:r>
        <w:rPr>
          <w:rFonts w:hint="eastAsia" w:ascii="宋体" w:hAnsi="宋体" w:cs="宋体"/>
          <w:sz w:val="24"/>
        </w:rPr>
        <w:t>四、评标方式：</w:t>
      </w:r>
      <w:r>
        <w:rPr>
          <w:rFonts w:hint="eastAsia" w:ascii="宋体" w:hAnsi="宋体" w:cs="宋体"/>
          <w:sz w:val="24"/>
          <w:u w:val="single"/>
        </w:rPr>
        <w:t xml:space="preserve">            </w:t>
      </w:r>
      <w:r>
        <w:rPr>
          <w:rFonts w:hint="eastAsia" w:ascii="宋体" w:hAnsi="宋体" w:cs="宋体"/>
          <w:sz w:val="24"/>
        </w:rPr>
        <w:t xml:space="preserve">     评标时间：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ageBreakBefore w:val="0"/>
        <w:widowControl/>
        <w:kinsoku/>
        <w:overflowPunct/>
        <w:topLinePunct w:val="0"/>
        <w:autoSpaceDE/>
        <w:autoSpaceDN/>
        <w:bidi w:val="0"/>
        <w:adjustRightInd/>
        <w:snapToGrid/>
        <w:spacing w:line="560" w:lineRule="exact"/>
        <w:jc w:val="left"/>
        <w:textAlignment w:val="auto"/>
        <w:rPr>
          <w:rFonts w:hint="eastAsia" w:ascii="宋体" w:hAnsi="宋体" w:cs="宋体"/>
          <w:sz w:val="24"/>
          <w:u w:val="single"/>
        </w:rPr>
      </w:pPr>
      <w:r>
        <w:rPr>
          <w:rFonts w:hint="eastAsia" w:ascii="宋体" w:hAnsi="宋体" w:cs="宋体"/>
          <w:sz w:val="24"/>
        </w:rPr>
        <w:t>五、定标方式：</w:t>
      </w:r>
      <w:r>
        <w:rPr>
          <w:rFonts w:hint="eastAsia" w:ascii="宋体" w:hAnsi="宋体" w:cs="宋体"/>
          <w:sz w:val="24"/>
          <w:u w:val="single"/>
        </w:rPr>
        <w:t xml:space="preserve">            </w:t>
      </w:r>
      <w:r>
        <w:rPr>
          <w:rFonts w:hint="eastAsia" w:ascii="宋体" w:hAnsi="宋体" w:cs="宋体"/>
          <w:sz w:val="24"/>
        </w:rPr>
        <w:t xml:space="preserve">     定标时间：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ageBreakBefore w:val="0"/>
        <w:widowControl/>
        <w:kinsoku/>
        <w:overflowPunct/>
        <w:topLinePunct w:val="0"/>
        <w:autoSpaceDE/>
        <w:autoSpaceDN/>
        <w:bidi w:val="0"/>
        <w:adjustRightInd/>
        <w:snapToGrid/>
        <w:spacing w:line="560" w:lineRule="exact"/>
        <w:jc w:val="left"/>
        <w:textAlignment w:val="auto"/>
        <w:rPr>
          <w:rFonts w:hint="eastAsia" w:ascii="宋体" w:hAnsi="宋体" w:cs="宋体"/>
          <w:sz w:val="24"/>
        </w:rPr>
      </w:pPr>
      <w:r>
        <w:rPr>
          <w:rFonts w:hint="eastAsia" w:ascii="宋体" w:hAnsi="宋体" w:cs="宋体"/>
          <w:sz w:val="24"/>
        </w:rPr>
        <w:t>六、中标结果公告：</w:t>
      </w:r>
    </w:p>
    <w:tbl>
      <w:tblPr>
        <w:tblStyle w:val="11"/>
        <w:tblW w:w="9125"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133"/>
        <w:gridCol w:w="1085"/>
        <w:gridCol w:w="1265"/>
        <w:gridCol w:w="1050"/>
        <w:gridCol w:w="867"/>
        <w:gridCol w:w="76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09" w:type="dxa"/>
            <w:vAlign w:val="center"/>
          </w:tcPr>
          <w:p>
            <w:pPr>
              <w:pageBreakBefore w:val="0"/>
              <w:kinsoku/>
              <w:wordWrap w:val="0"/>
              <w:overflowPunct/>
              <w:topLinePunct w:val="0"/>
              <w:autoSpaceDE/>
              <w:autoSpaceDN/>
              <w:bidi w:val="0"/>
              <w:adjustRightInd/>
              <w:snapToGrid/>
              <w:spacing w:line="560" w:lineRule="exact"/>
              <w:jc w:val="center"/>
              <w:textAlignment w:val="auto"/>
              <w:rPr>
                <w:rFonts w:hint="eastAsia" w:ascii="宋体" w:hAnsi="宋体" w:cs="宋体"/>
                <w:bCs/>
                <w:szCs w:val="21"/>
              </w:rPr>
            </w:pPr>
            <w:r>
              <w:rPr>
                <w:rFonts w:hint="eastAsia" w:ascii="宋体" w:hAnsi="宋体" w:cs="宋体"/>
                <w:bCs/>
                <w:szCs w:val="21"/>
              </w:rPr>
              <w:t>中标人</w:t>
            </w:r>
          </w:p>
        </w:tc>
        <w:tc>
          <w:tcPr>
            <w:tcW w:w="1133" w:type="dxa"/>
            <w:vAlign w:val="center"/>
          </w:tcPr>
          <w:p>
            <w:pPr>
              <w:pageBreakBefore w:val="0"/>
              <w:kinsoku/>
              <w:wordWrap w:val="0"/>
              <w:overflowPunct/>
              <w:topLinePunct w:val="0"/>
              <w:autoSpaceDE/>
              <w:autoSpaceDN/>
              <w:bidi w:val="0"/>
              <w:adjustRightInd/>
              <w:snapToGrid/>
              <w:spacing w:line="560" w:lineRule="exact"/>
              <w:jc w:val="center"/>
              <w:textAlignment w:val="auto"/>
              <w:rPr>
                <w:rFonts w:hint="eastAsia" w:ascii="宋体" w:hAnsi="宋体" w:cs="宋体"/>
                <w:bCs/>
                <w:szCs w:val="21"/>
              </w:rPr>
            </w:pPr>
            <w:r>
              <w:rPr>
                <w:rFonts w:hint="eastAsia" w:ascii="宋体" w:hAnsi="宋体" w:cs="宋体"/>
                <w:bCs/>
                <w:szCs w:val="21"/>
              </w:rPr>
              <w:t>拟派项目负责人</w:t>
            </w:r>
          </w:p>
        </w:tc>
        <w:tc>
          <w:tcPr>
            <w:tcW w:w="1085" w:type="dxa"/>
            <w:vAlign w:val="center"/>
          </w:tcPr>
          <w:p>
            <w:pPr>
              <w:pageBreakBefore w:val="0"/>
              <w:kinsoku/>
              <w:wordWrap w:val="0"/>
              <w:overflowPunct/>
              <w:topLinePunct w:val="0"/>
              <w:autoSpaceDE/>
              <w:autoSpaceDN/>
              <w:bidi w:val="0"/>
              <w:adjustRightInd/>
              <w:snapToGrid/>
              <w:spacing w:line="560" w:lineRule="exact"/>
              <w:jc w:val="center"/>
              <w:textAlignment w:val="auto"/>
              <w:rPr>
                <w:rFonts w:hint="eastAsia" w:ascii="宋体" w:hAnsi="宋体" w:cs="宋体"/>
                <w:bCs/>
                <w:szCs w:val="21"/>
              </w:rPr>
            </w:pPr>
            <w:r>
              <w:rPr>
                <w:rFonts w:hint="eastAsia" w:ascii="宋体" w:hAnsi="宋体" w:cs="宋体"/>
                <w:bCs/>
                <w:szCs w:val="21"/>
              </w:rPr>
              <w:t>项目负责人证书</w:t>
            </w:r>
          </w:p>
          <w:p>
            <w:pPr>
              <w:pageBreakBefore w:val="0"/>
              <w:kinsoku/>
              <w:wordWrap w:val="0"/>
              <w:overflowPunct/>
              <w:topLinePunct w:val="0"/>
              <w:autoSpaceDE/>
              <w:autoSpaceDN/>
              <w:bidi w:val="0"/>
              <w:adjustRightInd/>
              <w:snapToGrid/>
              <w:spacing w:line="560" w:lineRule="exact"/>
              <w:jc w:val="center"/>
              <w:textAlignment w:val="auto"/>
              <w:rPr>
                <w:rFonts w:hint="eastAsia" w:ascii="宋体" w:hAnsi="宋体" w:cs="宋体"/>
                <w:bCs/>
                <w:szCs w:val="21"/>
              </w:rPr>
            </w:pPr>
            <w:r>
              <w:rPr>
                <w:rFonts w:hint="eastAsia" w:ascii="宋体" w:hAnsi="宋体" w:cs="宋体"/>
                <w:bCs/>
                <w:szCs w:val="21"/>
              </w:rPr>
              <w:t>名称</w:t>
            </w:r>
          </w:p>
        </w:tc>
        <w:tc>
          <w:tcPr>
            <w:tcW w:w="1265" w:type="dxa"/>
            <w:vAlign w:val="center"/>
          </w:tcPr>
          <w:p>
            <w:pPr>
              <w:pageBreakBefore w:val="0"/>
              <w:kinsoku/>
              <w:wordWrap w:val="0"/>
              <w:overflowPunct/>
              <w:topLinePunct w:val="0"/>
              <w:autoSpaceDE/>
              <w:autoSpaceDN/>
              <w:bidi w:val="0"/>
              <w:adjustRightInd/>
              <w:snapToGrid/>
              <w:spacing w:line="560" w:lineRule="exact"/>
              <w:jc w:val="center"/>
              <w:textAlignment w:val="auto"/>
              <w:rPr>
                <w:rFonts w:hint="eastAsia" w:ascii="宋体" w:hAnsi="宋体" w:cs="宋体"/>
                <w:bCs/>
                <w:szCs w:val="21"/>
              </w:rPr>
            </w:pPr>
            <w:r>
              <w:rPr>
                <w:rFonts w:hint="eastAsia" w:ascii="宋体" w:hAnsi="宋体" w:cs="宋体"/>
                <w:bCs/>
                <w:szCs w:val="21"/>
              </w:rPr>
              <w:t>项目负责人资质证书编号</w:t>
            </w:r>
          </w:p>
        </w:tc>
        <w:tc>
          <w:tcPr>
            <w:tcW w:w="1050" w:type="dxa"/>
            <w:vAlign w:val="center"/>
          </w:tcPr>
          <w:p>
            <w:pPr>
              <w:pageBreakBefore w:val="0"/>
              <w:kinsoku/>
              <w:wordWrap w:val="0"/>
              <w:overflowPunct/>
              <w:topLinePunct w:val="0"/>
              <w:autoSpaceDE/>
              <w:autoSpaceDN/>
              <w:bidi w:val="0"/>
              <w:adjustRightInd/>
              <w:snapToGrid/>
              <w:spacing w:line="560" w:lineRule="exact"/>
              <w:jc w:val="center"/>
              <w:textAlignment w:val="auto"/>
              <w:rPr>
                <w:rFonts w:hint="eastAsia" w:ascii="宋体" w:hAnsi="宋体" w:cs="宋体"/>
                <w:bCs/>
                <w:szCs w:val="21"/>
              </w:rPr>
            </w:pPr>
            <w:r>
              <w:rPr>
                <w:rFonts w:hint="eastAsia" w:ascii="宋体" w:hAnsi="宋体" w:cs="宋体"/>
                <w:bCs/>
                <w:szCs w:val="21"/>
              </w:rPr>
              <w:t>报价</w:t>
            </w:r>
          </w:p>
        </w:tc>
        <w:tc>
          <w:tcPr>
            <w:tcW w:w="867" w:type="dxa"/>
            <w:vAlign w:val="center"/>
          </w:tcPr>
          <w:p>
            <w:pPr>
              <w:pageBreakBefore w:val="0"/>
              <w:kinsoku/>
              <w:wordWrap w:val="0"/>
              <w:overflowPunct/>
              <w:topLinePunct w:val="0"/>
              <w:autoSpaceDE/>
              <w:autoSpaceDN/>
              <w:bidi w:val="0"/>
              <w:adjustRightInd/>
              <w:snapToGrid/>
              <w:spacing w:line="560" w:lineRule="exact"/>
              <w:jc w:val="center"/>
              <w:textAlignment w:val="auto"/>
              <w:rPr>
                <w:rFonts w:hint="eastAsia" w:ascii="宋体" w:hAnsi="宋体" w:cs="宋体"/>
                <w:bCs/>
                <w:szCs w:val="21"/>
              </w:rPr>
            </w:pPr>
            <w:r>
              <w:rPr>
                <w:rFonts w:hint="eastAsia" w:ascii="宋体" w:hAnsi="宋体" w:cs="宋体"/>
                <w:bCs/>
                <w:szCs w:val="21"/>
              </w:rPr>
              <w:t>工期</w:t>
            </w:r>
          </w:p>
          <w:p>
            <w:pPr>
              <w:pageBreakBefore w:val="0"/>
              <w:kinsoku/>
              <w:wordWrap w:val="0"/>
              <w:overflowPunct/>
              <w:topLinePunct w:val="0"/>
              <w:autoSpaceDE/>
              <w:autoSpaceDN/>
              <w:bidi w:val="0"/>
              <w:adjustRightInd/>
              <w:snapToGrid/>
              <w:spacing w:line="560" w:lineRule="exact"/>
              <w:jc w:val="center"/>
              <w:textAlignment w:val="auto"/>
              <w:rPr>
                <w:rFonts w:hint="eastAsia" w:ascii="宋体" w:hAnsi="宋体" w:cs="宋体"/>
                <w:bCs/>
                <w:szCs w:val="21"/>
              </w:rPr>
            </w:pPr>
            <w:r>
              <w:rPr>
                <w:rFonts w:hint="eastAsia" w:ascii="宋体" w:hAnsi="宋体" w:cs="宋体"/>
                <w:bCs/>
                <w:szCs w:val="21"/>
              </w:rPr>
              <w:t>（天）</w:t>
            </w:r>
          </w:p>
        </w:tc>
        <w:tc>
          <w:tcPr>
            <w:tcW w:w="766" w:type="dxa"/>
            <w:vAlign w:val="center"/>
          </w:tcPr>
          <w:p>
            <w:pPr>
              <w:pageBreakBefore w:val="0"/>
              <w:kinsoku/>
              <w:wordWrap w:val="0"/>
              <w:overflowPunct/>
              <w:topLinePunct w:val="0"/>
              <w:autoSpaceDE/>
              <w:autoSpaceDN/>
              <w:bidi w:val="0"/>
              <w:adjustRightInd/>
              <w:snapToGrid/>
              <w:spacing w:line="560" w:lineRule="exact"/>
              <w:jc w:val="center"/>
              <w:textAlignment w:val="auto"/>
              <w:rPr>
                <w:rFonts w:hint="eastAsia" w:ascii="宋体" w:hAnsi="宋体" w:cs="宋体"/>
                <w:bCs/>
                <w:szCs w:val="21"/>
              </w:rPr>
            </w:pPr>
            <w:r>
              <w:rPr>
                <w:rFonts w:hint="eastAsia" w:ascii="宋体" w:hAnsi="宋体" w:cs="宋体"/>
                <w:bCs/>
                <w:szCs w:val="21"/>
              </w:rPr>
              <w:t>质量目标</w:t>
            </w:r>
          </w:p>
        </w:tc>
        <w:tc>
          <w:tcPr>
            <w:tcW w:w="1950" w:type="dxa"/>
            <w:vAlign w:val="center"/>
          </w:tcPr>
          <w:p>
            <w:pPr>
              <w:pageBreakBefore w:val="0"/>
              <w:kinsoku/>
              <w:wordWrap w:val="0"/>
              <w:overflowPunct/>
              <w:topLinePunct w:val="0"/>
              <w:autoSpaceDE/>
              <w:autoSpaceDN/>
              <w:bidi w:val="0"/>
              <w:adjustRightInd/>
              <w:snapToGrid/>
              <w:spacing w:line="560" w:lineRule="exact"/>
              <w:jc w:val="center"/>
              <w:textAlignment w:val="auto"/>
              <w:rPr>
                <w:rFonts w:hint="eastAsia" w:ascii="宋体" w:hAnsi="宋体" w:cs="宋体"/>
                <w:bCs/>
                <w:szCs w:val="21"/>
              </w:rPr>
            </w:pPr>
            <w:r>
              <w:rPr>
                <w:rFonts w:hint="eastAsia" w:ascii="宋体" w:hAnsi="宋体" w:cs="宋体"/>
                <w:bCs/>
                <w:szCs w:val="21"/>
              </w:rPr>
              <w:t>确定中标人的主要依据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09" w:type="dxa"/>
          </w:tcPr>
          <w:p>
            <w:pPr>
              <w:pageBreakBefore w:val="0"/>
              <w:kinsoku/>
              <w:overflowPunct/>
              <w:topLinePunct w:val="0"/>
              <w:autoSpaceDE/>
              <w:autoSpaceDN/>
              <w:bidi w:val="0"/>
              <w:adjustRightInd/>
              <w:snapToGrid/>
              <w:spacing w:line="560" w:lineRule="exact"/>
              <w:jc w:val="center"/>
              <w:textAlignment w:val="auto"/>
              <w:rPr>
                <w:rFonts w:hint="eastAsia" w:ascii="宋体" w:hAnsi="宋体" w:cs="宋体"/>
                <w:sz w:val="24"/>
              </w:rPr>
            </w:pPr>
          </w:p>
        </w:tc>
        <w:tc>
          <w:tcPr>
            <w:tcW w:w="1133" w:type="dxa"/>
          </w:tcPr>
          <w:p>
            <w:pPr>
              <w:pageBreakBefore w:val="0"/>
              <w:kinsoku/>
              <w:overflowPunct/>
              <w:topLinePunct w:val="0"/>
              <w:autoSpaceDE/>
              <w:autoSpaceDN/>
              <w:bidi w:val="0"/>
              <w:adjustRightInd/>
              <w:snapToGrid/>
              <w:spacing w:line="560" w:lineRule="exact"/>
              <w:jc w:val="center"/>
              <w:textAlignment w:val="auto"/>
              <w:rPr>
                <w:rFonts w:hint="eastAsia" w:ascii="宋体" w:hAnsi="宋体" w:cs="宋体"/>
                <w:sz w:val="24"/>
              </w:rPr>
            </w:pPr>
          </w:p>
        </w:tc>
        <w:tc>
          <w:tcPr>
            <w:tcW w:w="1085" w:type="dxa"/>
          </w:tcPr>
          <w:p>
            <w:pPr>
              <w:pageBreakBefore w:val="0"/>
              <w:kinsoku/>
              <w:overflowPunct/>
              <w:topLinePunct w:val="0"/>
              <w:autoSpaceDE/>
              <w:autoSpaceDN/>
              <w:bidi w:val="0"/>
              <w:adjustRightInd/>
              <w:snapToGrid/>
              <w:spacing w:line="560" w:lineRule="exact"/>
              <w:jc w:val="center"/>
              <w:textAlignment w:val="auto"/>
              <w:rPr>
                <w:rFonts w:hint="eastAsia" w:ascii="宋体" w:hAnsi="宋体" w:cs="宋体"/>
                <w:sz w:val="24"/>
              </w:rPr>
            </w:pPr>
          </w:p>
        </w:tc>
        <w:tc>
          <w:tcPr>
            <w:tcW w:w="1265" w:type="dxa"/>
          </w:tcPr>
          <w:p>
            <w:pPr>
              <w:pageBreakBefore w:val="0"/>
              <w:kinsoku/>
              <w:overflowPunct/>
              <w:topLinePunct w:val="0"/>
              <w:autoSpaceDE/>
              <w:autoSpaceDN/>
              <w:bidi w:val="0"/>
              <w:adjustRightInd/>
              <w:snapToGrid/>
              <w:spacing w:line="560" w:lineRule="exact"/>
              <w:jc w:val="center"/>
              <w:textAlignment w:val="auto"/>
              <w:rPr>
                <w:rFonts w:hint="eastAsia" w:ascii="宋体" w:hAnsi="宋体" w:cs="宋体"/>
                <w:sz w:val="24"/>
              </w:rPr>
            </w:pPr>
          </w:p>
        </w:tc>
        <w:tc>
          <w:tcPr>
            <w:tcW w:w="1050" w:type="dxa"/>
          </w:tcPr>
          <w:p>
            <w:pPr>
              <w:pageBreakBefore w:val="0"/>
              <w:kinsoku/>
              <w:overflowPunct/>
              <w:topLinePunct w:val="0"/>
              <w:autoSpaceDE/>
              <w:autoSpaceDN/>
              <w:bidi w:val="0"/>
              <w:adjustRightInd/>
              <w:snapToGrid/>
              <w:spacing w:line="560" w:lineRule="exact"/>
              <w:jc w:val="center"/>
              <w:textAlignment w:val="auto"/>
              <w:rPr>
                <w:rFonts w:hint="eastAsia" w:ascii="宋体" w:hAnsi="宋体" w:cs="宋体"/>
                <w:sz w:val="24"/>
              </w:rPr>
            </w:pPr>
          </w:p>
        </w:tc>
        <w:tc>
          <w:tcPr>
            <w:tcW w:w="867" w:type="dxa"/>
          </w:tcPr>
          <w:p>
            <w:pPr>
              <w:pageBreakBefore w:val="0"/>
              <w:kinsoku/>
              <w:overflowPunct/>
              <w:topLinePunct w:val="0"/>
              <w:autoSpaceDE/>
              <w:autoSpaceDN/>
              <w:bidi w:val="0"/>
              <w:adjustRightInd/>
              <w:snapToGrid/>
              <w:spacing w:line="560" w:lineRule="exact"/>
              <w:jc w:val="center"/>
              <w:textAlignment w:val="auto"/>
              <w:rPr>
                <w:rFonts w:hint="eastAsia" w:ascii="宋体" w:hAnsi="宋体" w:cs="宋体"/>
                <w:sz w:val="24"/>
              </w:rPr>
            </w:pPr>
          </w:p>
        </w:tc>
        <w:tc>
          <w:tcPr>
            <w:tcW w:w="766" w:type="dxa"/>
          </w:tcPr>
          <w:p>
            <w:pPr>
              <w:pageBreakBefore w:val="0"/>
              <w:kinsoku/>
              <w:overflowPunct/>
              <w:topLinePunct w:val="0"/>
              <w:autoSpaceDE/>
              <w:autoSpaceDN/>
              <w:bidi w:val="0"/>
              <w:adjustRightInd/>
              <w:snapToGrid/>
              <w:spacing w:line="560" w:lineRule="exact"/>
              <w:jc w:val="center"/>
              <w:textAlignment w:val="auto"/>
              <w:rPr>
                <w:rFonts w:hint="eastAsia" w:ascii="宋体" w:hAnsi="宋体" w:cs="宋体"/>
                <w:sz w:val="24"/>
              </w:rPr>
            </w:pPr>
          </w:p>
        </w:tc>
        <w:tc>
          <w:tcPr>
            <w:tcW w:w="1950" w:type="dxa"/>
          </w:tcPr>
          <w:p>
            <w:pPr>
              <w:pageBreakBefore w:val="0"/>
              <w:kinsoku/>
              <w:overflowPunct/>
              <w:topLinePunct w:val="0"/>
              <w:autoSpaceDE/>
              <w:autoSpaceDN/>
              <w:bidi w:val="0"/>
              <w:adjustRightInd/>
              <w:snapToGrid/>
              <w:spacing w:line="560" w:lineRule="exact"/>
              <w:jc w:val="center"/>
              <w:textAlignment w:val="auto"/>
              <w:rPr>
                <w:rFonts w:hint="eastAsia" w:ascii="宋体" w:hAnsi="宋体" w:cs="宋体"/>
                <w:sz w:val="24"/>
              </w:rPr>
            </w:pPr>
          </w:p>
        </w:tc>
      </w:tr>
    </w:tbl>
    <w:p>
      <w:pPr>
        <w:pageBreakBefore w:val="0"/>
        <w:widowControl/>
        <w:kinsoku/>
        <w:overflowPunct/>
        <w:topLinePunct w:val="0"/>
        <w:autoSpaceDE/>
        <w:autoSpaceDN/>
        <w:bidi w:val="0"/>
        <w:adjustRightInd/>
        <w:snapToGrid/>
        <w:spacing w:line="560" w:lineRule="exact"/>
        <w:jc w:val="left"/>
        <w:textAlignment w:val="auto"/>
        <w:rPr>
          <w:rFonts w:hint="eastAsia" w:ascii="宋体" w:hAnsi="宋体" w:cs="宋体"/>
          <w:sz w:val="24"/>
        </w:rPr>
      </w:pPr>
    </w:p>
    <w:p>
      <w:pPr>
        <w:pageBreakBefore w:val="0"/>
        <w:widowControl/>
        <w:kinsoku/>
        <w:overflowPunct/>
        <w:topLinePunct w:val="0"/>
        <w:autoSpaceDE/>
        <w:autoSpaceDN/>
        <w:bidi w:val="0"/>
        <w:adjustRightInd/>
        <w:snapToGrid/>
        <w:spacing w:line="560" w:lineRule="exact"/>
        <w:jc w:val="left"/>
        <w:textAlignment w:val="auto"/>
        <w:rPr>
          <w:rFonts w:hint="eastAsia" w:ascii="宋体" w:hAnsi="宋体" w:cs="宋体"/>
          <w:sz w:val="24"/>
        </w:rPr>
      </w:pPr>
      <w:r>
        <w:rPr>
          <w:rFonts w:hint="eastAsia" w:ascii="宋体" w:hAnsi="宋体" w:cs="宋体"/>
          <w:sz w:val="24"/>
        </w:rPr>
        <w:t>其它公示内容：</w:t>
      </w:r>
      <w:r>
        <w:rPr>
          <w:rFonts w:hint="eastAsia" w:ascii="宋体" w:hAnsi="宋体" w:cs="宋体"/>
          <w:sz w:val="24"/>
          <w:u w:val="single"/>
        </w:rPr>
        <w:t xml:space="preserve">                                                  </w:t>
      </w:r>
    </w:p>
    <w:p>
      <w:pPr>
        <w:pageBreakBefore w:val="0"/>
        <w:widowControl/>
        <w:kinsoku/>
        <w:overflowPunct/>
        <w:topLinePunct w:val="0"/>
        <w:autoSpaceDE/>
        <w:autoSpaceDN/>
        <w:bidi w:val="0"/>
        <w:adjustRightInd/>
        <w:snapToGrid/>
        <w:spacing w:line="560" w:lineRule="exact"/>
        <w:jc w:val="left"/>
        <w:textAlignment w:val="auto"/>
        <w:rPr>
          <w:rFonts w:hint="eastAsia" w:ascii="宋体" w:hAnsi="宋体" w:cs="宋体"/>
          <w:sz w:val="24"/>
        </w:rPr>
      </w:pPr>
      <w:r>
        <w:rPr>
          <w:rFonts w:hint="eastAsia" w:ascii="宋体" w:hAnsi="宋体" w:cs="宋体"/>
          <w:sz w:val="24"/>
        </w:rPr>
        <w:t>七、公示时间：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ageBreakBefore w:val="0"/>
        <w:widowControl/>
        <w:kinsoku/>
        <w:overflowPunct/>
        <w:topLinePunct w:val="0"/>
        <w:autoSpaceDE/>
        <w:autoSpaceDN/>
        <w:bidi w:val="0"/>
        <w:adjustRightInd/>
        <w:snapToGrid/>
        <w:spacing w:line="560" w:lineRule="exact"/>
        <w:jc w:val="left"/>
        <w:textAlignment w:val="auto"/>
        <w:rPr>
          <w:rFonts w:hint="eastAsia" w:ascii="宋体" w:hAnsi="宋体" w:cs="宋体"/>
          <w:sz w:val="24"/>
        </w:rPr>
      </w:pPr>
      <w:r>
        <w:rPr>
          <w:rFonts w:hint="eastAsia" w:ascii="宋体" w:hAnsi="宋体" w:cs="宋体"/>
          <w:sz w:val="24"/>
        </w:rPr>
        <w:t>八、投标人或者其他利害关系人对本次公示的定标结果有异议的，可在公示期间通过以下途径和方式向招标人提交异议书：</w:t>
      </w:r>
      <w:r>
        <w:rPr>
          <w:rFonts w:hint="eastAsia" w:ascii="宋体" w:hAnsi="宋体" w:cs="宋体"/>
          <w:sz w:val="24"/>
          <w:u w:val="single"/>
        </w:rPr>
        <w:t xml:space="preserve">                               </w:t>
      </w:r>
    </w:p>
    <w:p>
      <w:pPr>
        <w:pageBreakBefore w:val="0"/>
        <w:widowControl/>
        <w:kinsoku/>
        <w:overflowPunct/>
        <w:topLinePunct w:val="0"/>
        <w:autoSpaceDE/>
        <w:autoSpaceDN/>
        <w:bidi w:val="0"/>
        <w:adjustRightInd/>
        <w:snapToGrid/>
        <w:spacing w:line="560" w:lineRule="exact"/>
        <w:ind w:firstLine="480" w:firstLineChars="200"/>
        <w:jc w:val="left"/>
        <w:textAlignment w:val="auto"/>
        <w:rPr>
          <w:rFonts w:hint="eastAsia" w:ascii="宋体" w:hAnsi="宋体" w:cs="宋体"/>
          <w:sz w:val="24"/>
          <w:u w:val="single"/>
        </w:rPr>
      </w:pPr>
      <w:r>
        <w:rPr>
          <w:rFonts w:hint="eastAsia" w:ascii="宋体" w:hAnsi="宋体" w:cs="宋体"/>
          <w:sz w:val="24"/>
        </w:rPr>
        <w:t>投标人或者其他利害关系人对招标人异议处理不满意的，可在招标人异议回复或明确拒绝异议受理后十日内通过以下途径和方式向行业监管部门提交投诉书：</w:t>
      </w:r>
      <w:r>
        <w:rPr>
          <w:rFonts w:hint="eastAsia" w:ascii="宋体" w:hAnsi="宋体" w:cs="宋体"/>
          <w:sz w:val="24"/>
          <w:u w:val="single"/>
        </w:rPr>
        <w:t xml:space="preserve">                             </w:t>
      </w:r>
    </w:p>
    <w:p>
      <w:pPr>
        <w:pageBreakBefore w:val="0"/>
        <w:widowControl/>
        <w:kinsoku/>
        <w:overflowPunct/>
        <w:topLinePunct w:val="0"/>
        <w:autoSpaceDE/>
        <w:autoSpaceDN/>
        <w:bidi w:val="0"/>
        <w:adjustRightInd/>
        <w:snapToGrid/>
        <w:spacing w:line="560" w:lineRule="exact"/>
        <w:jc w:val="left"/>
        <w:textAlignment w:val="auto"/>
        <w:rPr>
          <w:rFonts w:hint="eastAsia" w:ascii="宋体" w:hAnsi="宋体" w:cs="宋体"/>
          <w:sz w:val="24"/>
        </w:rPr>
      </w:pPr>
      <w:r>
        <w:rPr>
          <w:rFonts w:hint="eastAsia" w:ascii="宋体" w:hAnsi="宋体" w:cs="宋体"/>
          <w:sz w:val="24"/>
        </w:rPr>
        <w:t>九、其它事项：</w:t>
      </w:r>
      <w:r>
        <w:rPr>
          <w:rFonts w:hint="eastAsia" w:ascii="宋体" w:hAnsi="宋体" w:cs="宋体"/>
          <w:sz w:val="24"/>
          <w:u w:val="single"/>
        </w:rPr>
        <w:t xml:space="preserve">                   </w:t>
      </w:r>
    </w:p>
    <w:p>
      <w:pPr>
        <w:widowControl/>
        <w:spacing w:line="360" w:lineRule="auto"/>
        <w:jc w:val="left"/>
        <w:rPr>
          <w:rFonts w:hint="eastAsia" w:ascii="仿宋" w:hAnsi="仿宋" w:eastAsia="仿宋" w:cs="仿宋"/>
          <w:b/>
          <w:kern w:val="44"/>
          <w:sz w:val="32"/>
          <w:szCs w:val="32"/>
        </w:rPr>
      </w:pPr>
      <w:bookmarkStart w:id="29" w:name="_Toc7141"/>
      <w:bookmarkStart w:id="30" w:name="_Toc32082"/>
      <w:bookmarkStart w:id="31" w:name="_Toc24966"/>
      <w:bookmarkStart w:id="32" w:name="_Toc6523"/>
      <w:bookmarkStart w:id="33" w:name="_Toc4442"/>
      <w:bookmarkStart w:id="34" w:name="_Toc6533"/>
    </w:p>
    <w:p>
      <w:pPr>
        <w:widowControl/>
        <w:spacing w:line="360" w:lineRule="auto"/>
        <w:jc w:val="left"/>
        <w:rPr>
          <w:rFonts w:hint="eastAsia" w:ascii="仿宋_GB2312" w:hAnsi="仿宋_GB2312" w:eastAsia="仿宋_GB2312" w:cs="仿宋_GB2312"/>
          <w:b/>
          <w:kern w:val="44"/>
          <w:sz w:val="32"/>
          <w:szCs w:val="32"/>
        </w:rPr>
      </w:pPr>
      <w:r>
        <w:rPr>
          <w:rFonts w:hint="eastAsia" w:ascii="仿宋_GB2312" w:hAnsi="仿宋_GB2312" w:eastAsia="仿宋_GB2312" w:cs="仿宋_GB2312"/>
          <w:b/>
          <w:kern w:val="44"/>
          <w:sz w:val="32"/>
          <w:szCs w:val="32"/>
        </w:rPr>
        <w:t>附表6：</w:t>
      </w:r>
    </w:p>
    <w:bookmarkEnd w:id="29"/>
    <w:p>
      <w:pPr>
        <w:widowControl/>
        <w:jc w:val="center"/>
        <w:rPr>
          <w:rFonts w:hint="eastAsia" w:ascii="仿宋_GB2312" w:hAnsi="仿宋_GB2312" w:eastAsia="仿宋_GB2312" w:cs="仿宋_GB2312"/>
          <w:b/>
          <w:kern w:val="44"/>
          <w:sz w:val="32"/>
          <w:szCs w:val="32"/>
        </w:rPr>
      </w:pPr>
      <w:bookmarkStart w:id="35" w:name="_Toc32366"/>
      <w:r>
        <w:rPr>
          <w:rFonts w:hint="eastAsia" w:ascii="仿宋_GB2312" w:hAnsi="仿宋_GB2312" w:eastAsia="仿宋_GB2312" w:cs="仿宋_GB2312"/>
          <w:b/>
          <w:kern w:val="44"/>
          <w:sz w:val="32"/>
          <w:szCs w:val="32"/>
        </w:rPr>
        <w:t>定标报告</w:t>
      </w:r>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360" w:lineRule="exact"/>
        <w:ind w:firstLine="268" w:firstLineChars="112"/>
        <w:textAlignment w:val="auto"/>
        <w:rPr>
          <w:rFonts w:hint="eastAsia" w:ascii="宋体" w:hAnsi="宋体" w:cs="宋体"/>
          <w:sz w:val="24"/>
        </w:rPr>
      </w:pPr>
      <w:r>
        <w:rPr>
          <w:rFonts w:hint="eastAsia" w:ascii="宋体" w:hAnsi="宋体" w:cs="宋体"/>
          <w:bCs/>
          <w:sz w:val="24"/>
        </w:rPr>
        <w:t>项目编号：</w:t>
      </w:r>
      <w:r>
        <w:rPr>
          <w:rFonts w:hint="eastAsia" w:ascii="宋体" w:hAnsi="宋体" w:cs="宋体"/>
          <w:bCs/>
          <w:sz w:val="24"/>
          <w:u w:val="single"/>
        </w:rPr>
        <w:t xml:space="preserve">          </w:t>
      </w:r>
      <w:r>
        <w:rPr>
          <w:rFonts w:hint="eastAsia" w:ascii="宋体" w:hAnsi="宋体" w:cs="宋体"/>
          <w:sz w:val="24"/>
        </w:rPr>
        <w:t xml:space="preserve">   </w:t>
      </w:r>
      <w:r>
        <w:rPr>
          <w:rFonts w:hint="eastAsia" w:ascii="宋体" w:hAnsi="宋体" w:cs="宋体"/>
          <w:bCs/>
          <w:sz w:val="24"/>
        </w:rPr>
        <w:t xml:space="preserve">                   定标时间：     年  月  日</w:t>
      </w:r>
    </w:p>
    <w:tbl>
      <w:tblPr>
        <w:tblStyle w:val="11"/>
        <w:tblpPr w:leftFromText="180" w:rightFromText="180" w:vertAnchor="text" w:horzAnchor="page" w:tblpX="1396" w:tblpY="318"/>
        <w:tblOverlap w:val="never"/>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276"/>
        <w:gridCol w:w="290"/>
        <w:gridCol w:w="2829"/>
        <w:gridCol w:w="425"/>
        <w:gridCol w:w="850"/>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blHeader/>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pacing w:val="180"/>
                <w:sz w:val="24"/>
              </w:rPr>
              <w:t>目</w:t>
            </w:r>
            <w:r>
              <w:rPr>
                <w:rFonts w:hint="eastAsia" w:ascii="宋体" w:hAnsi="宋体" w:cs="宋体"/>
                <w:sz w:val="24"/>
              </w:rPr>
              <w:t>录</w:t>
            </w:r>
          </w:p>
        </w:tc>
        <w:tc>
          <w:tcPr>
            <w:tcW w:w="806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31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工程概况</w:t>
            </w:r>
          </w:p>
        </w:tc>
        <w:tc>
          <w:tcPr>
            <w:tcW w:w="156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项目名称</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Cs/>
                <w:sz w:val="24"/>
              </w:rPr>
            </w:pPr>
            <w:r>
              <w:rPr>
                <w:rFonts w:hint="eastAsia" w:ascii="宋体" w:hAnsi="宋体" w:cs="宋体"/>
                <w:bCs/>
                <w:sz w:val="24"/>
              </w:rPr>
              <w:t xml:space="preserve"> </w:t>
            </w: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建筑面积</w:t>
            </w:r>
          </w:p>
        </w:tc>
        <w:tc>
          <w:tcPr>
            <w:tcW w:w="23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156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建设地点</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Cs/>
                <w:sz w:val="24"/>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结构类型</w:t>
            </w:r>
          </w:p>
        </w:tc>
        <w:tc>
          <w:tcPr>
            <w:tcW w:w="23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156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招标方式</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Cs/>
                <w:sz w:val="24"/>
              </w:rPr>
            </w:pPr>
            <w:r>
              <w:rPr>
                <w:rFonts w:hint="eastAsia" w:ascii="宋体" w:hAnsi="宋体" w:cs="宋体"/>
                <w:bCs/>
                <w:sz w:val="24"/>
              </w:rPr>
              <w:t xml:space="preserve"> </w:t>
            </w: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质量标准</w:t>
            </w:r>
          </w:p>
        </w:tc>
        <w:tc>
          <w:tcPr>
            <w:tcW w:w="23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exac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pacing w:val="-20"/>
                <w:sz w:val="24"/>
              </w:rPr>
              <w:t>定标委员会名单（如有）</w:t>
            </w:r>
          </w:p>
        </w:tc>
        <w:tc>
          <w:tcPr>
            <w:tcW w:w="8060"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附：定标委员会全体成员名单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评标报告</w:t>
            </w:r>
          </w:p>
        </w:tc>
        <w:tc>
          <w:tcPr>
            <w:tcW w:w="8060" w:type="dxa"/>
            <w:gridSpan w:val="6"/>
          </w:tcPr>
          <w:p>
            <w:pPr>
              <w:keepNext w:val="0"/>
              <w:keepLines w:val="0"/>
              <w:pageBreakBefore w:val="0"/>
              <w:widowControl w:val="0"/>
              <w:tabs>
                <w:tab w:val="center" w:pos="4130"/>
              </w:tabs>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附评标报告</w:t>
            </w:r>
            <w:r>
              <w:rPr>
                <w:rFonts w:hint="eastAsia" w:ascii="宋体" w:hAnsi="宋体"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exac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定  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方  法</w:t>
            </w:r>
          </w:p>
        </w:tc>
        <w:tc>
          <w:tcPr>
            <w:tcW w:w="8060"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sz w:val="24"/>
              </w:rPr>
            </w:pPr>
            <w:r>
              <w:rPr>
                <w:rFonts w:hint="eastAsia" w:ascii="宋体" w:hAnsi="宋体" w:cs="宋体"/>
                <w:bCs/>
                <w:sz w:val="24"/>
              </w:rPr>
              <w:t>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8" w:hRule="atLeas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定标过程</w:t>
            </w:r>
          </w:p>
        </w:tc>
        <w:tc>
          <w:tcPr>
            <w:tcW w:w="8060"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一、基本情况：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二、重大异常情况：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定标委员会确定的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拟中标人</w:t>
            </w:r>
          </w:p>
        </w:tc>
        <w:tc>
          <w:tcPr>
            <w:tcW w:w="8060"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拟中标人：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理由如下：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atLeas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签订合同前要处理的事宜</w:t>
            </w:r>
          </w:p>
        </w:tc>
        <w:tc>
          <w:tcPr>
            <w:tcW w:w="8060"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0" w:hRule="atLeas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澄清说明补正事项纪要</w:t>
            </w:r>
          </w:p>
        </w:tc>
        <w:tc>
          <w:tcPr>
            <w:tcW w:w="8060"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trPr>
        <w:tc>
          <w:tcPr>
            <w:tcW w:w="131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定标成员签字</w:t>
            </w:r>
          </w:p>
        </w:tc>
        <w:tc>
          <w:tcPr>
            <w:tcW w:w="8060"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定标委员会全体成员在下表中签名: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姓 名</w:t>
            </w:r>
          </w:p>
        </w:tc>
        <w:tc>
          <w:tcPr>
            <w:tcW w:w="354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在定标委员会中承担的工作</w:t>
            </w:r>
          </w:p>
        </w:tc>
        <w:tc>
          <w:tcPr>
            <w:tcW w:w="32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个人保留意见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127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544" w:type="dxa"/>
            <w:gridSpan w:val="3"/>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240"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127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544" w:type="dxa"/>
            <w:gridSpan w:val="3"/>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240"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127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544" w:type="dxa"/>
            <w:gridSpan w:val="3"/>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240"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127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544" w:type="dxa"/>
            <w:gridSpan w:val="3"/>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240"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127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544" w:type="dxa"/>
            <w:gridSpan w:val="3"/>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240"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127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544" w:type="dxa"/>
            <w:gridSpan w:val="3"/>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240"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127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544" w:type="dxa"/>
            <w:gridSpan w:val="3"/>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c>
          <w:tcPr>
            <w:tcW w:w="3240"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rPr>
            </w:pPr>
            <w:r>
              <w:rPr>
                <w:rFonts w:hint="eastAsia" w:ascii="宋体" w:hAnsi="宋体" w:cs="宋体"/>
                <w:sz w:val="24"/>
              </w:rPr>
              <w:t>监督人员签字</w:t>
            </w:r>
          </w:p>
        </w:tc>
        <w:tc>
          <w:tcPr>
            <w:tcW w:w="8060" w:type="dxa"/>
            <w:gridSpan w:val="6"/>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 w:val="24"/>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ascii="宋体" w:hAnsi="宋体" w:cs="宋体"/>
          <w:sz w:val="24"/>
        </w:rPr>
        <w:t>备注：此报告应附前述适用相关的附件材料，定标会如未进场需附定标会议现场全过程记录视频光盘。</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楷体简体">
    <w:altName w:val="方正楷体_GBK"/>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7fgaMUAgAAGwQAAA4AAAAAAAAAAQAgAAAANQEAAGRycy9lMm9Eb2MueG1sUEsFBgAAAAAGAAYA&#10;WQEAALs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FA188"/>
    <w:rsid w:val="31DDE826"/>
    <w:rsid w:val="44414D1D"/>
    <w:rsid w:val="5FDF69A8"/>
    <w:rsid w:val="6FFE413F"/>
    <w:rsid w:val="7B59CDE3"/>
    <w:rsid w:val="AAEBC56A"/>
    <w:rsid w:val="CBFD9F8A"/>
    <w:rsid w:val="CCFFBF7F"/>
    <w:rsid w:val="DCFFC3F4"/>
    <w:rsid w:val="E2FFF309"/>
    <w:rsid w:val="EFFD6FCF"/>
    <w:rsid w:val="F3AF4758"/>
    <w:rsid w:val="F4FF7124"/>
    <w:rsid w:val="F53FDB68"/>
    <w:rsid w:val="F57BBE16"/>
    <w:rsid w:val="F5EFD1B7"/>
    <w:rsid w:val="F75F8172"/>
    <w:rsid w:val="FDFF1EF1"/>
    <w:rsid w:val="FFEDB543"/>
    <w:rsid w:val="FFFE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next w:val="6"/>
    <w:qFormat/>
    <w:uiPriority w:val="0"/>
  </w:style>
  <w:style w:type="paragraph" w:styleId="6">
    <w:name w:val="Body Text First Indent"/>
    <w:basedOn w:val="5"/>
    <w:qFormat/>
    <w:uiPriority w:val="0"/>
    <w:pPr>
      <w:spacing w:after="120"/>
      <w:ind w:firstLine="420" w:firstLineChars="100"/>
    </w:pPr>
    <w:rPr>
      <w:sz w:val="30"/>
    </w:rPr>
  </w:style>
  <w:style w:type="paragraph" w:styleId="7">
    <w:name w:val="Body Text Indent"/>
    <w:basedOn w:val="1"/>
    <w:next w:val="8"/>
    <w:qFormat/>
    <w:uiPriority w:val="99"/>
    <w:pPr>
      <w:spacing w:after="120"/>
      <w:ind w:left="420" w:leftChars="200"/>
    </w:pPr>
  </w:style>
  <w:style w:type="paragraph" w:styleId="8">
    <w:name w:val="Normal (Web)"/>
    <w:basedOn w:val="1"/>
    <w:next w:val="1"/>
    <w:qFormat/>
    <w:uiPriority w:val="0"/>
    <w:pPr>
      <w:jc w:val="left"/>
    </w:pPr>
    <w:rPr>
      <w:kern w:val="0"/>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7"/>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180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2024-12-13T00:46:00Z</dcterms:created>
  <dc:creator>Administrator</dc:creator>
  <cp:lastModifiedBy>zjt</cp:lastModifiedBy>
  <cp:lastPrinted>2024-12-30T11:35:24Z</cp:lastPrinted>
  <dcterms:modified xsi:type="dcterms:W3CDTF">2024-12-30T18:05:15Z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79A15C2058644F4F85FD6A4A2FB7F7A7_12</vt:lpwstr>
  </property>
</Properties>
</file>