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bookmarkStart w:id="0" w:name="_Toc397928612"/>
      <w:bookmarkStart w:id="1" w:name="_Toc358476596"/>
    </w:p>
    <w:p>
      <w:pPr>
        <w:pStyle w:val="33"/>
        <w:pageBreakBefore w:val="0"/>
        <w:kinsoku/>
        <w:bidi w:val="0"/>
        <w:spacing w:line="440" w:lineRule="exact"/>
        <w:ind w:firstLine="0" w:firstLineChars="0"/>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pStyle w:val="33"/>
        <w:pageBreakBefore w:val="0"/>
        <w:kinsoku/>
        <w:bidi w:val="0"/>
        <w:spacing w:line="440" w:lineRule="exact"/>
        <w:ind w:firstLine="0" w:firstLineChars="0"/>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spacing w:line="560" w:lineRule="exact"/>
        <w:ind w:firstLine="0" w:firstLineChars="0"/>
        <w:jc w:val="center"/>
        <w:textAlignment w:val="auto"/>
        <w:outlineLvl w:val="9"/>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新疆维吾尔自治区房屋建筑和市政基础设施项目施工招标文件(示范文本)</w:t>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（202</w:t>
      </w:r>
      <w:r>
        <w:rPr>
          <w:rFonts w:hint="eastAsia" w:ascii="方正小标宋简体" w:hAnsi="方正小标宋简体" w:eastAsia="方正小标宋简体" w:cs="方正小标宋简体"/>
          <w:b/>
          <w:bCs/>
          <w:sz w:val="44"/>
          <w:szCs w:val="44"/>
          <w:lang w:val="en-US" w:eastAsia="zh-CN"/>
        </w:rPr>
        <w:t>4</w:t>
      </w:r>
      <w:r>
        <w:rPr>
          <w:rFonts w:hint="eastAsia" w:ascii="方正小标宋简体" w:hAnsi="方正小标宋简体" w:eastAsia="方正小标宋简体" w:cs="方正小标宋简体"/>
          <w:b/>
          <w:bCs/>
          <w:sz w:val="44"/>
          <w:szCs w:val="44"/>
        </w:rPr>
        <w:t>版）</w:t>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楷体" w:hAnsi="楷体" w:eastAsia="楷体" w:cs="楷体"/>
          <w:b w:val="0"/>
          <w:bCs w:val="0"/>
          <w:sz w:val="32"/>
          <w:szCs w:val="32"/>
          <w:lang w:eastAsia="zh-CN"/>
        </w:rPr>
      </w:pP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lang w:val="en-US" w:eastAsia="zh-CN"/>
        </w:rPr>
        <w:t>征求意见稿</w:t>
      </w:r>
      <w:r>
        <w:rPr>
          <w:rFonts w:hint="eastAsia" w:ascii="楷体" w:hAnsi="楷体" w:eastAsia="楷体" w:cs="楷体"/>
          <w:b w:val="0"/>
          <w:bCs w:val="0"/>
          <w:sz w:val="32"/>
          <w:szCs w:val="32"/>
          <w:lang w:eastAsia="zh-CN"/>
        </w:rPr>
        <w:t>）</w:t>
      </w: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bookmarkStart w:id="1939" w:name="_GoBack"/>
      <w:bookmarkEnd w:id="1939"/>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自治区建设工程招标投标服务中心</w:t>
      </w:r>
    </w:p>
    <w:p>
      <w:pPr>
        <w:pageBreakBefore w:val="0"/>
        <w:kinsoku/>
        <w:bidi w:val="0"/>
        <w:spacing w:after="120" w:afterLines="50"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br w:type="page"/>
      </w:r>
    </w:p>
    <w:p>
      <w:pPr>
        <w:pageBreakBefore w:val="0"/>
        <w:kinsoku/>
        <w:bidi w:val="0"/>
        <w:spacing w:after="120" w:afterLines="50" w:line="440" w:lineRule="exact"/>
        <w:ind w:firstLine="0" w:firstLineChars="0"/>
        <w:jc w:val="center"/>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bCs/>
          <w:sz w:val="32"/>
          <w:szCs w:val="32"/>
        </w:rPr>
        <w:t>使用说明</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一、《自治区房屋建筑和市政基础设施项目施工招标文件示范文本（2022版）》(以下简称《施工招标文件范本</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根据《中华人民共和国招标投标法》及其实施条例等法律法规、规章和文件编制。凡是符合中华人民共和国国家发展和改革委员会令第16号《必须招标的工程项目规定》、采用工程量清单方式招标的房屋建筑和市政基础设施工程施工招标的项目，适用此招标文件范本。</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二、《施工招标文件范本》用相同序号标示的章、节、条、款、项、目，供招标人和投标人选择使用；以空格标示的系由招标人填写的内容，招标人应根据招标项目具体特点和实际需要具体化，无需填写的在空格中用“／”标示；以“□”标识的，由招标人根据具体特点和实际需要勾选。</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三、招标人按照《施工招标文件范本》第一章“招标公告”的格式发布招标公告后，将实际发布的招标公告编入招标文件中，作为投标邀请，并同时注明发布媒介名称。</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四、《施工招标文件范本》第二章“投标人须知”正文和前附表，除以空格标示的由招标人填空的内容、选择性内容和可补充内容外，均应不加修改地直接引用。填空、选择和补充内容由招标人根据国家和地方有关法律法规的规定以及招标项目具体情况确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五、《施工招标文件范本》第三章“评标办法”，分综合评估法、经评审的最低投标价法、定性评审法</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供招标人参考使用。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其中：1、综合评估法适用于技术特别复杂、具有特殊专业技术要求的建筑工程施工项目，施工总承包工程招标控制价超过2000万元（含）的或者专业承包工程招标控制价超过800万元（含）的应当采用综合评估法；2、经评审的最低投标价法适用于具有通用技术、性能标准或招标人对其技术、性能没有特殊要求的建筑工程施工项目，施工总承包工程招标控制价在2000万元（不含）以下的或者专业承包工程招标控制价在800万元（不含）以下的应当采用经评审最低投标价法；3、定性评审法适用于采用“评定分离”方式由评标委员会推荐定标候选人的建筑工程项目。招标人根据招标项目的具体特点和实际需要</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参考</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选择使用，具体评审因素的评审标准、分值和权重等由招标人根据有关规定和招标项目具体情况确定。</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除上述三种评标办法外，招标人也可结合</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招标项目的具体特点和实际</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自行确定评标办法及评审因素，但不得违法公平竞争性审查的相关规定。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第三章“评标办法”前附表应列明全部评审因素和评审标准，并在本章(前附表及正文)标明投标人不满足其要求即导致投标被否决的全部条款。</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六、《施工招标文件范本》第四章“合同条款及格式”由招标人参照住房和城乡建设部、国家市场监督管理总局印发的《建设工程施工合同（示范文本）》（GF-2017-0201）以及招标项目具体情况自行编制。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七、《施工招标文件范本》第五章“工程量清单”由招标人或其委托的造价咨询机构根据</w:t>
      </w:r>
      <w:r>
        <w:rPr>
          <w:rFonts w:hint="eastAsia" w:ascii="方正仿宋_GB2312" w:hAnsi="方正仿宋_GB2312" w:eastAsia="方正仿宋_GB2312" w:cs="方正仿宋_GB2312"/>
          <w:color w:val="auto"/>
          <w:sz w:val="32"/>
          <w:szCs w:val="32"/>
          <w:highlight w:val="none"/>
          <w:lang w:val="en-US" w:eastAsia="zh-CN"/>
        </w:rPr>
        <w:t>招标</w:t>
      </w:r>
      <w:r>
        <w:rPr>
          <w:rFonts w:hint="eastAsia" w:ascii="方正仿宋_GB2312" w:hAnsi="方正仿宋_GB2312" w:eastAsia="方正仿宋_GB2312" w:cs="方正仿宋_GB2312"/>
          <w:color w:val="auto"/>
          <w:sz w:val="32"/>
          <w:szCs w:val="32"/>
          <w:highlight w:val="none"/>
        </w:rPr>
        <w:t>项目</w:t>
      </w:r>
      <w:r>
        <w:rPr>
          <w:rFonts w:hint="eastAsia" w:ascii="方正仿宋_GB2312" w:hAnsi="方正仿宋_GB2312" w:eastAsia="方正仿宋_GB2312" w:cs="方正仿宋_GB2312"/>
          <w:color w:val="auto"/>
          <w:sz w:val="32"/>
          <w:szCs w:val="32"/>
          <w:highlight w:val="none"/>
          <w:lang w:val="en-US" w:eastAsia="zh-CN"/>
        </w:rPr>
        <w:t>特点和</w:t>
      </w:r>
      <w:r>
        <w:rPr>
          <w:rFonts w:hint="eastAsia" w:ascii="方正仿宋_GB2312" w:hAnsi="方正仿宋_GB2312" w:eastAsia="方正仿宋_GB2312" w:cs="方正仿宋_GB2312"/>
          <w:color w:val="auto"/>
          <w:sz w:val="32"/>
          <w:szCs w:val="32"/>
          <w:highlight w:val="none"/>
        </w:rPr>
        <w:t>实际</w:t>
      </w:r>
      <w:r>
        <w:rPr>
          <w:rFonts w:hint="eastAsia" w:ascii="方正仿宋_GB2312" w:hAnsi="方正仿宋_GB2312" w:eastAsia="方正仿宋_GB2312" w:cs="方正仿宋_GB2312"/>
          <w:color w:val="auto"/>
          <w:sz w:val="32"/>
          <w:szCs w:val="32"/>
          <w:highlight w:val="none"/>
          <w:lang w:val="en-US" w:eastAsia="zh-CN"/>
        </w:rPr>
        <w:t>需要</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lang w:val="en-US" w:eastAsia="zh-CN"/>
        </w:rPr>
        <w:t>以及国家或自治区计价规范补充相关内容</w:t>
      </w:r>
      <w:r>
        <w:rPr>
          <w:rFonts w:hint="eastAsia" w:ascii="方正仿宋_GB2312" w:hAnsi="方正仿宋_GB2312" w:eastAsia="方正仿宋_GB2312" w:cs="方正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八、第六章“图纸”由招标人单独提供。</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九、《施工招标文件范本》第七章“技术标准和要求”由招标人根据招标项目具体特点和实际需要编制，并与前序章节内容相衔接。</w:t>
      </w: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br w:type="page"/>
      </w: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（项目名称及标段）              </w:t>
      </w: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color w:val="000000" w:themeColor="text1"/>
          <w:sz w:val="32"/>
          <w:szCs w:val="32"/>
          <w14:textFill>
            <w14:solidFill>
              <w14:schemeClr w14:val="tx1"/>
            </w14:solidFill>
          </w14:textFill>
        </w:rPr>
        <w:t>招标文件</w:t>
      </w: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标段编号：</w:t>
      </w: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招标代理机构：</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147"/>
        <w:pageBreakBefore w:val="0"/>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14:textFill>
            <w14:solidFill>
              <w14:schemeClr w14:val="tx1"/>
            </w14:solidFill>
          </w14:textFill>
        </w:rPr>
        <w:sectPr>
          <w:pgSz w:w="11906" w:h="16838"/>
          <w:pgMar w:top="1440" w:right="1559" w:bottom="1440" w:left="1560" w:header="851" w:footer="851" w:gutter="0"/>
          <w:pgBorders>
            <w:top w:val="none" w:sz="0" w:space="0"/>
            <w:left w:val="none" w:sz="0" w:space="0"/>
            <w:bottom w:val="none" w:sz="0" w:space="0"/>
            <w:right w:val="none" w:sz="0" w:space="0"/>
          </w:pgBorders>
          <w:pgNumType w:start="1"/>
          <w:cols w:space="720" w:num="1"/>
          <w:titlePg/>
          <w:docGrid w:linePitch="312" w:charSpace="0"/>
        </w:sect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pageBreakBefore w:val="0"/>
        <w:kinsoku/>
        <w:bidi w:val="0"/>
        <w:spacing w:after="240" w:afterLines="100"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color w:val="000000" w:themeColor="text1"/>
          <w:sz w:val="32"/>
          <w:szCs w:val="32"/>
          <w14:textFill>
            <w14:solidFill>
              <w14:schemeClr w14:val="tx1"/>
            </w14:solidFill>
          </w14:textFill>
        </w:rPr>
        <w:t>目</w:t>
      </w:r>
      <w:r>
        <w:rPr>
          <w:rFonts w:hint="eastAsia" w:ascii="方正仿宋_GB2312" w:hAnsi="方正仿宋_GB2312" w:eastAsia="方正仿宋_GB2312" w:cs="方正仿宋_GB2312"/>
          <w:b/>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b/>
          <w:color w:val="000000" w:themeColor="text1"/>
          <w:sz w:val="32"/>
          <w:szCs w:val="32"/>
          <w14:textFill>
            <w14:solidFill>
              <w14:schemeClr w14:val="tx1"/>
            </w14:solidFill>
          </w14:textFill>
        </w:rPr>
        <w:t>录</w:t>
      </w:r>
    </w:p>
    <w:p>
      <w:pPr>
        <w:pStyle w:val="30"/>
        <w:tabs>
          <w:tab w:val="right" w:leader="dot" w:pos="8787"/>
        </w:tabs>
      </w:pPr>
      <w:bookmarkStart w:id="2" w:name="_Toc508286056"/>
      <w:bookmarkStart w:id="3" w:name="_Toc16077"/>
      <w:bookmarkStart w:id="4" w:name="_Toc389065120"/>
      <w:bookmarkStart w:id="5" w:name="_Toc13189"/>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color w:val="000000" w:themeColor="text1"/>
          <w:szCs w:val="32"/>
          <w14:textFill>
            <w14:solidFill>
              <w14:schemeClr w14:val="tx1"/>
            </w14:solidFill>
          </w14:textFill>
        </w:rPr>
        <w:instrText xml:space="preserve">TOC \o "1-5" \h \u </w:instrText>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separate"/>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_Toc32489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第一章  招标公告（未进行资格预审）</w:t>
      </w:r>
      <w:r>
        <w:tab/>
      </w:r>
      <w:r>
        <w:fldChar w:fldCharType="begin"/>
      </w:r>
      <w:r>
        <w:instrText xml:space="preserve"> PAGEREF _Toc32489 \h </w:instrText>
      </w:r>
      <w:r>
        <w:fldChar w:fldCharType="separate"/>
      </w:r>
      <w:r>
        <w:t>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_Toc6064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 招标条件</w:t>
      </w:r>
      <w:r>
        <w:tab/>
      </w:r>
      <w:r>
        <w:fldChar w:fldCharType="begin"/>
      </w:r>
      <w:r>
        <w:instrText xml:space="preserve"> PAGEREF _Toc6064 \h </w:instrText>
      </w:r>
      <w:r>
        <w:fldChar w:fldCharType="separate"/>
      </w:r>
      <w:r>
        <w:t>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_Toc5653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 项目概况与招标范围</w:t>
      </w:r>
      <w:r>
        <w:tab/>
      </w:r>
      <w:r>
        <w:fldChar w:fldCharType="begin"/>
      </w:r>
      <w:r>
        <w:instrText xml:space="preserve"> PAGEREF _Toc5653 \h </w:instrText>
      </w:r>
      <w:r>
        <w:fldChar w:fldCharType="separate"/>
      </w:r>
      <w:r>
        <w:t>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_Toc15727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 投标人资格要求</w:t>
      </w:r>
      <w:r>
        <w:tab/>
      </w:r>
      <w:r>
        <w:fldChar w:fldCharType="begin"/>
      </w:r>
      <w:r>
        <w:instrText xml:space="preserve"> PAGEREF _Toc15727 \h </w:instrText>
      </w:r>
      <w:r>
        <w:fldChar w:fldCharType="separate"/>
      </w:r>
      <w:r>
        <w:t>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_Toc10676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4. 招标文件的获取</w:t>
      </w:r>
      <w:r>
        <w:tab/>
      </w:r>
      <w:r>
        <w:fldChar w:fldCharType="begin"/>
      </w:r>
      <w:r>
        <w:instrText xml:space="preserve"> PAGEREF _Toc10676 \h </w:instrText>
      </w:r>
      <w:r>
        <w:fldChar w:fldCharType="separate"/>
      </w:r>
      <w:r>
        <w:t>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_Toc8221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 投标</w:t>
      </w:r>
      <w:r>
        <w:rPr>
          <w:rFonts w:hint="eastAsia" w:ascii="方正仿宋_GB2312" w:hAnsi="方正仿宋_GB2312" w:eastAsia="方正仿宋_GB2312" w:cs="方正仿宋_GB2312"/>
          <w:szCs w:val="32"/>
          <w:lang w:val="en-US" w:eastAsia="zh-CN"/>
        </w:rPr>
        <w:t>文件的递交</w:t>
      </w:r>
      <w:r>
        <w:tab/>
      </w:r>
      <w:r>
        <w:fldChar w:fldCharType="begin"/>
      </w:r>
      <w:r>
        <w:instrText xml:space="preserve"> PAGEREF _Toc8221 \h </w:instrText>
      </w:r>
      <w:r>
        <w:fldChar w:fldCharType="separate"/>
      </w:r>
      <w:r>
        <w:t>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_Toc9386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6. 资格审查</w:t>
      </w:r>
      <w:r>
        <w:tab/>
      </w:r>
      <w:r>
        <w:fldChar w:fldCharType="begin"/>
      </w:r>
      <w:r>
        <w:instrText xml:space="preserve"> PAGEREF _Toc9386 \h </w:instrText>
      </w:r>
      <w:r>
        <w:fldChar w:fldCharType="separate"/>
      </w:r>
      <w:r>
        <w:t>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_Toc21334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7.评标方法</w:t>
      </w:r>
      <w:r>
        <w:tab/>
      </w:r>
      <w:r>
        <w:fldChar w:fldCharType="begin"/>
      </w:r>
      <w:r>
        <w:instrText xml:space="preserve"> PAGEREF _Toc21334 \h </w:instrText>
      </w:r>
      <w:r>
        <w:fldChar w:fldCharType="separate"/>
      </w:r>
      <w:r>
        <w:t>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_Toc30534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8. 发布公告的媒介</w:t>
      </w:r>
      <w:r>
        <w:tab/>
      </w:r>
      <w:r>
        <w:fldChar w:fldCharType="begin"/>
      </w:r>
      <w:r>
        <w:instrText xml:space="preserve"> PAGEREF _Toc30534 \h </w:instrText>
      </w:r>
      <w:r>
        <w:fldChar w:fldCharType="separate"/>
      </w:r>
      <w:r>
        <w:t>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_Toc3277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 招投标监督管理部门及电话</w:t>
      </w:r>
      <w:r>
        <w:tab/>
      </w:r>
      <w:r>
        <w:fldChar w:fldCharType="begin"/>
      </w:r>
      <w:r>
        <w:instrText xml:space="preserve"> PAGEREF _Toc3277 \h </w:instrText>
      </w:r>
      <w:r>
        <w:fldChar w:fldCharType="separate"/>
      </w:r>
      <w:r>
        <w:t>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_Toc21663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10. 其他</w:t>
      </w:r>
      <w:r>
        <w:tab/>
      </w:r>
      <w:r>
        <w:fldChar w:fldCharType="begin"/>
      </w:r>
      <w:r>
        <w:instrText xml:space="preserve"> PAGEREF _Toc21663 \h </w:instrText>
      </w:r>
      <w:r>
        <w:fldChar w:fldCharType="separate"/>
      </w:r>
      <w:r>
        <w:t>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_Toc32422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w:t>
      </w:r>
      <w:r>
        <w:rPr>
          <w:rFonts w:hint="eastAsia" w:ascii="方正仿宋_GB2312" w:hAnsi="方正仿宋_GB2312" w:eastAsia="方正仿宋_GB2312" w:cs="方正仿宋_GB2312"/>
          <w:szCs w:val="32"/>
          <w:lang w:val="en-US" w:eastAsia="zh-CN"/>
        </w:rPr>
        <w:t>1</w:t>
      </w:r>
      <w:r>
        <w:rPr>
          <w:rFonts w:hint="eastAsia" w:ascii="方正仿宋_GB2312" w:hAnsi="方正仿宋_GB2312" w:eastAsia="方正仿宋_GB2312" w:cs="方正仿宋_GB2312"/>
          <w:szCs w:val="32"/>
        </w:rPr>
        <w:t>. 联系方式</w:t>
      </w:r>
      <w:r>
        <w:tab/>
      </w:r>
      <w:r>
        <w:fldChar w:fldCharType="begin"/>
      </w:r>
      <w:r>
        <w:instrText xml:space="preserve"> PAGEREF _Toc32422 \h </w:instrText>
      </w:r>
      <w:r>
        <w:fldChar w:fldCharType="separate"/>
      </w:r>
      <w:r>
        <w:t>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_Toc27662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第一章  投标邀请书（适用于邀请招标）</w:t>
      </w:r>
      <w:r>
        <w:tab/>
      </w:r>
      <w:r>
        <w:fldChar w:fldCharType="begin"/>
      </w:r>
      <w:r>
        <w:instrText xml:space="preserve"> PAGEREF _Toc27662 \h </w:instrText>
      </w:r>
      <w:r>
        <w:fldChar w:fldCharType="separate"/>
      </w:r>
      <w:r>
        <w:t>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_Toc20875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1. 招标条件</w:t>
      </w:r>
      <w:r>
        <w:tab/>
      </w:r>
      <w:r>
        <w:fldChar w:fldCharType="begin"/>
      </w:r>
      <w:r>
        <w:instrText xml:space="preserve"> PAGEREF _Toc20875 \h </w:instrText>
      </w:r>
      <w:r>
        <w:fldChar w:fldCharType="separate"/>
      </w:r>
      <w:r>
        <w:t>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_Toc1895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2. 项目概况与招标范围</w:t>
      </w:r>
      <w:r>
        <w:tab/>
      </w:r>
      <w:r>
        <w:fldChar w:fldCharType="begin"/>
      </w:r>
      <w:r>
        <w:instrText xml:space="preserve"> PAGEREF _Toc1895 \h </w:instrText>
      </w:r>
      <w:r>
        <w:fldChar w:fldCharType="separate"/>
      </w:r>
      <w:r>
        <w:t>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_Toc9360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3. 投标人资格要求</w:t>
      </w:r>
      <w:r>
        <w:tab/>
      </w:r>
      <w:r>
        <w:fldChar w:fldCharType="begin"/>
      </w:r>
      <w:r>
        <w:instrText xml:space="preserve"> PAGEREF _Toc9360 \h </w:instrText>
      </w:r>
      <w:r>
        <w:fldChar w:fldCharType="separate"/>
      </w:r>
      <w:r>
        <w:t>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_Toc31690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4. 招标文件的获取</w:t>
      </w:r>
      <w:r>
        <w:tab/>
      </w:r>
      <w:r>
        <w:fldChar w:fldCharType="begin"/>
      </w:r>
      <w:r>
        <w:instrText xml:space="preserve"> PAGEREF _Toc31690 \h </w:instrText>
      </w:r>
      <w:r>
        <w:fldChar w:fldCharType="separate"/>
      </w:r>
      <w:r>
        <w:t>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_Toc26921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5. 投标文件的递交</w:t>
      </w:r>
      <w:r>
        <w:tab/>
      </w:r>
      <w:r>
        <w:fldChar w:fldCharType="begin"/>
      </w:r>
      <w:r>
        <w:instrText xml:space="preserve"> PAGEREF _Toc26921 \h </w:instrText>
      </w:r>
      <w:r>
        <w:fldChar w:fldCharType="separate"/>
      </w:r>
      <w:r>
        <w:t>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_Toc2643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6. 确认</w:t>
      </w:r>
      <w:r>
        <w:tab/>
      </w:r>
      <w:r>
        <w:fldChar w:fldCharType="begin"/>
      </w:r>
      <w:r>
        <w:instrText xml:space="preserve"> PAGEREF _Toc2643 \h </w:instrText>
      </w:r>
      <w:r>
        <w:fldChar w:fldCharType="separate"/>
      </w:r>
      <w:r>
        <w:t>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_Toc25523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7. 资格审查</w:t>
      </w:r>
      <w:r>
        <w:tab/>
      </w:r>
      <w:r>
        <w:fldChar w:fldCharType="begin"/>
      </w:r>
      <w:r>
        <w:instrText xml:space="preserve"> PAGEREF _Toc25523 \h </w:instrText>
      </w:r>
      <w:r>
        <w:fldChar w:fldCharType="separate"/>
      </w:r>
      <w:r>
        <w:t>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_Toc30446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8. 评标方法</w:t>
      </w:r>
      <w:r>
        <w:tab/>
      </w:r>
      <w:r>
        <w:fldChar w:fldCharType="begin"/>
      </w:r>
      <w:r>
        <w:instrText xml:space="preserve"> PAGEREF _Toc30446 \h </w:instrText>
      </w:r>
      <w:r>
        <w:fldChar w:fldCharType="separate"/>
      </w:r>
      <w:r>
        <w:t>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_Toc7519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9. 招投标监督管理部门及电话</w:t>
      </w:r>
      <w:r>
        <w:tab/>
      </w:r>
      <w:r>
        <w:fldChar w:fldCharType="begin"/>
      </w:r>
      <w:r>
        <w:instrText xml:space="preserve"> PAGEREF _Toc7519 \h </w:instrText>
      </w:r>
      <w:r>
        <w:fldChar w:fldCharType="separate"/>
      </w:r>
      <w:r>
        <w:t>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_Toc3859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10. 其他</w:t>
      </w:r>
      <w:r>
        <w:tab/>
      </w:r>
      <w:r>
        <w:fldChar w:fldCharType="begin"/>
      </w:r>
      <w:r>
        <w:instrText xml:space="preserve"> PAGEREF _Toc3859 \h </w:instrText>
      </w:r>
      <w:r>
        <w:fldChar w:fldCharType="separate"/>
      </w:r>
      <w:r>
        <w:t>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_Toc14991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11. 联系方式</w:t>
      </w:r>
      <w:r>
        <w:tab/>
      </w:r>
      <w:r>
        <w:fldChar w:fldCharType="begin"/>
      </w:r>
      <w:r>
        <w:instrText xml:space="preserve"> PAGEREF _Toc14991 \h </w:instrText>
      </w:r>
      <w:r>
        <w:fldChar w:fldCharType="separate"/>
      </w:r>
      <w:r>
        <w:t>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_Toc26437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第一章  投标邀请书（代资格预审通过通知书）</w:t>
      </w:r>
      <w:r>
        <w:tab/>
      </w:r>
      <w:r>
        <w:fldChar w:fldCharType="begin"/>
      </w:r>
      <w:r>
        <w:instrText xml:space="preserve"> PAGEREF _Toc26437 \h </w:instrText>
      </w:r>
      <w:r>
        <w:fldChar w:fldCharType="separate"/>
      </w:r>
      <w:r>
        <w:t>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第二章  投标人须知</w:t>
      </w:r>
      <w:r>
        <w:tab/>
      </w:r>
      <w:r>
        <w:fldChar w:fldCharType="begin"/>
      </w:r>
      <w:r>
        <w:instrText xml:space="preserve"> PAGEREF _Toc214 \h </w:instrText>
      </w:r>
      <w:r>
        <w:fldChar w:fldCharType="separate"/>
      </w:r>
      <w:r>
        <w:t>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_Toc3450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投标人须知前附表</w:t>
      </w:r>
      <w:r>
        <w:tab/>
      </w:r>
      <w:r>
        <w:fldChar w:fldCharType="begin"/>
      </w:r>
      <w:r>
        <w:instrText xml:space="preserve"> PAGEREF _Toc3450 \h </w:instrText>
      </w:r>
      <w:r>
        <w:fldChar w:fldCharType="separate"/>
      </w:r>
      <w:r>
        <w:t>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_Toc29244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投标人须知</w:t>
      </w:r>
      <w:r>
        <w:tab/>
      </w:r>
      <w:r>
        <w:fldChar w:fldCharType="begin"/>
      </w:r>
      <w:r>
        <w:instrText xml:space="preserve"> PAGEREF _Toc29244 \h </w:instrText>
      </w:r>
      <w:r>
        <w:fldChar w:fldCharType="separate"/>
      </w:r>
      <w:r>
        <w:t>18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_Toc8154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 总则</w:t>
      </w:r>
      <w:r>
        <w:tab/>
      </w:r>
      <w:r>
        <w:fldChar w:fldCharType="begin"/>
      </w:r>
      <w:r>
        <w:instrText xml:space="preserve"> PAGEREF _Toc8154 \h </w:instrText>
      </w:r>
      <w:r>
        <w:fldChar w:fldCharType="separate"/>
      </w:r>
      <w:r>
        <w:t>18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_Toc20351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 项目概况</w:t>
      </w:r>
      <w:r>
        <w:tab/>
      </w:r>
      <w:r>
        <w:fldChar w:fldCharType="begin"/>
      </w:r>
      <w:r>
        <w:instrText xml:space="preserve"> PAGEREF _Toc20351 \h </w:instrText>
      </w:r>
      <w:r>
        <w:fldChar w:fldCharType="separate"/>
      </w:r>
      <w:r>
        <w:t>18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_Toc29313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1.2 资金来源和落实情况</w:t>
      </w:r>
      <w:r>
        <w:tab/>
      </w:r>
      <w:r>
        <w:fldChar w:fldCharType="begin"/>
      </w:r>
      <w:r>
        <w:instrText xml:space="preserve"> PAGEREF _Toc29313 \h </w:instrText>
      </w:r>
      <w:r>
        <w:fldChar w:fldCharType="separate"/>
      </w:r>
      <w:r>
        <w:t>18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_Toc8539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1.3 招标范围、计划工期和质量要求</w:t>
      </w:r>
      <w:r>
        <w:tab/>
      </w:r>
      <w:r>
        <w:fldChar w:fldCharType="begin"/>
      </w:r>
      <w:r>
        <w:instrText xml:space="preserve"> PAGEREF _Toc8539 \h </w:instrText>
      </w:r>
      <w:r>
        <w:fldChar w:fldCharType="separate"/>
      </w:r>
      <w:r>
        <w:t>18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_Toc1049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1.4 投标人资格要求</w:t>
      </w:r>
      <w:r>
        <w:tab/>
      </w:r>
      <w:r>
        <w:fldChar w:fldCharType="begin"/>
      </w:r>
      <w:r>
        <w:instrText xml:space="preserve"> PAGEREF _Toc1049 \h </w:instrText>
      </w:r>
      <w:r>
        <w:fldChar w:fldCharType="separate"/>
      </w:r>
      <w:r>
        <w:t>18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_Toc10537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1.5 费用承担</w:t>
      </w:r>
      <w:r>
        <w:tab/>
      </w:r>
      <w:r>
        <w:fldChar w:fldCharType="begin"/>
      </w:r>
      <w:r>
        <w:instrText xml:space="preserve"> PAGEREF _Toc10537 \h </w:instrText>
      </w:r>
      <w:r>
        <w:fldChar w:fldCharType="separate"/>
      </w:r>
      <w:r>
        <w:t>20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_Toc16527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1.6 保密</w:t>
      </w:r>
      <w:r>
        <w:tab/>
      </w:r>
      <w:r>
        <w:fldChar w:fldCharType="begin"/>
      </w:r>
      <w:r>
        <w:instrText xml:space="preserve"> PAGEREF _Toc16527 \h </w:instrText>
      </w:r>
      <w:r>
        <w:fldChar w:fldCharType="separate"/>
      </w:r>
      <w:r>
        <w:t>20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_Toc23374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1.7 语言文字</w:t>
      </w:r>
      <w:r>
        <w:tab/>
      </w:r>
      <w:r>
        <w:fldChar w:fldCharType="begin"/>
      </w:r>
      <w:r>
        <w:instrText xml:space="preserve"> PAGEREF _Toc23374 \h </w:instrText>
      </w:r>
      <w:r>
        <w:fldChar w:fldCharType="separate"/>
      </w:r>
      <w:r>
        <w:t>20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_Toc18994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1.8 计量单位</w:t>
      </w:r>
      <w:r>
        <w:tab/>
      </w:r>
      <w:r>
        <w:fldChar w:fldCharType="begin"/>
      </w:r>
      <w:r>
        <w:instrText xml:space="preserve"> PAGEREF _Toc18994 \h </w:instrText>
      </w:r>
      <w:r>
        <w:fldChar w:fldCharType="separate"/>
      </w:r>
      <w:r>
        <w:t>20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_Toc23123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1.9 踏勘现场</w:t>
      </w:r>
      <w:r>
        <w:tab/>
      </w:r>
      <w:r>
        <w:fldChar w:fldCharType="begin"/>
      </w:r>
      <w:r>
        <w:instrText xml:space="preserve"> PAGEREF _Toc23123 \h </w:instrText>
      </w:r>
      <w:r>
        <w:fldChar w:fldCharType="separate"/>
      </w:r>
      <w:r>
        <w:t>20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_Toc1271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highlight w:val="none"/>
          <w:lang w:val="en-US" w:eastAsia="zh-CN" w:bidi="ar-SA"/>
        </w:rPr>
        <w:t>1.10 招标文件答疑</w:t>
      </w:r>
      <w:r>
        <w:tab/>
      </w:r>
      <w:r>
        <w:fldChar w:fldCharType="begin"/>
      </w:r>
      <w:r>
        <w:instrText xml:space="preserve"> PAGEREF _Toc1271 \h </w:instrText>
      </w:r>
      <w:r>
        <w:fldChar w:fldCharType="separate"/>
      </w:r>
      <w:r>
        <w:t>20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_Toc24484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w:t>
      </w:r>
      <w:r>
        <w:rPr>
          <w:rFonts w:hint="eastAsia" w:ascii="方正仿宋_GB2312" w:hAnsi="方正仿宋_GB2312" w:eastAsia="方正仿宋_GB2312" w:cs="方正仿宋_GB2312"/>
          <w:szCs w:val="32"/>
          <w:lang w:val="en-US" w:eastAsia="zh-CN"/>
        </w:rPr>
        <w:t>1</w:t>
      </w:r>
      <w:r>
        <w:rPr>
          <w:rFonts w:hint="eastAsia" w:ascii="方正仿宋_GB2312" w:hAnsi="方正仿宋_GB2312" w:eastAsia="方正仿宋_GB2312" w:cs="方正仿宋_GB2312"/>
          <w:szCs w:val="32"/>
        </w:rPr>
        <w:t xml:space="preserve"> 分包</w:t>
      </w:r>
      <w:r>
        <w:tab/>
      </w:r>
      <w:r>
        <w:fldChar w:fldCharType="begin"/>
      </w:r>
      <w:r>
        <w:instrText xml:space="preserve"> PAGEREF _Toc24484 \h </w:instrText>
      </w:r>
      <w:r>
        <w:fldChar w:fldCharType="separate"/>
      </w:r>
      <w:r>
        <w:t>20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_Toc15550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w:t>
      </w:r>
      <w:r>
        <w:rPr>
          <w:rFonts w:hint="eastAsia" w:ascii="方正仿宋_GB2312" w:hAnsi="方正仿宋_GB2312" w:eastAsia="方正仿宋_GB2312" w:cs="方正仿宋_GB2312"/>
          <w:szCs w:val="32"/>
          <w:lang w:val="en-US" w:eastAsia="zh-CN"/>
        </w:rPr>
        <w:t>2</w:t>
      </w:r>
      <w:r>
        <w:rPr>
          <w:rFonts w:hint="eastAsia" w:ascii="方正仿宋_GB2312" w:hAnsi="方正仿宋_GB2312" w:eastAsia="方正仿宋_GB2312" w:cs="方正仿宋_GB2312"/>
          <w:szCs w:val="32"/>
        </w:rPr>
        <w:t xml:space="preserve"> 偏离</w:t>
      </w:r>
      <w:r>
        <w:tab/>
      </w:r>
      <w:r>
        <w:fldChar w:fldCharType="begin"/>
      </w:r>
      <w:r>
        <w:instrText xml:space="preserve"> PAGEREF _Toc15550 \h </w:instrText>
      </w:r>
      <w:r>
        <w:fldChar w:fldCharType="separate"/>
      </w:r>
      <w:r>
        <w:t>21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_Toc10046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 招标文件</w:t>
      </w:r>
      <w:r>
        <w:tab/>
      </w:r>
      <w:r>
        <w:fldChar w:fldCharType="begin"/>
      </w:r>
      <w:r>
        <w:instrText xml:space="preserve"> PAGEREF _Toc10046 \h </w:instrText>
      </w:r>
      <w:r>
        <w:fldChar w:fldCharType="separate"/>
      </w:r>
      <w:r>
        <w:t>21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_Toc18114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2.1 招标文件的组成</w:t>
      </w:r>
      <w:r>
        <w:tab/>
      </w:r>
      <w:r>
        <w:fldChar w:fldCharType="begin"/>
      </w:r>
      <w:r>
        <w:instrText xml:space="preserve"> PAGEREF _Toc18114 \h </w:instrText>
      </w:r>
      <w:r>
        <w:fldChar w:fldCharType="separate"/>
      </w:r>
      <w:r>
        <w:t>21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_Toc24023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highlight w:val="none"/>
        </w:rPr>
        <w:t>2.2 招标文件的澄清</w:t>
      </w:r>
      <w:r>
        <w:tab/>
      </w:r>
      <w:r>
        <w:fldChar w:fldCharType="begin"/>
      </w:r>
      <w:r>
        <w:instrText xml:space="preserve"> PAGEREF _Toc24023 \h </w:instrText>
      </w:r>
      <w:r>
        <w:fldChar w:fldCharType="separate"/>
      </w:r>
      <w:r>
        <w:t>21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_Toc16293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2.3 招标文件的修改</w:t>
      </w:r>
      <w:r>
        <w:tab/>
      </w:r>
      <w:r>
        <w:fldChar w:fldCharType="begin"/>
      </w:r>
      <w:r>
        <w:instrText xml:space="preserve"> PAGEREF _Toc16293 \h </w:instrText>
      </w:r>
      <w:r>
        <w:fldChar w:fldCharType="separate"/>
      </w:r>
      <w:r>
        <w:t>22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_Toc19783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 投标文件</w:t>
      </w:r>
      <w:r>
        <w:tab/>
      </w:r>
      <w:r>
        <w:fldChar w:fldCharType="begin"/>
      </w:r>
      <w:r>
        <w:instrText xml:space="preserve"> PAGEREF _Toc19783 \h </w:instrText>
      </w:r>
      <w:r>
        <w:fldChar w:fldCharType="separate"/>
      </w:r>
      <w:r>
        <w:t>22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_Toc21168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3.1 投标文件的组成</w:t>
      </w:r>
      <w:r>
        <w:tab/>
      </w:r>
      <w:r>
        <w:fldChar w:fldCharType="begin"/>
      </w:r>
      <w:r>
        <w:instrText xml:space="preserve"> PAGEREF _Toc21168 \h </w:instrText>
      </w:r>
      <w:r>
        <w:fldChar w:fldCharType="separate"/>
      </w:r>
      <w:r>
        <w:t>22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_Toc8506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适用于资格预审：</w:t>
      </w:r>
      <w:r>
        <w:tab/>
      </w:r>
      <w:r>
        <w:fldChar w:fldCharType="begin"/>
      </w:r>
      <w:r>
        <w:instrText xml:space="preserve"> PAGEREF _Toc8506 \h </w:instrText>
      </w:r>
      <w:r>
        <w:fldChar w:fldCharType="separate"/>
      </w:r>
      <w:r>
        <w:t>22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_Toc7231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适用于资格后审：</w:t>
      </w:r>
      <w:r>
        <w:tab/>
      </w:r>
      <w:r>
        <w:fldChar w:fldCharType="begin"/>
      </w:r>
      <w:r>
        <w:instrText xml:space="preserve"> PAGEREF _Toc7231 \h </w:instrText>
      </w:r>
      <w:r>
        <w:fldChar w:fldCharType="separate"/>
      </w:r>
      <w:r>
        <w:t>23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_Toc11892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3.2 投标报价</w:t>
      </w:r>
      <w:r>
        <w:tab/>
      </w:r>
      <w:r>
        <w:fldChar w:fldCharType="begin"/>
      </w:r>
      <w:r>
        <w:instrText xml:space="preserve"> PAGEREF _Toc11892 \h </w:instrText>
      </w:r>
      <w:r>
        <w:fldChar w:fldCharType="separate"/>
      </w:r>
      <w:r>
        <w:t>25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_Toc2169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3.3 投标有效期</w:t>
      </w:r>
      <w:r>
        <w:tab/>
      </w:r>
      <w:r>
        <w:fldChar w:fldCharType="begin"/>
      </w:r>
      <w:r>
        <w:instrText xml:space="preserve"> PAGEREF _Toc2169 \h </w:instrText>
      </w:r>
      <w:r>
        <w:fldChar w:fldCharType="separate"/>
      </w:r>
      <w:r>
        <w:t>25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_Toc14637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3.4 投标保证金</w:t>
      </w:r>
      <w:r>
        <w:tab/>
      </w:r>
      <w:r>
        <w:fldChar w:fldCharType="begin"/>
      </w:r>
      <w:r>
        <w:instrText xml:space="preserve"> PAGEREF _Toc14637 \h </w:instrText>
      </w:r>
      <w:r>
        <w:fldChar w:fldCharType="separate"/>
      </w:r>
      <w:r>
        <w:t>25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_Toc22713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3.5 资格审查资料</w:t>
      </w:r>
      <w:r>
        <w:tab/>
      </w:r>
      <w:r>
        <w:fldChar w:fldCharType="begin"/>
      </w:r>
      <w:r>
        <w:instrText xml:space="preserve"> PAGEREF _Toc22713 \h </w:instrText>
      </w:r>
      <w:r>
        <w:fldChar w:fldCharType="separate"/>
      </w:r>
      <w:r>
        <w:t>26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_Toc23373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3.6</w:t>
      </w:r>
      <w:r>
        <w:rPr>
          <w:rFonts w:hint="eastAsia" w:ascii="方正仿宋_GB2312" w:hAnsi="方正仿宋_GB2312" w:eastAsia="方正仿宋_GB2312" w:cs="方正仿宋_GB2312"/>
          <w:szCs w:val="32"/>
          <w:lang w:val="en-US" w:eastAsia="zh-CN"/>
        </w:rPr>
        <w:t xml:space="preserve"> </w:t>
      </w:r>
      <w:r>
        <w:rPr>
          <w:rFonts w:hint="eastAsia" w:ascii="方正仿宋_GB2312" w:hAnsi="方正仿宋_GB2312" w:eastAsia="方正仿宋_GB2312" w:cs="方正仿宋_GB2312"/>
          <w:szCs w:val="32"/>
        </w:rPr>
        <w:t>备选投标方案</w:t>
      </w:r>
      <w:r>
        <w:tab/>
      </w:r>
      <w:r>
        <w:fldChar w:fldCharType="begin"/>
      </w:r>
      <w:r>
        <w:instrText xml:space="preserve"> PAGEREF _Toc23373 \h </w:instrText>
      </w:r>
      <w:r>
        <w:fldChar w:fldCharType="separate"/>
      </w:r>
      <w:r>
        <w:t>26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_Toc3416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3.7 投标文件的编制</w:t>
      </w:r>
      <w:r>
        <w:tab/>
      </w:r>
      <w:r>
        <w:fldChar w:fldCharType="begin"/>
      </w:r>
      <w:r>
        <w:instrText xml:space="preserve"> PAGEREF _Toc3416 \h </w:instrText>
      </w:r>
      <w:r>
        <w:fldChar w:fldCharType="separate"/>
      </w:r>
      <w:r>
        <w:t>26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_Toc29075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highlight w:val="none"/>
        </w:rPr>
        <w:t>3.8 投标文件编制要求</w:t>
      </w:r>
      <w:r>
        <w:tab/>
      </w:r>
      <w:r>
        <w:fldChar w:fldCharType="begin"/>
      </w:r>
      <w:r>
        <w:instrText xml:space="preserve"> PAGEREF _Toc29075 \h </w:instrText>
      </w:r>
      <w:r>
        <w:fldChar w:fldCharType="separate"/>
      </w:r>
      <w:r>
        <w:t>27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_Toc7867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highlight w:val="none"/>
        </w:rPr>
        <w:t>3.</w:t>
      </w:r>
      <w:r>
        <w:rPr>
          <w:rFonts w:hint="eastAsia" w:ascii="方正仿宋_GB2312" w:hAnsi="方正仿宋_GB2312" w:eastAsia="方正仿宋_GB2312" w:cs="方正仿宋_GB2312"/>
          <w:bCs/>
          <w:szCs w:val="32"/>
          <w:highlight w:val="none"/>
          <w:lang w:val="en-US" w:eastAsia="zh-CN"/>
        </w:rPr>
        <w:t>9</w:t>
      </w:r>
      <w:r>
        <w:rPr>
          <w:rFonts w:hint="eastAsia" w:ascii="方正仿宋_GB2312" w:hAnsi="方正仿宋_GB2312" w:eastAsia="方正仿宋_GB2312" w:cs="方正仿宋_GB2312"/>
          <w:bCs/>
          <w:szCs w:val="32"/>
          <w:highlight w:val="none"/>
        </w:rPr>
        <w:t xml:space="preserve"> 投标文件封面要求</w:t>
      </w:r>
      <w:r>
        <w:tab/>
      </w:r>
      <w:r>
        <w:fldChar w:fldCharType="begin"/>
      </w:r>
      <w:r>
        <w:instrText xml:space="preserve"> PAGEREF _Toc7867 \h </w:instrText>
      </w:r>
      <w:r>
        <w:fldChar w:fldCharType="separate"/>
      </w:r>
      <w:r>
        <w:t>27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_Toc28397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highlight w:val="none"/>
        </w:rPr>
        <w:t>3.1</w:t>
      </w:r>
      <w:r>
        <w:rPr>
          <w:rFonts w:hint="eastAsia" w:ascii="方正仿宋_GB2312" w:hAnsi="方正仿宋_GB2312" w:eastAsia="方正仿宋_GB2312" w:cs="方正仿宋_GB2312"/>
          <w:bCs/>
          <w:szCs w:val="32"/>
          <w:highlight w:val="none"/>
          <w:lang w:val="en-US" w:eastAsia="zh-CN"/>
        </w:rPr>
        <w:t>0</w:t>
      </w:r>
      <w:r>
        <w:rPr>
          <w:rFonts w:hint="eastAsia" w:ascii="方正仿宋_GB2312" w:hAnsi="方正仿宋_GB2312" w:eastAsia="方正仿宋_GB2312" w:cs="方正仿宋_GB2312"/>
          <w:bCs/>
          <w:szCs w:val="32"/>
          <w:highlight w:val="none"/>
        </w:rPr>
        <w:t xml:space="preserve"> 投标文件目录要求</w:t>
      </w:r>
      <w:r>
        <w:tab/>
      </w:r>
      <w:r>
        <w:fldChar w:fldCharType="begin"/>
      </w:r>
      <w:r>
        <w:instrText xml:space="preserve"> PAGEREF _Toc28397 \h </w:instrText>
      </w:r>
      <w:r>
        <w:fldChar w:fldCharType="separate"/>
      </w:r>
      <w:r>
        <w:t>28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_Toc1994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highlight w:val="none"/>
        </w:rPr>
        <w:t>3.1</w:t>
      </w:r>
      <w:r>
        <w:rPr>
          <w:rFonts w:hint="eastAsia" w:ascii="方正仿宋_GB2312" w:hAnsi="方正仿宋_GB2312" w:eastAsia="方正仿宋_GB2312" w:cs="方正仿宋_GB2312"/>
          <w:bCs/>
          <w:szCs w:val="32"/>
          <w:highlight w:val="none"/>
          <w:lang w:val="en-US" w:eastAsia="zh-CN"/>
        </w:rPr>
        <w:t>1</w:t>
      </w:r>
      <w:r>
        <w:rPr>
          <w:rFonts w:hint="eastAsia" w:ascii="方正仿宋_GB2312" w:hAnsi="方正仿宋_GB2312" w:eastAsia="方正仿宋_GB2312" w:cs="方正仿宋_GB2312"/>
          <w:bCs/>
          <w:szCs w:val="32"/>
          <w:highlight w:val="none"/>
        </w:rPr>
        <w:t xml:space="preserve"> 投标文件的份数和签署</w:t>
      </w:r>
      <w:r>
        <w:tab/>
      </w:r>
      <w:r>
        <w:fldChar w:fldCharType="begin"/>
      </w:r>
      <w:r>
        <w:instrText xml:space="preserve"> PAGEREF _Toc1994 \h </w:instrText>
      </w:r>
      <w:r>
        <w:fldChar w:fldCharType="separate"/>
      </w:r>
      <w:r>
        <w:t>28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_Toc12166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highlight w:val="none"/>
        </w:rPr>
        <w:t>4 投标</w:t>
      </w:r>
      <w:r>
        <w:tab/>
      </w:r>
      <w:r>
        <w:fldChar w:fldCharType="begin"/>
      </w:r>
      <w:r>
        <w:instrText xml:space="preserve"> PAGEREF _Toc12166 \h </w:instrText>
      </w:r>
      <w:r>
        <w:fldChar w:fldCharType="separate"/>
      </w:r>
      <w:r>
        <w:t>28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_Toc30023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highlight w:val="none"/>
        </w:rPr>
        <w:t>4.1 投标文件的密封和标记</w:t>
      </w:r>
      <w:r>
        <w:tab/>
      </w:r>
      <w:r>
        <w:fldChar w:fldCharType="begin"/>
      </w:r>
      <w:r>
        <w:instrText xml:space="preserve"> PAGEREF _Toc30023 \h </w:instrText>
      </w:r>
      <w:r>
        <w:fldChar w:fldCharType="separate"/>
      </w:r>
      <w:r>
        <w:t>28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_Toc29016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4.2投标文件的递交</w:t>
      </w:r>
      <w:r>
        <w:tab/>
      </w:r>
      <w:r>
        <w:fldChar w:fldCharType="begin"/>
      </w:r>
      <w:r>
        <w:instrText xml:space="preserve"> PAGEREF _Toc29016 \h </w:instrText>
      </w:r>
      <w:r>
        <w:fldChar w:fldCharType="separate"/>
      </w:r>
      <w:r>
        <w:t>29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_Toc18580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4.3 投标文件的修改与撤回</w:t>
      </w:r>
      <w:r>
        <w:tab/>
      </w:r>
      <w:r>
        <w:fldChar w:fldCharType="begin"/>
      </w:r>
      <w:r>
        <w:instrText xml:space="preserve"> PAGEREF _Toc18580 \h </w:instrText>
      </w:r>
      <w:r>
        <w:fldChar w:fldCharType="separate"/>
      </w:r>
      <w:r>
        <w:t>29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_Toc1609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 开标</w:t>
      </w:r>
      <w:r>
        <w:tab/>
      </w:r>
      <w:r>
        <w:fldChar w:fldCharType="begin"/>
      </w:r>
      <w:r>
        <w:instrText xml:space="preserve"> PAGEREF _Toc1609 \h </w:instrText>
      </w:r>
      <w:r>
        <w:fldChar w:fldCharType="separate"/>
      </w:r>
      <w:r>
        <w:t>29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_Toc20965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5.1 开标时间、地点</w:t>
      </w:r>
      <w:r>
        <w:tab/>
      </w:r>
      <w:r>
        <w:fldChar w:fldCharType="begin"/>
      </w:r>
      <w:r>
        <w:instrText xml:space="preserve"> PAGEREF _Toc20965 \h </w:instrText>
      </w:r>
      <w:r>
        <w:fldChar w:fldCharType="separate"/>
      </w:r>
      <w:r>
        <w:t>29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_Toc13327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5.2 开标程序</w:t>
      </w:r>
      <w:r>
        <w:tab/>
      </w:r>
      <w:r>
        <w:fldChar w:fldCharType="begin"/>
      </w:r>
      <w:r>
        <w:instrText xml:space="preserve"> PAGEREF _Toc13327 \h </w:instrText>
      </w:r>
      <w:r>
        <w:fldChar w:fldCharType="separate"/>
      </w:r>
      <w:r>
        <w:t>29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_Toc1283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5.3开标异议</w:t>
      </w:r>
      <w:r>
        <w:tab/>
      </w:r>
      <w:r>
        <w:fldChar w:fldCharType="begin"/>
      </w:r>
      <w:r>
        <w:instrText xml:space="preserve"> PAGEREF _Toc1283 \h </w:instrText>
      </w:r>
      <w:r>
        <w:fldChar w:fldCharType="separate"/>
      </w:r>
      <w:r>
        <w:t>30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_Toc6269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6 评标</w:t>
      </w:r>
      <w:r>
        <w:tab/>
      </w:r>
      <w:r>
        <w:fldChar w:fldCharType="begin"/>
      </w:r>
      <w:r>
        <w:instrText xml:space="preserve"> PAGEREF _Toc6269 \h </w:instrText>
      </w:r>
      <w:r>
        <w:fldChar w:fldCharType="separate"/>
      </w:r>
      <w:r>
        <w:t>30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_Toc17661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6.1 评标委员会</w:t>
      </w:r>
      <w:r>
        <w:tab/>
      </w:r>
      <w:r>
        <w:fldChar w:fldCharType="begin"/>
      </w:r>
      <w:r>
        <w:instrText xml:space="preserve"> PAGEREF _Toc17661 \h </w:instrText>
      </w:r>
      <w:r>
        <w:fldChar w:fldCharType="separate"/>
      </w:r>
      <w:r>
        <w:t>30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_Toc23778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6.2 评标原则</w:t>
      </w:r>
      <w:r>
        <w:tab/>
      </w:r>
      <w:r>
        <w:fldChar w:fldCharType="begin"/>
      </w:r>
      <w:r>
        <w:instrText xml:space="preserve"> PAGEREF _Toc23778 \h </w:instrText>
      </w:r>
      <w:r>
        <w:fldChar w:fldCharType="separate"/>
      </w:r>
      <w:r>
        <w:t>30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_Toc1655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6.3 评标</w:t>
      </w:r>
      <w:r>
        <w:tab/>
      </w:r>
      <w:r>
        <w:fldChar w:fldCharType="begin"/>
      </w:r>
      <w:r>
        <w:instrText xml:space="preserve"> PAGEREF _Toc1655 \h </w:instrText>
      </w:r>
      <w:r>
        <w:fldChar w:fldCharType="separate"/>
      </w:r>
      <w:r>
        <w:t>31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_Toc6552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highlight w:val="none"/>
        </w:rPr>
        <w:t>6.4 评标结果公示</w:t>
      </w:r>
      <w:r>
        <w:tab/>
      </w:r>
      <w:r>
        <w:fldChar w:fldCharType="begin"/>
      </w:r>
      <w:r>
        <w:instrText xml:space="preserve"> PAGEREF _Toc6552 \h </w:instrText>
      </w:r>
      <w:r>
        <w:fldChar w:fldCharType="separate"/>
      </w:r>
      <w:r>
        <w:t>31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_Toc17796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 合同授予</w:t>
      </w:r>
      <w:r>
        <w:tab/>
      </w:r>
      <w:r>
        <w:fldChar w:fldCharType="begin"/>
      </w:r>
      <w:r>
        <w:instrText xml:space="preserve"> PAGEREF _Toc17796 \h </w:instrText>
      </w:r>
      <w:r>
        <w:fldChar w:fldCharType="separate"/>
      </w:r>
      <w:r>
        <w:t>31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_Toc4870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7.1 定标方式</w:t>
      </w:r>
      <w:r>
        <w:tab/>
      </w:r>
      <w:r>
        <w:fldChar w:fldCharType="begin"/>
      </w:r>
      <w:r>
        <w:instrText xml:space="preserve"> PAGEREF _Toc4870 \h </w:instrText>
      </w:r>
      <w:r>
        <w:fldChar w:fldCharType="separate"/>
      </w:r>
      <w:r>
        <w:t>31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_Toc29475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7.2 中标通知</w:t>
      </w:r>
      <w:r>
        <w:rPr>
          <w:rFonts w:hint="eastAsia" w:ascii="方正仿宋_GB2312" w:hAnsi="方正仿宋_GB2312" w:eastAsia="方正仿宋_GB2312" w:cs="方正仿宋_GB2312"/>
          <w:szCs w:val="32"/>
          <w:lang w:val="en-US" w:eastAsia="zh-CN"/>
        </w:rPr>
        <w:t>书</w:t>
      </w:r>
      <w:r>
        <w:rPr>
          <w:rFonts w:hint="eastAsia" w:ascii="方正仿宋_GB2312" w:hAnsi="方正仿宋_GB2312" w:eastAsia="方正仿宋_GB2312" w:cs="方正仿宋_GB2312"/>
          <w:szCs w:val="32"/>
        </w:rPr>
        <w:t>及中标结果公告</w:t>
      </w:r>
      <w:r>
        <w:tab/>
      </w:r>
      <w:r>
        <w:fldChar w:fldCharType="begin"/>
      </w:r>
      <w:r>
        <w:instrText xml:space="preserve"> PAGEREF _Toc29475 \h </w:instrText>
      </w:r>
      <w:r>
        <w:fldChar w:fldCharType="separate"/>
      </w:r>
      <w:r>
        <w:t>32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_Toc916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7.3 履约</w:t>
      </w:r>
      <w:r>
        <w:rPr>
          <w:rFonts w:hint="eastAsia" w:ascii="方正仿宋_GB2312" w:hAnsi="方正仿宋_GB2312" w:eastAsia="方正仿宋_GB2312" w:cs="方正仿宋_GB2312"/>
          <w:szCs w:val="32"/>
          <w:lang w:val="en-US" w:eastAsia="zh-CN"/>
        </w:rPr>
        <w:t>担保及工程款支付担保</w:t>
      </w:r>
      <w:r>
        <w:tab/>
      </w:r>
      <w:r>
        <w:fldChar w:fldCharType="begin"/>
      </w:r>
      <w:r>
        <w:instrText xml:space="preserve"> PAGEREF _Toc916 \h </w:instrText>
      </w:r>
      <w:r>
        <w:fldChar w:fldCharType="separate"/>
      </w:r>
      <w:r>
        <w:t>32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_Toc24538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7.4 签订合同</w:t>
      </w:r>
      <w:r>
        <w:tab/>
      </w:r>
      <w:r>
        <w:fldChar w:fldCharType="begin"/>
      </w:r>
      <w:r>
        <w:instrText xml:space="preserve"> PAGEREF _Toc24538 \h </w:instrText>
      </w:r>
      <w:r>
        <w:fldChar w:fldCharType="separate"/>
      </w:r>
      <w:r>
        <w:t>33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_Toc615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8 重新招标</w:t>
      </w:r>
      <w:r>
        <w:tab/>
      </w:r>
      <w:r>
        <w:fldChar w:fldCharType="begin"/>
      </w:r>
      <w:r>
        <w:instrText xml:space="preserve"> PAGEREF _Toc615 \h </w:instrText>
      </w:r>
      <w:r>
        <w:fldChar w:fldCharType="separate"/>
      </w:r>
      <w:r>
        <w:t>33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_Toc5134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8.1 重新招标</w:t>
      </w:r>
      <w:r>
        <w:tab/>
      </w:r>
      <w:r>
        <w:fldChar w:fldCharType="begin"/>
      </w:r>
      <w:r>
        <w:instrText xml:space="preserve"> PAGEREF _Toc5134 \h </w:instrText>
      </w:r>
      <w:r>
        <w:fldChar w:fldCharType="separate"/>
      </w:r>
      <w:r>
        <w:t>33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_Toc21732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9纪律和监督</w:t>
      </w:r>
      <w:r>
        <w:tab/>
      </w:r>
      <w:r>
        <w:fldChar w:fldCharType="begin"/>
      </w:r>
      <w:r>
        <w:instrText xml:space="preserve"> PAGEREF _Toc21732 \h </w:instrText>
      </w:r>
      <w:r>
        <w:fldChar w:fldCharType="separate"/>
      </w:r>
      <w:r>
        <w:t>33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_Toc19443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9.1 对招标人的纪律要求</w:t>
      </w:r>
      <w:r>
        <w:tab/>
      </w:r>
      <w:r>
        <w:fldChar w:fldCharType="begin"/>
      </w:r>
      <w:r>
        <w:instrText xml:space="preserve"> PAGEREF _Toc19443 \h </w:instrText>
      </w:r>
      <w:r>
        <w:fldChar w:fldCharType="separate"/>
      </w:r>
      <w:r>
        <w:t>33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_Toc10559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9.2 对投标人的纪律要求</w:t>
      </w:r>
      <w:r>
        <w:tab/>
      </w:r>
      <w:r>
        <w:fldChar w:fldCharType="begin"/>
      </w:r>
      <w:r>
        <w:instrText xml:space="preserve"> PAGEREF _Toc10559 \h </w:instrText>
      </w:r>
      <w:r>
        <w:fldChar w:fldCharType="separate"/>
      </w:r>
      <w:r>
        <w:t>33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_Toc15453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9.3 对评标委员会成员的纪律要求</w:t>
      </w:r>
      <w:r>
        <w:tab/>
      </w:r>
      <w:r>
        <w:fldChar w:fldCharType="begin"/>
      </w:r>
      <w:r>
        <w:instrText xml:space="preserve"> PAGEREF _Toc15453 \h </w:instrText>
      </w:r>
      <w:r>
        <w:fldChar w:fldCharType="separate"/>
      </w:r>
      <w:r>
        <w:t>34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_Toc27308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9.4 对与评标活动有关的工作人员的纪律要求</w:t>
      </w:r>
      <w:r>
        <w:tab/>
      </w:r>
      <w:r>
        <w:fldChar w:fldCharType="begin"/>
      </w:r>
      <w:r>
        <w:instrText xml:space="preserve"> PAGEREF _Toc27308 \h </w:instrText>
      </w:r>
      <w:r>
        <w:fldChar w:fldCharType="separate"/>
      </w:r>
      <w:r>
        <w:t>34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_Toc11958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9.5 异议与投诉</w:t>
      </w:r>
      <w:r>
        <w:tab/>
      </w:r>
      <w:r>
        <w:fldChar w:fldCharType="begin"/>
      </w:r>
      <w:r>
        <w:instrText xml:space="preserve"> PAGEREF _Toc11958 \h </w:instrText>
      </w:r>
      <w:r>
        <w:fldChar w:fldCharType="separate"/>
      </w:r>
      <w:r>
        <w:t>34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_Toc9192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rPr>
        <w:t xml:space="preserve">10 </w:t>
      </w:r>
      <w:r>
        <w:rPr>
          <w:rFonts w:hint="eastAsia" w:ascii="方正仿宋_GB2312" w:hAnsi="方正仿宋_GB2312" w:eastAsia="方正仿宋_GB2312" w:cs="方正仿宋_GB2312"/>
          <w:bCs/>
          <w:szCs w:val="32"/>
          <w:lang w:val="en-US" w:eastAsia="zh-CN"/>
        </w:rPr>
        <w:t>需要补充的其他内容</w:t>
      </w:r>
      <w:r>
        <w:tab/>
      </w:r>
      <w:r>
        <w:fldChar w:fldCharType="begin"/>
      </w:r>
      <w:r>
        <w:instrText xml:space="preserve"> PAGEREF _Toc9192 \h </w:instrText>
      </w:r>
      <w:r>
        <w:fldChar w:fldCharType="separate"/>
      </w:r>
      <w:r>
        <w:t>34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_Toc13781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第三章  评标办法</w:t>
      </w:r>
      <w:r>
        <w:tab/>
      </w:r>
      <w:r>
        <w:fldChar w:fldCharType="begin"/>
      </w:r>
      <w:r>
        <w:instrText xml:space="preserve"> PAGEREF _Toc13781 \h </w:instrText>
      </w:r>
      <w:r>
        <w:fldChar w:fldCharType="separate"/>
      </w:r>
      <w:r>
        <w:t>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_Toc19249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一、 综合评估法</w:t>
      </w:r>
      <w:r>
        <w:tab/>
      </w:r>
      <w:r>
        <w:fldChar w:fldCharType="begin"/>
      </w:r>
      <w:r>
        <w:instrText xml:space="preserve"> PAGEREF _Toc19249 \h </w:instrText>
      </w:r>
      <w:r>
        <w:fldChar w:fldCharType="separate"/>
      </w:r>
      <w:r>
        <w:t>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_Toc2722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kern w:val="2"/>
          <w:szCs w:val="32"/>
          <w:lang w:val="en-US" w:eastAsia="zh-CN" w:bidi="ar-SA"/>
        </w:rPr>
        <w:t>（一）初步评审</w:t>
      </w:r>
      <w:r>
        <w:tab/>
      </w:r>
      <w:r>
        <w:fldChar w:fldCharType="begin"/>
      </w:r>
      <w:r>
        <w:instrText xml:space="preserve"> PAGEREF _Toc2722 \h </w:instrText>
      </w:r>
      <w:r>
        <w:fldChar w:fldCharType="separate"/>
      </w:r>
      <w:r>
        <w:t>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_Toc27375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kern w:val="2"/>
          <w:szCs w:val="32"/>
          <w:lang w:val="en-US" w:eastAsia="zh-CN" w:bidi="ar-SA"/>
        </w:rPr>
        <w:t>（二）详细评审</w:t>
      </w:r>
      <w:r>
        <w:tab/>
      </w:r>
      <w:r>
        <w:fldChar w:fldCharType="begin"/>
      </w:r>
      <w:r>
        <w:instrText xml:space="preserve"> PAGEREF _Toc27375 \h </w:instrText>
      </w:r>
      <w:r>
        <w:fldChar w:fldCharType="separate"/>
      </w:r>
      <w:r>
        <w:t>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_Toc22172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kern w:val="2"/>
          <w:szCs w:val="32"/>
          <w:lang w:val="en-US" w:eastAsia="zh-CN" w:bidi="ar-SA"/>
        </w:rPr>
        <w:t>（三）汇总评分结果</w:t>
      </w:r>
      <w:r>
        <w:tab/>
      </w:r>
      <w:r>
        <w:fldChar w:fldCharType="begin"/>
      </w:r>
      <w:r>
        <w:instrText xml:space="preserve"> PAGEREF _Toc22172 \h </w:instrText>
      </w:r>
      <w:r>
        <w:fldChar w:fldCharType="separate"/>
      </w:r>
      <w:r>
        <w:t>39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_Toc29839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kern w:val="2"/>
          <w:szCs w:val="32"/>
          <w:lang w:val="en-US" w:eastAsia="zh-CN" w:bidi="ar-SA"/>
        </w:rPr>
        <w:t>（四）各项评审因素权重</w:t>
      </w:r>
      <w:r>
        <w:tab/>
      </w:r>
      <w:r>
        <w:fldChar w:fldCharType="begin"/>
      </w:r>
      <w:r>
        <w:instrText xml:space="preserve"> PAGEREF _Toc29839 \h </w:instrText>
      </w:r>
      <w:r>
        <w:fldChar w:fldCharType="separate"/>
      </w:r>
      <w:r>
        <w:t>40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_Toc9143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kern w:val="2"/>
          <w:szCs w:val="32"/>
          <w:lang w:val="en-US" w:eastAsia="zh-CN" w:bidi="ar-SA"/>
        </w:rPr>
        <w:t>（五）推荐中标候选人</w:t>
      </w:r>
      <w:r>
        <w:tab/>
      </w:r>
      <w:r>
        <w:fldChar w:fldCharType="begin"/>
      </w:r>
      <w:r>
        <w:instrText xml:space="preserve"> PAGEREF _Toc9143 \h </w:instrText>
      </w:r>
      <w:r>
        <w:fldChar w:fldCharType="separate"/>
      </w:r>
      <w:r>
        <w:t>40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_Toc14185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二、经评审的最低投标价法</w:t>
      </w:r>
      <w:r>
        <w:tab/>
      </w:r>
      <w:r>
        <w:fldChar w:fldCharType="begin"/>
      </w:r>
      <w:r>
        <w:instrText xml:space="preserve"> PAGEREF _Toc14185 \h </w:instrText>
      </w:r>
      <w:r>
        <w:fldChar w:fldCharType="separate"/>
      </w:r>
      <w:r>
        <w:t>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_Toc9279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eastAsia="zh-CN"/>
        </w:rPr>
        <w:t>（</w:t>
      </w:r>
      <w:r>
        <w:rPr>
          <w:rFonts w:hint="eastAsia" w:ascii="方正仿宋_GB2312" w:hAnsi="方正仿宋_GB2312" w:eastAsia="方正仿宋_GB2312" w:cs="方正仿宋_GB2312"/>
          <w:szCs w:val="32"/>
        </w:rPr>
        <w:t>一</w:t>
      </w:r>
      <w:r>
        <w:rPr>
          <w:rFonts w:hint="eastAsia" w:ascii="方正仿宋_GB2312" w:hAnsi="方正仿宋_GB2312" w:eastAsia="方正仿宋_GB2312" w:cs="方正仿宋_GB2312"/>
          <w:szCs w:val="32"/>
          <w:lang w:eastAsia="zh-CN"/>
        </w:rPr>
        <w:t>）</w:t>
      </w:r>
      <w:r>
        <w:rPr>
          <w:rFonts w:hint="eastAsia" w:ascii="方正仿宋_GB2312" w:hAnsi="方正仿宋_GB2312" w:eastAsia="方正仿宋_GB2312" w:cs="方正仿宋_GB2312"/>
          <w:szCs w:val="32"/>
        </w:rPr>
        <w:t>初步评审</w:t>
      </w:r>
      <w:r>
        <w:tab/>
      </w:r>
      <w:r>
        <w:fldChar w:fldCharType="begin"/>
      </w:r>
      <w:r>
        <w:instrText xml:space="preserve"> PAGEREF _Toc9279 \h </w:instrText>
      </w:r>
      <w:r>
        <w:fldChar w:fldCharType="separate"/>
      </w:r>
      <w:r>
        <w:t>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_Toc938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eastAsia="zh-CN"/>
        </w:rPr>
        <w:t>（</w:t>
      </w:r>
      <w:r>
        <w:rPr>
          <w:rFonts w:hint="eastAsia" w:ascii="方正仿宋_GB2312" w:hAnsi="方正仿宋_GB2312" w:eastAsia="方正仿宋_GB2312" w:cs="方正仿宋_GB2312"/>
          <w:szCs w:val="32"/>
          <w:lang w:val="en-US" w:eastAsia="zh-CN"/>
        </w:rPr>
        <w:t>二</w:t>
      </w:r>
      <w:r>
        <w:rPr>
          <w:rFonts w:hint="eastAsia" w:ascii="方正仿宋_GB2312" w:hAnsi="方正仿宋_GB2312" w:eastAsia="方正仿宋_GB2312" w:cs="方正仿宋_GB2312"/>
          <w:szCs w:val="32"/>
          <w:lang w:eastAsia="zh-CN"/>
        </w:rPr>
        <w:t>）</w:t>
      </w:r>
      <w:r>
        <w:rPr>
          <w:rFonts w:hint="eastAsia" w:ascii="方正仿宋_GB2312" w:hAnsi="方正仿宋_GB2312" w:eastAsia="方正仿宋_GB2312" w:cs="方正仿宋_GB2312"/>
          <w:szCs w:val="32"/>
        </w:rPr>
        <w:t>详细评审</w:t>
      </w:r>
      <w:r>
        <w:tab/>
      </w:r>
      <w:r>
        <w:fldChar w:fldCharType="begin"/>
      </w:r>
      <w:r>
        <w:instrText xml:space="preserve"> PAGEREF _Toc938 \h </w:instrText>
      </w:r>
      <w:r>
        <w:fldChar w:fldCharType="separate"/>
      </w:r>
      <w:r>
        <w:t>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_Toc23188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1</w:t>
      </w:r>
      <w:r>
        <w:rPr>
          <w:rFonts w:hint="eastAsia" w:ascii="方正仿宋_GB2312" w:hAnsi="方正仿宋_GB2312" w:eastAsia="方正仿宋_GB2312" w:cs="方正仿宋_GB2312"/>
          <w:szCs w:val="32"/>
        </w:rPr>
        <w:t>、技术标评审</w:t>
      </w:r>
      <w:r>
        <w:tab/>
      </w:r>
      <w:r>
        <w:fldChar w:fldCharType="begin"/>
      </w:r>
      <w:r>
        <w:instrText xml:space="preserve"> PAGEREF _Toc23188 \h </w:instrText>
      </w:r>
      <w:r>
        <w:fldChar w:fldCharType="separate"/>
      </w:r>
      <w:r>
        <w:t>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_Toc394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2</w:t>
      </w:r>
      <w:r>
        <w:rPr>
          <w:rFonts w:hint="eastAsia" w:ascii="方正仿宋_GB2312" w:hAnsi="方正仿宋_GB2312" w:eastAsia="方正仿宋_GB2312" w:cs="方正仿宋_GB2312"/>
          <w:szCs w:val="32"/>
        </w:rPr>
        <w:t>、</w:t>
      </w:r>
      <w:r>
        <w:rPr>
          <w:rFonts w:hint="eastAsia" w:ascii="方正仿宋_GB2312" w:hAnsi="方正仿宋_GB2312" w:eastAsia="方正仿宋_GB2312" w:cs="方正仿宋_GB2312"/>
          <w:szCs w:val="32"/>
          <w:lang w:val="en-US" w:eastAsia="zh-CN"/>
        </w:rPr>
        <w:t>经济标评审</w:t>
      </w:r>
      <w:r>
        <w:tab/>
      </w:r>
      <w:r>
        <w:fldChar w:fldCharType="begin"/>
      </w:r>
      <w:r>
        <w:instrText xml:space="preserve"> PAGEREF _Toc394 \h </w:instrText>
      </w:r>
      <w:r>
        <w:fldChar w:fldCharType="separate"/>
      </w:r>
      <w:r>
        <w:t>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_Toc10233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 xml:space="preserve">2.1 </w:t>
      </w:r>
      <w:r>
        <w:rPr>
          <w:rFonts w:hint="eastAsia" w:ascii="方正仿宋_GB2312" w:hAnsi="方正仿宋_GB2312" w:eastAsia="方正仿宋_GB2312" w:cs="方正仿宋_GB2312"/>
          <w:szCs w:val="32"/>
        </w:rPr>
        <w:t>报价修正</w:t>
      </w:r>
      <w:r>
        <w:tab/>
      </w:r>
      <w:r>
        <w:fldChar w:fldCharType="begin"/>
      </w:r>
      <w:r>
        <w:instrText xml:space="preserve"> PAGEREF _Toc10233 \h </w:instrText>
      </w:r>
      <w:r>
        <w:fldChar w:fldCharType="separate"/>
      </w:r>
      <w:r>
        <w:t>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_Toc18278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 xml:space="preserve">2.2 </w:t>
      </w:r>
      <w:r>
        <w:rPr>
          <w:rFonts w:hint="eastAsia" w:ascii="方正仿宋_GB2312" w:hAnsi="方正仿宋_GB2312" w:eastAsia="方正仿宋_GB2312" w:cs="方正仿宋_GB2312"/>
          <w:szCs w:val="32"/>
        </w:rPr>
        <w:t>确定投标报价有效范围</w:t>
      </w:r>
      <w:r>
        <w:rPr>
          <w:rFonts w:hint="eastAsia" w:ascii="方正仿宋_GB2312" w:hAnsi="方正仿宋_GB2312" w:eastAsia="方正仿宋_GB2312" w:cs="方正仿宋_GB2312"/>
          <w:szCs w:val="32"/>
          <w:lang w:eastAsia="zh-CN"/>
        </w:rPr>
        <w:t>（附表</w:t>
      </w:r>
      <w:r>
        <w:rPr>
          <w:rFonts w:hint="eastAsia" w:ascii="方正仿宋_GB2312" w:hAnsi="方正仿宋_GB2312" w:eastAsia="方正仿宋_GB2312" w:cs="方正仿宋_GB2312"/>
          <w:szCs w:val="32"/>
          <w:lang w:val="en-US" w:eastAsia="zh-CN"/>
        </w:rPr>
        <w:t>2-1</w:t>
      </w:r>
      <w:r>
        <w:rPr>
          <w:rFonts w:hint="eastAsia" w:ascii="方正仿宋_GB2312" w:hAnsi="方正仿宋_GB2312" w:eastAsia="方正仿宋_GB2312" w:cs="方正仿宋_GB2312"/>
          <w:szCs w:val="32"/>
          <w:lang w:eastAsia="zh-CN"/>
        </w:rPr>
        <w:t>）</w:t>
      </w:r>
      <w:r>
        <w:tab/>
      </w:r>
      <w:r>
        <w:fldChar w:fldCharType="begin"/>
      </w:r>
      <w:r>
        <w:instrText xml:space="preserve"> PAGEREF _Toc18278 \h </w:instrText>
      </w:r>
      <w:r>
        <w:fldChar w:fldCharType="separate"/>
      </w:r>
      <w:r>
        <w:t>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_Toc17117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（三）推荐中标候选</w:t>
      </w:r>
      <w:r>
        <w:rPr>
          <w:rFonts w:hint="eastAsia" w:ascii="方正仿宋_GB2312" w:hAnsi="方正仿宋_GB2312" w:eastAsia="方正仿宋_GB2312" w:cs="方正仿宋_GB2312"/>
          <w:szCs w:val="32"/>
        </w:rPr>
        <w:t>人</w:t>
      </w:r>
      <w:r>
        <w:rPr>
          <w:rFonts w:hint="eastAsia" w:ascii="方正仿宋_GB2312" w:hAnsi="方正仿宋_GB2312" w:eastAsia="方正仿宋_GB2312" w:cs="方正仿宋_GB2312"/>
          <w:szCs w:val="32"/>
          <w:lang w:eastAsia="zh-CN"/>
        </w:rPr>
        <w:t>（附表</w:t>
      </w:r>
      <w:r>
        <w:rPr>
          <w:rFonts w:hint="eastAsia" w:ascii="方正仿宋_GB2312" w:hAnsi="方正仿宋_GB2312" w:eastAsia="方正仿宋_GB2312" w:cs="方正仿宋_GB2312"/>
          <w:szCs w:val="32"/>
          <w:lang w:val="en-US" w:eastAsia="zh-CN"/>
        </w:rPr>
        <w:t>2-3</w:t>
      </w:r>
      <w:r>
        <w:rPr>
          <w:rFonts w:hint="eastAsia" w:ascii="方正仿宋_GB2312" w:hAnsi="方正仿宋_GB2312" w:eastAsia="方正仿宋_GB2312" w:cs="方正仿宋_GB2312"/>
          <w:szCs w:val="32"/>
          <w:lang w:eastAsia="zh-CN"/>
        </w:rPr>
        <w:t>）</w:t>
      </w:r>
      <w:r>
        <w:tab/>
      </w:r>
      <w:r>
        <w:fldChar w:fldCharType="begin"/>
      </w:r>
      <w:r>
        <w:instrText xml:space="preserve"> PAGEREF _Toc17117 \h </w:instrText>
      </w:r>
      <w:r>
        <w:fldChar w:fldCharType="separate"/>
      </w:r>
      <w:r>
        <w:t>60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_Toc19827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lang w:val="en-US" w:eastAsia="zh-CN"/>
        </w:rPr>
        <w:t>三、</w:t>
      </w:r>
      <w:r>
        <w:rPr>
          <w:rFonts w:hint="eastAsia" w:ascii="方正仿宋_GB2312" w:hAnsi="方正仿宋_GB2312" w:eastAsia="方正仿宋_GB2312" w:cs="方正仿宋_GB2312"/>
          <w:bCs/>
          <w:szCs w:val="32"/>
        </w:rPr>
        <w:t>定性评审法</w:t>
      </w:r>
      <w:r>
        <w:tab/>
      </w:r>
      <w:r>
        <w:fldChar w:fldCharType="begin"/>
      </w:r>
      <w:r>
        <w:instrText xml:space="preserve"> PAGEREF _Toc19827 \h </w:instrText>
      </w:r>
      <w:r>
        <w:fldChar w:fldCharType="separate"/>
      </w:r>
      <w:r>
        <w:t>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_Toc5147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eastAsia="zh-CN"/>
        </w:rPr>
        <w:t>（</w:t>
      </w:r>
      <w:r>
        <w:rPr>
          <w:rFonts w:hint="eastAsia" w:ascii="方正仿宋_GB2312" w:hAnsi="方正仿宋_GB2312" w:eastAsia="方正仿宋_GB2312" w:cs="方正仿宋_GB2312"/>
          <w:szCs w:val="32"/>
          <w:lang w:val="en-US" w:eastAsia="zh-CN"/>
        </w:rPr>
        <w:t>一</w:t>
      </w:r>
      <w:r>
        <w:rPr>
          <w:rFonts w:hint="eastAsia" w:ascii="方正仿宋_GB2312" w:hAnsi="方正仿宋_GB2312" w:eastAsia="方正仿宋_GB2312" w:cs="方正仿宋_GB2312"/>
          <w:szCs w:val="32"/>
          <w:lang w:eastAsia="zh-CN"/>
        </w:rPr>
        <w:t>）</w:t>
      </w:r>
      <w:r>
        <w:rPr>
          <w:rFonts w:hint="eastAsia" w:ascii="方正仿宋_GB2312" w:hAnsi="方正仿宋_GB2312" w:eastAsia="方正仿宋_GB2312" w:cs="方正仿宋_GB2312"/>
          <w:szCs w:val="32"/>
        </w:rPr>
        <w:t>重大偏差评审</w:t>
      </w:r>
      <w:r>
        <w:tab/>
      </w:r>
      <w:r>
        <w:fldChar w:fldCharType="begin"/>
      </w:r>
      <w:r>
        <w:instrText xml:space="preserve"> PAGEREF _Toc5147 \h </w:instrText>
      </w:r>
      <w:r>
        <w:fldChar w:fldCharType="separate"/>
      </w:r>
      <w:r>
        <w:t>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_Toc30943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（二）报价修正</w:t>
      </w:r>
      <w:r>
        <w:tab/>
      </w:r>
      <w:r>
        <w:fldChar w:fldCharType="begin"/>
      </w:r>
      <w:r>
        <w:instrText xml:space="preserve"> PAGEREF _Toc30943 \h </w:instrText>
      </w:r>
      <w:r>
        <w:fldChar w:fldCharType="separate"/>
      </w:r>
      <w:r>
        <w:t>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_Toc14924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（三）报价合理性评审</w:t>
      </w:r>
      <w:r>
        <w:tab/>
      </w:r>
      <w:r>
        <w:fldChar w:fldCharType="begin"/>
      </w:r>
      <w:r>
        <w:instrText xml:space="preserve"> PAGEREF _Toc14924 \h </w:instrText>
      </w:r>
      <w:r>
        <w:fldChar w:fldCharType="separate"/>
      </w:r>
      <w:r>
        <w:t>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_Toc15175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（四）计算价格切线（附表3-2）</w:t>
      </w:r>
      <w:r>
        <w:tab/>
      </w:r>
      <w:r>
        <w:fldChar w:fldCharType="begin"/>
      </w:r>
      <w:r>
        <w:instrText xml:space="preserve"> PAGEREF _Toc15175 \h </w:instrText>
      </w:r>
      <w:r>
        <w:fldChar w:fldCharType="separate"/>
      </w:r>
      <w:r>
        <w:t>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_Toc27459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（五）确定入围投标人数量</w:t>
      </w:r>
      <w:r>
        <w:tab/>
      </w:r>
      <w:r>
        <w:fldChar w:fldCharType="begin"/>
      </w:r>
      <w:r>
        <w:instrText xml:space="preserve"> PAGEREF _Toc27459 \h </w:instrText>
      </w:r>
      <w:r>
        <w:fldChar w:fldCharType="separate"/>
      </w:r>
      <w:r>
        <w:t>68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_Toc31351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eastAsia="zh-CN"/>
        </w:rPr>
        <w:t>（</w:t>
      </w:r>
      <w:r>
        <w:rPr>
          <w:rFonts w:hint="eastAsia" w:ascii="方正仿宋_GB2312" w:hAnsi="方正仿宋_GB2312" w:eastAsia="方正仿宋_GB2312" w:cs="方正仿宋_GB2312"/>
          <w:szCs w:val="32"/>
          <w:lang w:val="en-US" w:eastAsia="zh-CN"/>
        </w:rPr>
        <w:t>六</w:t>
      </w:r>
      <w:r>
        <w:rPr>
          <w:rFonts w:hint="eastAsia" w:ascii="方正仿宋_GB2312" w:hAnsi="方正仿宋_GB2312" w:eastAsia="方正仿宋_GB2312" w:cs="方正仿宋_GB2312"/>
          <w:szCs w:val="32"/>
          <w:lang w:eastAsia="zh-CN"/>
        </w:rPr>
        <w:t>）</w:t>
      </w:r>
      <w:r>
        <w:rPr>
          <w:rFonts w:hint="eastAsia" w:ascii="方正仿宋_GB2312" w:hAnsi="方正仿宋_GB2312" w:eastAsia="方正仿宋_GB2312" w:cs="方正仿宋_GB2312"/>
          <w:szCs w:val="32"/>
          <w:lang w:val="en-US" w:eastAsia="zh-CN"/>
        </w:rPr>
        <w:t>形式和资格</w:t>
      </w:r>
      <w:r>
        <w:rPr>
          <w:rFonts w:hint="eastAsia" w:ascii="方正仿宋_GB2312" w:hAnsi="方正仿宋_GB2312" w:eastAsia="方正仿宋_GB2312" w:cs="方正仿宋_GB2312"/>
          <w:szCs w:val="32"/>
        </w:rPr>
        <w:t>评审</w:t>
      </w:r>
      <w:r>
        <w:tab/>
      </w:r>
      <w:r>
        <w:fldChar w:fldCharType="begin"/>
      </w:r>
      <w:r>
        <w:instrText xml:space="preserve"> PAGEREF _Toc31351 \h </w:instrText>
      </w:r>
      <w:r>
        <w:fldChar w:fldCharType="separate"/>
      </w:r>
      <w:r>
        <w:t>68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_Toc1939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（七）技术标定性评审</w:t>
      </w:r>
      <w:r>
        <w:tab/>
      </w:r>
      <w:r>
        <w:fldChar w:fldCharType="begin"/>
      </w:r>
      <w:r>
        <w:instrText xml:space="preserve"> PAGEREF _Toc1939 \h </w:instrText>
      </w:r>
      <w:r>
        <w:fldChar w:fldCharType="separate"/>
      </w:r>
      <w:r>
        <w:t>68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_Toc10121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lang w:val="en-US" w:eastAsia="zh-CN"/>
        </w:rPr>
        <w:t>（八）推荐定标候选</w:t>
      </w:r>
      <w:r>
        <w:rPr>
          <w:rFonts w:hint="eastAsia" w:ascii="方正仿宋_GB2312" w:hAnsi="方正仿宋_GB2312" w:eastAsia="方正仿宋_GB2312" w:cs="方正仿宋_GB2312"/>
          <w:szCs w:val="32"/>
        </w:rPr>
        <w:t>人</w:t>
      </w:r>
      <w:r>
        <w:tab/>
      </w:r>
      <w:r>
        <w:fldChar w:fldCharType="begin"/>
      </w:r>
      <w:r>
        <w:instrText xml:space="preserve"> PAGEREF _Toc10121 \h </w:instrText>
      </w:r>
      <w:r>
        <w:fldChar w:fldCharType="separate"/>
      </w:r>
      <w:r>
        <w:t>69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_Toc19318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第四章  合同条款及格式</w:t>
      </w:r>
      <w:r>
        <w:tab/>
      </w:r>
      <w:r>
        <w:fldChar w:fldCharType="begin"/>
      </w:r>
      <w:r>
        <w:instrText xml:space="preserve"> PAGEREF _Toc19318 \h </w:instrText>
      </w:r>
      <w:r>
        <w:fldChar w:fldCharType="separate"/>
      </w:r>
      <w:r>
        <w:t>78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_Toc1839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第一部分 合同协议书</w:t>
      </w:r>
      <w:r>
        <w:tab/>
      </w:r>
      <w:r>
        <w:fldChar w:fldCharType="begin"/>
      </w:r>
      <w:r>
        <w:instrText xml:space="preserve"> PAGEREF _Toc1839 \h </w:instrText>
      </w:r>
      <w:r>
        <w:fldChar w:fldCharType="separate"/>
      </w:r>
      <w:r>
        <w:t>82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_Toc1203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一、工程概况</w:t>
      </w:r>
      <w:r>
        <w:tab/>
      </w:r>
      <w:r>
        <w:fldChar w:fldCharType="begin"/>
      </w:r>
      <w:r>
        <w:instrText xml:space="preserve"> PAGEREF _Toc1203 \h </w:instrText>
      </w:r>
      <w:r>
        <w:fldChar w:fldCharType="separate"/>
      </w:r>
      <w:r>
        <w:t>82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_Toc17544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二、合同工期</w:t>
      </w:r>
      <w:r>
        <w:tab/>
      </w:r>
      <w:r>
        <w:fldChar w:fldCharType="begin"/>
      </w:r>
      <w:r>
        <w:instrText xml:space="preserve"> PAGEREF _Toc17544 \h </w:instrText>
      </w:r>
      <w:r>
        <w:fldChar w:fldCharType="separate"/>
      </w:r>
      <w:r>
        <w:t>82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_Toc15513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三、质量标准</w:t>
      </w:r>
      <w:r>
        <w:tab/>
      </w:r>
      <w:r>
        <w:fldChar w:fldCharType="begin"/>
      </w:r>
      <w:r>
        <w:instrText xml:space="preserve"> PAGEREF _Toc15513 \h </w:instrText>
      </w:r>
      <w:r>
        <w:fldChar w:fldCharType="separate"/>
      </w:r>
      <w:r>
        <w:t>82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_Toc19371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四、签约合同价与合同价格形式</w:t>
      </w:r>
      <w:r>
        <w:tab/>
      </w:r>
      <w:r>
        <w:fldChar w:fldCharType="begin"/>
      </w:r>
      <w:r>
        <w:instrText xml:space="preserve"> PAGEREF _Toc19371 \h </w:instrText>
      </w:r>
      <w:r>
        <w:fldChar w:fldCharType="separate"/>
      </w:r>
      <w:r>
        <w:t>82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_Toc7897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五、项目经理</w:t>
      </w:r>
      <w:r>
        <w:tab/>
      </w:r>
      <w:r>
        <w:fldChar w:fldCharType="begin"/>
      </w:r>
      <w:r>
        <w:instrText xml:space="preserve"> PAGEREF _Toc7897 \h </w:instrText>
      </w:r>
      <w:r>
        <w:fldChar w:fldCharType="separate"/>
      </w:r>
      <w:r>
        <w:t>83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_Toc12689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六、合同文件构成</w:t>
      </w:r>
      <w:r>
        <w:tab/>
      </w:r>
      <w:r>
        <w:fldChar w:fldCharType="begin"/>
      </w:r>
      <w:r>
        <w:instrText xml:space="preserve"> PAGEREF _Toc12689 \h </w:instrText>
      </w:r>
      <w:r>
        <w:fldChar w:fldCharType="separate"/>
      </w:r>
      <w:r>
        <w:t>83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_Toc27730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七、承诺</w:t>
      </w:r>
      <w:r>
        <w:tab/>
      </w:r>
      <w:r>
        <w:fldChar w:fldCharType="begin"/>
      </w:r>
      <w:r>
        <w:instrText xml:space="preserve"> PAGEREF _Toc27730 \h </w:instrText>
      </w:r>
      <w:r>
        <w:fldChar w:fldCharType="separate"/>
      </w:r>
      <w:r>
        <w:t>83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_Toc23620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八、词语含义</w:t>
      </w:r>
      <w:r>
        <w:tab/>
      </w:r>
      <w:r>
        <w:fldChar w:fldCharType="begin"/>
      </w:r>
      <w:r>
        <w:instrText xml:space="preserve"> PAGEREF _Toc23620 \h </w:instrText>
      </w:r>
      <w:r>
        <w:fldChar w:fldCharType="separate"/>
      </w:r>
      <w:r>
        <w:t>84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九、签订时间</w:t>
      </w:r>
      <w:r>
        <w:tab/>
      </w:r>
      <w:r>
        <w:fldChar w:fldCharType="begin"/>
      </w:r>
      <w:r>
        <w:instrText xml:space="preserve"> PAGEREF _Toc259 \h </w:instrText>
      </w:r>
      <w:r>
        <w:fldChar w:fldCharType="separate"/>
      </w:r>
      <w:r>
        <w:t>84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_Toc30069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十、签订地点</w:t>
      </w:r>
      <w:r>
        <w:tab/>
      </w:r>
      <w:r>
        <w:fldChar w:fldCharType="begin"/>
      </w:r>
      <w:r>
        <w:instrText xml:space="preserve"> PAGEREF _Toc30069 \h </w:instrText>
      </w:r>
      <w:r>
        <w:fldChar w:fldCharType="separate"/>
      </w:r>
      <w:r>
        <w:t>84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_Toc28350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十一、补充协议</w:t>
      </w:r>
      <w:r>
        <w:tab/>
      </w:r>
      <w:r>
        <w:fldChar w:fldCharType="begin"/>
      </w:r>
      <w:r>
        <w:instrText xml:space="preserve"> PAGEREF _Toc28350 \h </w:instrText>
      </w:r>
      <w:r>
        <w:fldChar w:fldCharType="separate"/>
      </w:r>
      <w:r>
        <w:t>84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_Toc17138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十二、合同生效</w:t>
      </w:r>
      <w:r>
        <w:tab/>
      </w:r>
      <w:r>
        <w:fldChar w:fldCharType="begin"/>
      </w:r>
      <w:r>
        <w:instrText xml:space="preserve"> PAGEREF _Toc17138 \h </w:instrText>
      </w:r>
      <w:r>
        <w:fldChar w:fldCharType="separate"/>
      </w:r>
      <w:r>
        <w:t>84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_Toc31322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十三、合同份数</w:t>
      </w:r>
      <w:r>
        <w:tab/>
      </w:r>
      <w:r>
        <w:fldChar w:fldCharType="begin"/>
      </w:r>
      <w:r>
        <w:instrText xml:space="preserve"> PAGEREF _Toc31322 \h </w:instrText>
      </w:r>
      <w:r>
        <w:fldChar w:fldCharType="separate"/>
      </w:r>
      <w:r>
        <w:t>84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_Toc7052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第二部分 通用合同条款</w:t>
      </w:r>
      <w:r>
        <w:tab/>
      </w:r>
      <w:r>
        <w:fldChar w:fldCharType="begin"/>
      </w:r>
      <w:r>
        <w:instrText xml:space="preserve"> PAGEREF _Toc7052 \h </w:instrText>
      </w:r>
      <w:r>
        <w:fldChar w:fldCharType="separate"/>
      </w:r>
      <w:r>
        <w:t>86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_Toc30567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 一般约定</w:t>
      </w:r>
      <w:r>
        <w:tab/>
      </w:r>
      <w:r>
        <w:fldChar w:fldCharType="begin"/>
      </w:r>
      <w:r>
        <w:instrText xml:space="preserve"> PAGEREF _Toc30567 \h </w:instrText>
      </w:r>
      <w:r>
        <w:fldChar w:fldCharType="separate"/>
      </w:r>
      <w:r>
        <w:t>86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_Toc9327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 发包人</w:t>
      </w:r>
      <w:r>
        <w:tab/>
      </w:r>
      <w:r>
        <w:fldChar w:fldCharType="begin"/>
      </w:r>
      <w:r>
        <w:instrText xml:space="preserve"> PAGEREF _Toc9327 \h </w:instrText>
      </w:r>
      <w:r>
        <w:fldChar w:fldCharType="separate"/>
      </w:r>
      <w:r>
        <w:t>95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_Toc7873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 承包人</w:t>
      </w:r>
      <w:r>
        <w:tab/>
      </w:r>
      <w:r>
        <w:fldChar w:fldCharType="begin"/>
      </w:r>
      <w:r>
        <w:instrText xml:space="preserve"> PAGEREF _Toc7873 \h </w:instrText>
      </w:r>
      <w:r>
        <w:fldChar w:fldCharType="separate"/>
      </w:r>
      <w:r>
        <w:t>98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_Toc8698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4. 监理人</w:t>
      </w:r>
      <w:r>
        <w:tab/>
      </w:r>
      <w:r>
        <w:fldChar w:fldCharType="begin"/>
      </w:r>
      <w:r>
        <w:instrText xml:space="preserve"> PAGEREF _Toc8698 \h </w:instrText>
      </w:r>
      <w:r>
        <w:fldChar w:fldCharType="separate"/>
      </w:r>
      <w:r>
        <w:t>103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_Toc7792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 工程质量</w:t>
      </w:r>
      <w:r>
        <w:tab/>
      </w:r>
      <w:r>
        <w:fldChar w:fldCharType="begin"/>
      </w:r>
      <w:r>
        <w:instrText xml:space="preserve"> PAGEREF _Toc7792 \h </w:instrText>
      </w:r>
      <w:r>
        <w:fldChar w:fldCharType="separate"/>
      </w:r>
      <w:r>
        <w:t>105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_Toc16537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6. 安全文明施工与环境保护</w:t>
      </w:r>
      <w:r>
        <w:tab/>
      </w:r>
      <w:r>
        <w:fldChar w:fldCharType="begin"/>
      </w:r>
      <w:r>
        <w:instrText xml:space="preserve"> PAGEREF _Toc16537 \h </w:instrText>
      </w:r>
      <w:r>
        <w:fldChar w:fldCharType="separate"/>
      </w:r>
      <w:r>
        <w:t>107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_Toc21934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 工期和进度</w:t>
      </w:r>
      <w:r>
        <w:tab/>
      </w:r>
      <w:r>
        <w:fldChar w:fldCharType="begin"/>
      </w:r>
      <w:r>
        <w:instrText xml:space="preserve"> PAGEREF _Toc21934 \h </w:instrText>
      </w:r>
      <w:r>
        <w:fldChar w:fldCharType="separate"/>
      </w:r>
      <w:r>
        <w:t>112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_Toc7473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8. 材料与设备</w:t>
      </w:r>
      <w:r>
        <w:tab/>
      </w:r>
      <w:r>
        <w:fldChar w:fldCharType="begin"/>
      </w:r>
      <w:r>
        <w:instrText xml:space="preserve"> PAGEREF _Toc7473 \h </w:instrText>
      </w:r>
      <w:r>
        <w:fldChar w:fldCharType="separate"/>
      </w:r>
      <w:r>
        <w:t>118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_Toc1555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 试验与检验</w:t>
      </w:r>
      <w:r>
        <w:tab/>
      </w:r>
      <w:r>
        <w:fldChar w:fldCharType="begin"/>
      </w:r>
      <w:r>
        <w:instrText xml:space="preserve"> PAGEREF _Toc1555 \h </w:instrText>
      </w:r>
      <w:r>
        <w:fldChar w:fldCharType="separate"/>
      </w:r>
      <w:r>
        <w:t>122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_Toc21017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10. 变更</w:t>
      </w:r>
      <w:r>
        <w:tab/>
      </w:r>
      <w:r>
        <w:fldChar w:fldCharType="begin"/>
      </w:r>
      <w:r>
        <w:instrText xml:space="preserve"> PAGEREF _Toc21017 \h </w:instrText>
      </w:r>
      <w:r>
        <w:fldChar w:fldCharType="separate"/>
      </w:r>
      <w:r>
        <w:t>124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_Toc19256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 价格调整</w:t>
      </w:r>
      <w:r>
        <w:tab/>
      </w:r>
      <w:r>
        <w:fldChar w:fldCharType="begin"/>
      </w:r>
      <w:r>
        <w:instrText xml:space="preserve"> PAGEREF _Toc19256 \h </w:instrText>
      </w:r>
      <w:r>
        <w:fldChar w:fldCharType="separate"/>
      </w:r>
      <w:r>
        <w:t>128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_Toc13496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12. 合同价格、计量与支付</w:t>
      </w:r>
      <w:r>
        <w:tab/>
      </w:r>
      <w:r>
        <w:fldChar w:fldCharType="begin"/>
      </w:r>
      <w:r>
        <w:instrText xml:space="preserve"> PAGEREF _Toc13496 \h </w:instrText>
      </w:r>
      <w:r>
        <w:fldChar w:fldCharType="separate"/>
      </w:r>
      <w:r>
        <w:t>131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_Toc29774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13. 验收和工程试车</w:t>
      </w:r>
      <w:r>
        <w:tab/>
      </w:r>
      <w:r>
        <w:fldChar w:fldCharType="begin"/>
      </w:r>
      <w:r>
        <w:instrText xml:space="preserve"> PAGEREF _Toc29774 \h </w:instrText>
      </w:r>
      <w:r>
        <w:fldChar w:fldCharType="separate"/>
      </w:r>
      <w:r>
        <w:t>137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_Toc4418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14. 竣工结算</w:t>
      </w:r>
      <w:r>
        <w:tab/>
      </w:r>
      <w:r>
        <w:fldChar w:fldCharType="begin"/>
      </w:r>
      <w:r>
        <w:instrText xml:space="preserve"> PAGEREF _Toc4418 \h </w:instrText>
      </w:r>
      <w:r>
        <w:fldChar w:fldCharType="separate"/>
      </w:r>
      <w:r>
        <w:t>142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_Toc30578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15. 缺陷责任与保修</w:t>
      </w:r>
      <w:r>
        <w:tab/>
      </w:r>
      <w:r>
        <w:fldChar w:fldCharType="begin"/>
      </w:r>
      <w:r>
        <w:instrText xml:space="preserve"> PAGEREF _Toc30578 \h </w:instrText>
      </w:r>
      <w:r>
        <w:fldChar w:fldCharType="separate"/>
      </w:r>
      <w:r>
        <w:t>144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_Toc23850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16. 违约</w:t>
      </w:r>
      <w:r>
        <w:tab/>
      </w:r>
      <w:r>
        <w:fldChar w:fldCharType="begin"/>
      </w:r>
      <w:r>
        <w:instrText xml:space="preserve"> PAGEREF _Toc23850 \h </w:instrText>
      </w:r>
      <w:r>
        <w:fldChar w:fldCharType="separate"/>
      </w:r>
      <w:r>
        <w:t>148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_Toc24123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17. 不可抗力</w:t>
      </w:r>
      <w:r>
        <w:tab/>
      </w:r>
      <w:r>
        <w:fldChar w:fldCharType="begin"/>
      </w:r>
      <w:r>
        <w:instrText xml:space="preserve"> PAGEREF _Toc24123 \h </w:instrText>
      </w:r>
      <w:r>
        <w:fldChar w:fldCharType="separate"/>
      </w:r>
      <w:r>
        <w:t>151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_Toc12280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18. 保险</w:t>
      </w:r>
      <w:r>
        <w:tab/>
      </w:r>
      <w:r>
        <w:fldChar w:fldCharType="begin"/>
      </w:r>
      <w:r>
        <w:instrText xml:space="preserve"> PAGEREF _Toc12280 \h </w:instrText>
      </w:r>
      <w:r>
        <w:fldChar w:fldCharType="separate"/>
      </w:r>
      <w:r>
        <w:t>153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_Toc29569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19. 索赔</w:t>
      </w:r>
      <w:r>
        <w:tab/>
      </w:r>
      <w:r>
        <w:fldChar w:fldCharType="begin"/>
      </w:r>
      <w:r>
        <w:instrText xml:space="preserve"> PAGEREF _Toc29569 \h </w:instrText>
      </w:r>
      <w:r>
        <w:fldChar w:fldCharType="separate"/>
      </w:r>
      <w:r>
        <w:t>154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_Toc22362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20. 争议解决</w:t>
      </w:r>
      <w:r>
        <w:tab/>
      </w:r>
      <w:r>
        <w:fldChar w:fldCharType="begin"/>
      </w:r>
      <w:r>
        <w:instrText xml:space="preserve"> PAGEREF _Toc22362 \h </w:instrText>
      </w:r>
      <w:r>
        <w:fldChar w:fldCharType="separate"/>
      </w:r>
      <w:r>
        <w:t>156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_Toc22113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第三部分 专用合同条款</w:t>
      </w:r>
      <w:r>
        <w:tab/>
      </w:r>
      <w:r>
        <w:fldChar w:fldCharType="begin"/>
      </w:r>
      <w:r>
        <w:instrText xml:space="preserve"> PAGEREF _Toc22113 \h </w:instrText>
      </w:r>
      <w:r>
        <w:fldChar w:fldCharType="separate"/>
      </w:r>
      <w:r>
        <w:t>159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_Toc30663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 一般约定</w:t>
      </w:r>
      <w:r>
        <w:tab/>
      </w:r>
      <w:r>
        <w:fldChar w:fldCharType="begin"/>
      </w:r>
      <w:r>
        <w:instrText xml:space="preserve"> PAGEREF _Toc30663 \h </w:instrText>
      </w:r>
      <w:r>
        <w:fldChar w:fldCharType="separate"/>
      </w:r>
      <w:r>
        <w:t>159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_Toc7572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 词语定义</w:t>
      </w:r>
      <w:r>
        <w:tab/>
      </w:r>
      <w:r>
        <w:fldChar w:fldCharType="begin"/>
      </w:r>
      <w:r>
        <w:instrText xml:space="preserve"> PAGEREF _Toc7572 \h </w:instrText>
      </w:r>
      <w:r>
        <w:fldChar w:fldCharType="separate"/>
      </w:r>
      <w:r>
        <w:t>159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_Toc7644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w:t>
      </w:r>
      <w:r>
        <w:rPr>
          <w:rFonts w:hint="eastAsia" w:ascii="方正仿宋_GB2312" w:hAnsi="方正仿宋_GB2312" w:eastAsia="方正仿宋_GB2312" w:cs="方正仿宋_GB2312"/>
          <w:szCs w:val="32"/>
          <w:lang w:val="en-US" w:eastAsia="zh-CN"/>
        </w:rPr>
        <w:t>2</w:t>
      </w:r>
      <w:r>
        <w:rPr>
          <w:rFonts w:hint="eastAsia" w:ascii="方正仿宋_GB2312" w:hAnsi="方正仿宋_GB2312" w:eastAsia="方正仿宋_GB2312" w:cs="方正仿宋_GB2312"/>
          <w:szCs w:val="32"/>
        </w:rPr>
        <w:t>法律</w:t>
      </w:r>
      <w:r>
        <w:tab/>
      </w:r>
      <w:r>
        <w:fldChar w:fldCharType="begin"/>
      </w:r>
      <w:r>
        <w:instrText xml:space="preserve"> PAGEREF _Toc7644 \h </w:instrText>
      </w:r>
      <w:r>
        <w:fldChar w:fldCharType="separate"/>
      </w:r>
      <w:r>
        <w:t>159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_Toc22759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w:t>
      </w:r>
      <w:r>
        <w:rPr>
          <w:rFonts w:hint="eastAsia" w:ascii="方正仿宋_GB2312" w:hAnsi="方正仿宋_GB2312" w:eastAsia="方正仿宋_GB2312" w:cs="方正仿宋_GB2312"/>
          <w:szCs w:val="32"/>
          <w:lang w:val="en-US" w:eastAsia="zh-CN"/>
        </w:rPr>
        <w:t>3</w:t>
      </w:r>
      <w:r>
        <w:rPr>
          <w:rFonts w:hint="eastAsia" w:ascii="方正仿宋_GB2312" w:hAnsi="方正仿宋_GB2312" w:eastAsia="方正仿宋_GB2312" w:cs="方正仿宋_GB2312"/>
          <w:szCs w:val="32"/>
        </w:rPr>
        <w:t xml:space="preserve"> 标准和规范</w:t>
      </w:r>
      <w:r>
        <w:tab/>
      </w:r>
      <w:r>
        <w:fldChar w:fldCharType="begin"/>
      </w:r>
      <w:r>
        <w:instrText xml:space="preserve"> PAGEREF _Toc22759 \h </w:instrText>
      </w:r>
      <w:r>
        <w:fldChar w:fldCharType="separate"/>
      </w:r>
      <w:r>
        <w:t>159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_Toc338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w:t>
      </w:r>
      <w:r>
        <w:rPr>
          <w:rFonts w:hint="eastAsia" w:ascii="方正仿宋_GB2312" w:hAnsi="方正仿宋_GB2312" w:eastAsia="方正仿宋_GB2312" w:cs="方正仿宋_GB2312"/>
          <w:szCs w:val="32"/>
          <w:lang w:val="en-US" w:eastAsia="zh-CN"/>
        </w:rPr>
        <w:t>4</w:t>
      </w:r>
      <w:r>
        <w:rPr>
          <w:rFonts w:hint="eastAsia" w:ascii="方正仿宋_GB2312" w:hAnsi="方正仿宋_GB2312" w:eastAsia="方正仿宋_GB2312" w:cs="方正仿宋_GB2312"/>
          <w:szCs w:val="32"/>
        </w:rPr>
        <w:t xml:space="preserve"> 合同文件的优先顺序</w:t>
      </w:r>
      <w:r>
        <w:tab/>
      </w:r>
      <w:r>
        <w:fldChar w:fldCharType="begin"/>
      </w:r>
      <w:r>
        <w:instrText xml:space="preserve"> PAGEREF _Toc338 \h </w:instrText>
      </w:r>
      <w:r>
        <w:fldChar w:fldCharType="separate"/>
      </w:r>
      <w:r>
        <w:t>160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_Toc5087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w:t>
      </w:r>
      <w:r>
        <w:rPr>
          <w:rFonts w:hint="eastAsia" w:ascii="方正仿宋_GB2312" w:hAnsi="方正仿宋_GB2312" w:eastAsia="方正仿宋_GB2312" w:cs="方正仿宋_GB2312"/>
          <w:szCs w:val="32"/>
          <w:lang w:val="en-US" w:eastAsia="zh-CN"/>
        </w:rPr>
        <w:t>5</w:t>
      </w:r>
      <w:r>
        <w:rPr>
          <w:rFonts w:hint="eastAsia" w:ascii="方正仿宋_GB2312" w:hAnsi="方正仿宋_GB2312" w:eastAsia="方正仿宋_GB2312" w:cs="方正仿宋_GB2312"/>
          <w:szCs w:val="32"/>
        </w:rPr>
        <w:t xml:space="preserve"> 图纸和承包人文件</w:t>
      </w:r>
      <w:r>
        <w:tab/>
      </w:r>
      <w:r>
        <w:fldChar w:fldCharType="begin"/>
      </w:r>
      <w:r>
        <w:instrText xml:space="preserve"> PAGEREF _Toc5087 \h </w:instrText>
      </w:r>
      <w:r>
        <w:fldChar w:fldCharType="separate"/>
      </w:r>
      <w:r>
        <w:t>160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_Toc12157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1.7 联络</w:t>
      </w:r>
      <w:r>
        <w:tab/>
      </w:r>
      <w:r>
        <w:fldChar w:fldCharType="begin"/>
      </w:r>
      <w:r>
        <w:instrText xml:space="preserve"> PAGEREF _Toc12157 \h </w:instrText>
      </w:r>
      <w:r>
        <w:fldChar w:fldCharType="separate"/>
      </w:r>
      <w:r>
        <w:t>160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_Toc16063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1.10 交通运输</w:t>
      </w:r>
      <w:r>
        <w:tab/>
      </w:r>
      <w:r>
        <w:fldChar w:fldCharType="begin"/>
      </w:r>
      <w:r>
        <w:instrText xml:space="preserve"> PAGEREF _Toc16063 \h </w:instrText>
      </w:r>
      <w:r>
        <w:fldChar w:fldCharType="separate"/>
      </w:r>
      <w:r>
        <w:t>160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_Toc5842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1.11 知识产权</w:t>
      </w:r>
      <w:r>
        <w:tab/>
      </w:r>
      <w:r>
        <w:fldChar w:fldCharType="begin"/>
      </w:r>
      <w:r>
        <w:instrText xml:space="preserve"> PAGEREF _Toc5842 \h </w:instrText>
      </w:r>
      <w:r>
        <w:fldChar w:fldCharType="separate"/>
      </w:r>
      <w:r>
        <w:t>161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_Toc14467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1.13工程量清单错误的修正</w:t>
      </w:r>
      <w:r>
        <w:tab/>
      </w:r>
      <w:r>
        <w:fldChar w:fldCharType="begin"/>
      </w:r>
      <w:r>
        <w:instrText xml:space="preserve"> PAGEREF _Toc14467 \h </w:instrText>
      </w:r>
      <w:r>
        <w:fldChar w:fldCharType="separate"/>
      </w:r>
      <w:r>
        <w:t>161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_Toc25448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 发包人</w:t>
      </w:r>
      <w:r>
        <w:tab/>
      </w:r>
      <w:r>
        <w:fldChar w:fldCharType="begin"/>
      </w:r>
      <w:r>
        <w:instrText xml:space="preserve"> PAGEREF _Toc25448 \h </w:instrText>
      </w:r>
      <w:r>
        <w:fldChar w:fldCharType="separate"/>
      </w:r>
      <w:r>
        <w:t>161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_Toc18878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2.2 发包人代表</w:t>
      </w:r>
      <w:r>
        <w:tab/>
      </w:r>
      <w:r>
        <w:fldChar w:fldCharType="begin"/>
      </w:r>
      <w:r>
        <w:instrText xml:space="preserve"> PAGEREF _Toc18878 \h </w:instrText>
      </w:r>
      <w:r>
        <w:fldChar w:fldCharType="separate"/>
      </w:r>
      <w:r>
        <w:t>161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_Toc23773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2.4 施工现场、施工条件和基础资料的提供</w:t>
      </w:r>
      <w:r>
        <w:tab/>
      </w:r>
      <w:r>
        <w:fldChar w:fldCharType="begin"/>
      </w:r>
      <w:r>
        <w:instrText xml:space="preserve"> PAGEREF _Toc23773 \h </w:instrText>
      </w:r>
      <w:r>
        <w:fldChar w:fldCharType="separate"/>
      </w:r>
      <w:r>
        <w:t>162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_Toc8077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2.5 资金来源证明及支付担保</w:t>
      </w:r>
      <w:r>
        <w:tab/>
      </w:r>
      <w:r>
        <w:fldChar w:fldCharType="begin"/>
      </w:r>
      <w:r>
        <w:instrText xml:space="preserve"> PAGEREF _Toc8077 \h </w:instrText>
      </w:r>
      <w:r>
        <w:fldChar w:fldCharType="separate"/>
      </w:r>
      <w:r>
        <w:t>162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_Toc14339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 承包人</w:t>
      </w:r>
      <w:r>
        <w:tab/>
      </w:r>
      <w:r>
        <w:fldChar w:fldCharType="begin"/>
      </w:r>
      <w:r>
        <w:instrText xml:space="preserve"> PAGEREF _Toc14339 \h </w:instrText>
      </w:r>
      <w:r>
        <w:fldChar w:fldCharType="separate"/>
      </w:r>
      <w:r>
        <w:t>162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_Toc3835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3.1 承包人的一般义务</w:t>
      </w:r>
      <w:r>
        <w:tab/>
      </w:r>
      <w:r>
        <w:fldChar w:fldCharType="begin"/>
      </w:r>
      <w:r>
        <w:instrText xml:space="preserve"> PAGEREF _Toc3835 \h </w:instrText>
      </w:r>
      <w:r>
        <w:fldChar w:fldCharType="separate"/>
      </w:r>
      <w:r>
        <w:t>162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_Toc9018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3.2 项目经理</w:t>
      </w:r>
      <w:r>
        <w:tab/>
      </w:r>
      <w:r>
        <w:fldChar w:fldCharType="begin"/>
      </w:r>
      <w:r>
        <w:instrText xml:space="preserve"> PAGEREF _Toc9018 \h </w:instrText>
      </w:r>
      <w:r>
        <w:fldChar w:fldCharType="separate"/>
      </w:r>
      <w:r>
        <w:t>162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_Toc27771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3.3 承包人人员</w:t>
      </w:r>
      <w:r>
        <w:tab/>
      </w:r>
      <w:r>
        <w:fldChar w:fldCharType="begin"/>
      </w:r>
      <w:r>
        <w:instrText xml:space="preserve"> PAGEREF _Toc27771 \h </w:instrText>
      </w:r>
      <w:r>
        <w:fldChar w:fldCharType="separate"/>
      </w:r>
      <w:r>
        <w:t>163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_Toc19050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3.5 分包</w:t>
      </w:r>
      <w:r>
        <w:tab/>
      </w:r>
      <w:r>
        <w:fldChar w:fldCharType="begin"/>
      </w:r>
      <w:r>
        <w:instrText xml:space="preserve"> PAGEREF _Toc19050 \h </w:instrText>
      </w:r>
      <w:r>
        <w:fldChar w:fldCharType="separate"/>
      </w:r>
      <w:r>
        <w:t>163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_Toc24696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3.6 工程照管与成品、半成品保护</w:t>
      </w:r>
      <w:r>
        <w:tab/>
      </w:r>
      <w:r>
        <w:fldChar w:fldCharType="begin"/>
      </w:r>
      <w:r>
        <w:instrText xml:space="preserve"> PAGEREF _Toc24696 \h </w:instrText>
      </w:r>
      <w:r>
        <w:fldChar w:fldCharType="separate"/>
      </w:r>
      <w:r>
        <w:t>163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_Toc14324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3.7 履约担保</w:t>
      </w:r>
      <w:r>
        <w:tab/>
      </w:r>
      <w:r>
        <w:fldChar w:fldCharType="begin"/>
      </w:r>
      <w:r>
        <w:instrText xml:space="preserve"> PAGEREF _Toc14324 \h </w:instrText>
      </w:r>
      <w:r>
        <w:fldChar w:fldCharType="separate"/>
      </w:r>
      <w:r>
        <w:t>164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_Toc25115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4. 监理人</w:t>
      </w:r>
      <w:r>
        <w:tab/>
      </w:r>
      <w:r>
        <w:fldChar w:fldCharType="begin"/>
      </w:r>
      <w:r>
        <w:instrText xml:space="preserve"> PAGEREF _Toc25115 \h </w:instrText>
      </w:r>
      <w:r>
        <w:fldChar w:fldCharType="separate"/>
      </w:r>
      <w:r>
        <w:t>164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_Toc31236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4.1监理人的一般规定</w:t>
      </w:r>
      <w:r>
        <w:tab/>
      </w:r>
      <w:r>
        <w:fldChar w:fldCharType="begin"/>
      </w:r>
      <w:r>
        <w:instrText xml:space="preserve"> PAGEREF _Toc31236 \h </w:instrText>
      </w:r>
      <w:r>
        <w:fldChar w:fldCharType="separate"/>
      </w:r>
      <w:r>
        <w:t>164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_Toc28845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4.2 监理人员</w:t>
      </w:r>
      <w:r>
        <w:tab/>
      </w:r>
      <w:r>
        <w:fldChar w:fldCharType="begin"/>
      </w:r>
      <w:r>
        <w:instrText xml:space="preserve"> PAGEREF _Toc28845 \h </w:instrText>
      </w:r>
      <w:r>
        <w:fldChar w:fldCharType="separate"/>
      </w:r>
      <w:r>
        <w:t>164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_Toc30968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4.4 商定或确定</w:t>
      </w:r>
      <w:r>
        <w:tab/>
      </w:r>
      <w:r>
        <w:fldChar w:fldCharType="begin"/>
      </w:r>
      <w:r>
        <w:instrText xml:space="preserve"> PAGEREF _Toc30968 \h </w:instrText>
      </w:r>
      <w:r>
        <w:fldChar w:fldCharType="separate"/>
      </w:r>
      <w:r>
        <w:t>164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_Toc25843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 工程质量</w:t>
      </w:r>
      <w:r>
        <w:tab/>
      </w:r>
      <w:r>
        <w:fldChar w:fldCharType="begin"/>
      </w:r>
      <w:r>
        <w:instrText xml:space="preserve"> PAGEREF _Toc25843 \h </w:instrText>
      </w:r>
      <w:r>
        <w:fldChar w:fldCharType="separate"/>
      </w:r>
      <w:r>
        <w:t>164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_Toc30047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5.1 质量要求</w:t>
      </w:r>
      <w:r>
        <w:tab/>
      </w:r>
      <w:r>
        <w:fldChar w:fldCharType="begin"/>
      </w:r>
      <w:r>
        <w:instrText xml:space="preserve"> PAGEREF _Toc30047 \h </w:instrText>
      </w:r>
      <w:r>
        <w:fldChar w:fldCharType="separate"/>
      </w:r>
      <w:r>
        <w:t>164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_Toc24117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5.3 隐蔽工程检查</w:t>
      </w:r>
      <w:r>
        <w:tab/>
      </w:r>
      <w:r>
        <w:fldChar w:fldCharType="begin"/>
      </w:r>
      <w:r>
        <w:instrText xml:space="preserve"> PAGEREF _Toc24117 \h </w:instrText>
      </w:r>
      <w:r>
        <w:fldChar w:fldCharType="separate"/>
      </w:r>
      <w:r>
        <w:t>165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_Toc20432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6. 安全文明施工与环境保护</w:t>
      </w:r>
      <w:r>
        <w:tab/>
      </w:r>
      <w:r>
        <w:fldChar w:fldCharType="begin"/>
      </w:r>
      <w:r>
        <w:instrText xml:space="preserve"> PAGEREF _Toc20432 \h </w:instrText>
      </w:r>
      <w:r>
        <w:fldChar w:fldCharType="separate"/>
      </w:r>
      <w:r>
        <w:t>165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_Toc18265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6.1安全文明施工</w:t>
      </w:r>
      <w:r>
        <w:tab/>
      </w:r>
      <w:r>
        <w:fldChar w:fldCharType="begin"/>
      </w:r>
      <w:r>
        <w:instrText xml:space="preserve"> PAGEREF _Toc18265 \h </w:instrText>
      </w:r>
      <w:r>
        <w:fldChar w:fldCharType="separate"/>
      </w:r>
      <w:r>
        <w:t>165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_Toc18848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 工期和进度</w:t>
      </w:r>
      <w:r>
        <w:tab/>
      </w:r>
      <w:r>
        <w:fldChar w:fldCharType="begin"/>
      </w:r>
      <w:r>
        <w:instrText xml:space="preserve"> PAGEREF _Toc18848 \h </w:instrText>
      </w:r>
      <w:r>
        <w:fldChar w:fldCharType="separate"/>
      </w:r>
      <w:r>
        <w:t>165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_Toc24155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7.1 施工组织设计</w:t>
      </w:r>
      <w:r>
        <w:tab/>
      </w:r>
      <w:r>
        <w:fldChar w:fldCharType="begin"/>
      </w:r>
      <w:r>
        <w:instrText xml:space="preserve"> PAGEREF _Toc24155 \h </w:instrText>
      </w:r>
      <w:r>
        <w:fldChar w:fldCharType="separate"/>
      </w:r>
      <w:r>
        <w:t>165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_Toc2791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7.2 施工进度计划</w:t>
      </w:r>
      <w:r>
        <w:tab/>
      </w:r>
      <w:r>
        <w:fldChar w:fldCharType="begin"/>
      </w:r>
      <w:r>
        <w:instrText xml:space="preserve"> PAGEREF _Toc2791 \h </w:instrText>
      </w:r>
      <w:r>
        <w:fldChar w:fldCharType="separate"/>
      </w:r>
      <w:r>
        <w:t>165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_Toc19641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7.3 开工</w:t>
      </w:r>
      <w:r>
        <w:tab/>
      </w:r>
      <w:r>
        <w:fldChar w:fldCharType="begin"/>
      </w:r>
      <w:r>
        <w:instrText xml:space="preserve"> PAGEREF _Toc19641 \h </w:instrText>
      </w:r>
      <w:r>
        <w:fldChar w:fldCharType="separate"/>
      </w:r>
      <w:r>
        <w:t>165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_Toc22996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7.4 测量放线</w:t>
      </w:r>
      <w:r>
        <w:tab/>
      </w:r>
      <w:r>
        <w:fldChar w:fldCharType="begin"/>
      </w:r>
      <w:r>
        <w:instrText xml:space="preserve"> PAGEREF _Toc22996 \h </w:instrText>
      </w:r>
      <w:r>
        <w:fldChar w:fldCharType="separate"/>
      </w:r>
      <w:r>
        <w:t>166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7.5 工期延误</w:t>
      </w:r>
      <w:r>
        <w:tab/>
      </w:r>
      <w:r>
        <w:fldChar w:fldCharType="begin"/>
      </w:r>
      <w:r>
        <w:instrText xml:space="preserve"> PAGEREF _Toc3 \h </w:instrText>
      </w:r>
      <w:r>
        <w:fldChar w:fldCharType="separate"/>
      </w:r>
      <w:r>
        <w:t>166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_Toc5473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7.6 不利物质条件</w:t>
      </w:r>
      <w:r>
        <w:tab/>
      </w:r>
      <w:r>
        <w:fldChar w:fldCharType="begin"/>
      </w:r>
      <w:r>
        <w:instrText xml:space="preserve"> PAGEREF _Toc5473 \h </w:instrText>
      </w:r>
      <w:r>
        <w:fldChar w:fldCharType="separate"/>
      </w:r>
      <w:r>
        <w:t>166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_Toc22248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7.7异常恶劣的气候条件</w:t>
      </w:r>
      <w:r>
        <w:tab/>
      </w:r>
      <w:r>
        <w:fldChar w:fldCharType="begin"/>
      </w:r>
      <w:r>
        <w:instrText xml:space="preserve"> PAGEREF _Toc22248 \h </w:instrText>
      </w:r>
      <w:r>
        <w:fldChar w:fldCharType="separate"/>
      </w:r>
      <w:r>
        <w:t>166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_Toc28025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7.9 提前竣工的奖励</w:t>
      </w:r>
      <w:r>
        <w:tab/>
      </w:r>
      <w:r>
        <w:fldChar w:fldCharType="begin"/>
      </w:r>
      <w:r>
        <w:instrText xml:space="preserve"> PAGEREF _Toc28025 \h </w:instrText>
      </w:r>
      <w:r>
        <w:fldChar w:fldCharType="separate"/>
      </w:r>
      <w:r>
        <w:t>166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_Toc31019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8. 材料与设备</w:t>
      </w:r>
      <w:r>
        <w:tab/>
      </w:r>
      <w:r>
        <w:fldChar w:fldCharType="begin"/>
      </w:r>
      <w:r>
        <w:instrText xml:space="preserve"> PAGEREF _Toc31019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_Toc28053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8.4材料与工程设备的保管与使用</w:t>
      </w:r>
      <w:r>
        <w:tab/>
      </w:r>
      <w:r>
        <w:fldChar w:fldCharType="begin"/>
      </w:r>
      <w:r>
        <w:instrText xml:space="preserve"> PAGEREF _Toc28053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_Toc30921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8.6 样品</w:t>
      </w:r>
      <w:r>
        <w:tab/>
      </w:r>
      <w:r>
        <w:fldChar w:fldCharType="begin"/>
      </w:r>
      <w:r>
        <w:instrText xml:space="preserve"> PAGEREF _Toc30921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_Toc20741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8.8 施工设备和临时设施</w:t>
      </w:r>
      <w:r>
        <w:tab/>
      </w:r>
      <w:r>
        <w:fldChar w:fldCharType="begin"/>
      </w:r>
      <w:r>
        <w:instrText xml:space="preserve"> PAGEREF _Toc20741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 试验与检验</w:t>
      </w:r>
      <w:r>
        <w:tab/>
      </w:r>
      <w:r>
        <w:fldChar w:fldCharType="begin"/>
      </w:r>
      <w:r>
        <w:instrText xml:space="preserve"> PAGEREF _Toc315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_Toc4743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9.1试验设备与试验人员</w:t>
      </w:r>
      <w:r>
        <w:tab/>
      </w:r>
      <w:r>
        <w:fldChar w:fldCharType="begin"/>
      </w:r>
      <w:r>
        <w:instrText xml:space="preserve"> PAGEREF _Toc4743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_Toc21193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9.4 现场工艺试验</w:t>
      </w:r>
      <w:r>
        <w:tab/>
      </w:r>
      <w:r>
        <w:fldChar w:fldCharType="begin"/>
      </w:r>
      <w:r>
        <w:instrText xml:space="preserve"> PAGEREF _Toc21193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_Toc26560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10. 变更</w:t>
      </w:r>
      <w:r>
        <w:tab/>
      </w:r>
      <w:r>
        <w:fldChar w:fldCharType="begin"/>
      </w:r>
      <w:r>
        <w:instrText xml:space="preserve"> PAGEREF _Toc26560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_Toc20761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10.1变更的范围</w:t>
      </w:r>
      <w:r>
        <w:tab/>
      </w:r>
      <w:r>
        <w:fldChar w:fldCharType="begin"/>
      </w:r>
      <w:r>
        <w:instrText xml:space="preserve"> PAGEREF _Toc20761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_Toc24582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10.4 变更估价</w:t>
      </w:r>
      <w:r>
        <w:tab/>
      </w:r>
      <w:r>
        <w:fldChar w:fldCharType="begin"/>
      </w:r>
      <w:r>
        <w:instrText xml:space="preserve"> PAGEREF _Toc24582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_Toc18245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10.5承包人的合理化建议</w:t>
      </w:r>
      <w:r>
        <w:tab/>
      </w:r>
      <w:r>
        <w:fldChar w:fldCharType="begin"/>
      </w:r>
      <w:r>
        <w:instrText xml:space="preserve"> PAGEREF _Toc18245 \h </w:instrText>
      </w:r>
      <w:r>
        <w:fldChar w:fldCharType="separate"/>
      </w:r>
      <w:r>
        <w:t>167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_Toc13989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10.7 暂估价</w:t>
      </w:r>
      <w:r>
        <w:tab/>
      </w:r>
      <w:r>
        <w:fldChar w:fldCharType="begin"/>
      </w:r>
      <w:r>
        <w:instrText xml:space="preserve"> PAGEREF _Toc13989 \h </w:instrText>
      </w:r>
      <w:r>
        <w:fldChar w:fldCharType="separate"/>
      </w:r>
      <w:r>
        <w:t>168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_Toc5534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10.8 暂列金额</w:t>
      </w:r>
      <w:r>
        <w:tab/>
      </w:r>
      <w:r>
        <w:fldChar w:fldCharType="begin"/>
      </w:r>
      <w:r>
        <w:instrText xml:space="preserve"> PAGEREF _Toc5534 \h </w:instrText>
      </w:r>
      <w:r>
        <w:fldChar w:fldCharType="separate"/>
      </w:r>
      <w:r>
        <w:t>168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_Toc23572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 价格调整</w:t>
      </w:r>
      <w:r>
        <w:tab/>
      </w:r>
      <w:r>
        <w:fldChar w:fldCharType="begin"/>
      </w:r>
      <w:r>
        <w:instrText xml:space="preserve"> PAGEREF _Toc23572 \h </w:instrText>
      </w:r>
      <w:r>
        <w:fldChar w:fldCharType="separate"/>
      </w:r>
      <w:r>
        <w:t>168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_Toc24196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11.1 市场价格波动引起的调整</w:t>
      </w:r>
      <w:r>
        <w:tab/>
      </w:r>
      <w:r>
        <w:fldChar w:fldCharType="begin"/>
      </w:r>
      <w:r>
        <w:instrText xml:space="preserve"> PAGEREF _Toc24196 \h </w:instrText>
      </w:r>
      <w:r>
        <w:fldChar w:fldCharType="separate"/>
      </w:r>
      <w:r>
        <w:t>168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_Toc5611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12. 合同价格、计量与支付</w:t>
      </w:r>
      <w:r>
        <w:tab/>
      </w:r>
      <w:r>
        <w:fldChar w:fldCharType="begin"/>
      </w:r>
      <w:r>
        <w:instrText xml:space="preserve"> PAGEREF _Toc5611 \h </w:instrText>
      </w:r>
      <w:r>
        <w:fldChar w:fldCharType="separate"/>
      </w:r>
      <w:r>
        <w:t>169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_Toc13051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12.1 合同价格形式</w:t>
      </w:r>
      <w:r>
        <w:tab/>
      </w:r>
      <w:r>
        <w:fldChar w:fldCharType="begin"/>
      </w:r>
      <w:r>
        <w:instrText xml:space="preserve"> PAGEREF _Toc13051 \h </w:instrText>
      </w:r>
      <w:r>
        <w:fldChar w:fldCharType="separate"/>
      </w:r>
      <w:r>
        <w:t>169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_Toc21421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12.2 预付款</w:t>
      </w:r>
      <w:r>
        <w:tab/>
      </w:r>
      <w:r>
        <w:fldChar w:fldCharType="begin"/>
      </w:r>
      <w:r>
        <w:instrText xml:space="preserve"> PAGEREF _Toc21421 \h </w:instrText>
      </w:r>
      <w:r>
        <w:fldChar w:fldCharType="separate"/>
      </w:r>
      <w:r>
        <w:t>169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_Toc1251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12.3 计量</w:t>
      </w:r>
      <w:r>
        <w:tab/>
      </w:r>
      <w:r>
        <w:fldChar w:fldCharType="begin"/>
      </w:r>
      <w:r>
        <w:instrText xml:space="preserve"> PAGEREF _Toc1251 \h </w:instrText>
      </w:r>
      <w:r>
        <w:fldChar w:fldCharType="separate"/>
      </w:r>
      <w:r>
        <w:t>169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_Toc1683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12.4 工程进度款支付</w:t>
      </w:r>
      <w:r>
        <w:tab/>
      </w:r>
      <w:r>
        <w:fldChar w:fldCharType="begin"/>
      </w:r>
      <w:r>
        <w:instrText xml:space="preserve"> PAGEREF _Toc1683 \h </w:instrText>
      </w:r>
      <w:r>
        <w:fldChar w:fldCharType="separate"/>
      </w:r>
      <w:r>
        <w:t>170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_Toc5118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13. 验收和工程试车</w:t>
      </w:r>
      <w:r>
        <w:tab/>
      </w:r>
      <w:r>
        <w:fldChar w:fldCharType="begin"/>
      </w:r>
      <w:r>
        <w:instrText xml:space="preserve"> PAGEREF _Toc5118 \h </w:instrText>
      </w:r>
      <w:r>
        <w:fldChar w:fldCharType="separate"/>
      </w:r>
      <w:r>
        <w:t>170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_Toc31996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13.1 分部分项工程验收</w:t>
      </w:r>
      <w:r>
        <w:tab/>
      </w:r>
      <w:r>
        <w:fldChar w:fldCharType="begin"/>
      </w:r>
      <w:r>
        <w:instrText xml:space="preserve"> PAGEREF _Toc31996 \h </w:instrText>
      </w:r>
      <w:r>
        <w:fldChar w:fldCharType="separate"/>
      </w:r>
      <w:r>
        <w:t>170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_Toc29743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13.2 竣工验收</w:t>
      </w:r>
      <w:r>
        <w:tab/>
      </w:r>
      <w:r>
        <w:fldChar w:fldCharType="begin"/>
      </w:r>
      <w:r>
        <w:instrText xml:space="preserve"> PAGEREF _Toc29743 \h </w:instrText>
      </w:r>
      <w:r>
        <w:fldChar w:fldCharType="separate"/>
      </w:r>
      <w:r>
        <w:t>171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_Toc1597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13.3 工程试车</w:t>
      </w:r>
      <w:r>
        <w:tab/>
      </w:r>
      <w:r>
        <w:fldChar w:fldCharType="begin"/>
      </w:r>
      <w:r>
        <w:instrText xml:space="preserve"> PAGEREF _Toc1597 \h </w:instrText>
      </w:r>
      <w:r>
        <w:fldChar w:fldCharType="separate"/>
      </w:r>
      <w:r>
        <w:t>171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_Toc32401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13.6 竣工退场</w:t>
      </w:r>
      <w:r>
        <w:tab/>
      </w:r>
      <w:r>
        <w:fldChar w:fldCharType="begin"/>
      </w:r>
      <w:r>
        <w:instrText xml:space="preserve"> PAGEREF _Toc32401 \h </w:instrText>
      </w:r>
      <w:r>
        <w:fldChar w:fldCharType="separate"/>
      </w:r>
      <w:r>
        <w:t>171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_Toc2511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14. 竣工结算</w:t>
      </w:r>
      <w:r>
        <w:tab/>
      </w:r>
      <w:r>
        <w:fldChar w:fldCharType="begin"/>
      </w:r>
      <w:r>
        <w:instrText xml:space="preserve"> PAGEREF _Toc2511 \h </w:instrText>
      </w:r>
      <w:r>
        <w:fldChar w:fldCharType="separate"/>
      </w:r>
      <w:r>
        <w:t>171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_Toc19539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14.1 竣工结算申请</w:t>
      </w:r>
      <w:r>
        <w:tab/>
      </w:r>
      <w:r>
        <w:fldChar w:fldCharType="begin"/>
      </w:r>
      <w:r>
        <w:instrText xml:space="preserve"> PAGEREF _Toc19539 \h </w:instrText>
      </w:r>
      <w:r>
        <w:fldChar w:fldCharType="separate"/>
      </w:r>
      <w:r>
        <w:t>171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_Toc21823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14.2 竣工结算审核</w:t>
      </w:r>
      <w:r>
        <w:tab/>
      </w:r>
      <w:r>
        <w:fldChar w:fldCharType="begin"/>
      </w:r>
      <w:r>
        <w:instrText xml:space="preserve"> PAGEREF _Toc21823 \h </w:instrText>
      </w:r>
      <w:r>
        <w:fldChar w:fldCharType="separate"/>
      </w:r>
      <w:r>
        <w:t>171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_Toc4484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14.4 最终结清</w:t>
      </w:r>
      <w:r>
        <w:tab/>
      </w:r>
      <w:r>
        <w:fldChar w:fldCharType="begin"/>
      </w:r>
      <w:r>
        <w:instrText xml:space="preserve"> PAGEREF _Toc4484 \h </w:instrText>
      </w:r>
      <w:r>
        <w:fldChar w:fldCharType="separate"/>
      </w:r>
      <w:r>
        <w:t>172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_Toc15945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15. 缺陷责任期与保修</w:t>
      </w:r>
      <w:r>
        <w:tab/>
      </w:r>
      <w:r>
        <w:fldChar w:fldCharType="begin"/>
      </w:r>
      <w:r>
        <w:instrText xml:space="preserve"> PAGEREF _Toc15945 \h </w:instrText>
      </w:r>
      <w:r>
        <w:fldChar w:fldCharType="separate"/>
      </w:r>
      <w:r>
        <w:t>172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_Toc7987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15.2缺陷责任期</w:t>
      </w:r>
      <w:r>
        <w:tab/>
      </w:r>
      <w:r>
        <w:fldChar w:fldCharType="begin"/>
      </w:r>
      <w:r>
        <w:instrText xml:space="preserve"> PAGEREF _Toc7987 \h </w:instrText>
      </w:r>
      <w:r>
        <w:fldChar w:fldCharType="separate"/>
      </w:r>
      <w:r>
        <w:t>172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_Toc25336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15.3 质量保证金</w:t>
      </w:r>
      <w:r>
        <w:tab/>
      </w:r>
      <w:r>
        <w:fldChar w:fldCharType="begin"/>
      </w:r>
      <w:r>
        <w:instrText xml:space="preserve"> PAGEREF _Toc25336 \h </w:instrText>
      </w:r>
      <w:r>
        <w:fldChar w:fldCharType="separate"/>
      </w:r>
      <w:r>
        <w:t>172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_Toc20364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15.4保修</w:t>
      </w:r>
      <w:r>
        <w:tab/>
      </w:r>
      <w:r>
        <w:fldChar w:fldCharType="begin"/>
      </w:r>
      <w:r>
        <w:instrText xml:space="preserve"> PAGEREF _Toc20364 \h </w:instrText>
      </w:r>
      <w:r>
        <w:fldChar w:fldCharType="separate"/>
      </w:r>
      <w:r>
        <w:t>172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_Toc24534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16. 违约</w:t>
      </w:r>
      <w:r>
        <w:tab/>
      </w:r>
      <w:r>
        <w:fldChar w:fldCharType="begin"/>
      </w:r>
      <w:r>
        <w:instrText xml:space="preserve"> PAGEREF _Toc24534 \h </w:instrText>
      </w:r>
      <w:r>
        <w:fldChar w:fldCharType="separate"/>
      </w:r>
      <w:r>
        <w:t>173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_Toc29655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16.1 发包人违约</w:t>
      </w:r>
      <w:r>
        <w:tab/>
      </w:r>
      <w:r>
        <w:fldChar w:fldCharType="begin"/>
      </w:r>
      <w:r>
        <w:instrText xml:space="preserve"> PAGEREF _Toc29655 \h </w:instrText>
      </w:r>
      <w:r>
        <w:fldChar w:fldCharType="separate"/>
      </w:r>
      <w:r>
        <w:t>173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_Toc21602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16.2 承包人违约</w:t>
      </w:r>
      <w:r>
        <w:tab/>
      </w:r>
      <w:r>
        <w:fldChar w:fldCharType="begin"/>
      </w:r>
      <w:r>
        <w:instrText xml:space="preserve"> PAGEREF _Toc21602 \h </w:instrText>
      </w:r>
      <w:r>
        <w:fldChar w:fldCharType="separate"/>
      </w:r>
      <w:r>
        <w:t>173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_Toc23435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17. 不可抗力</w:t>
      </w:r>
      <w:r>
        <w:tab/>
      </w:r>
      <w:r>
        <w:fldChar w:fldCharType="begin"/>
      </w:r>
      <w:r>
        <w:instrText xml:space="preserve"> PAGEREF _Toc23435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_Toc4196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17.1 不可抗力的确认</w:t>
      </w:r>
      <w:r>
        <w:tab/>
      </w:r>
      <w:r>
        <w:fldChar w:fldCharType="begin"/>
      </w:r>
      <w:r>
        <w:instrText xml:space="preserve"> PAGEREF _Toc4196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_Toc1228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17.4 因不可抗力解除合同</w:t>
      </w:r>
      <w:r>
        <w:tab/>
      </w:r>
      <w:r>
        <w:fldChar w:fldCharType="begin"/>
      </w:r>
      <w:r>
        <w:instrText xml:space="preserve"> PAGEREF _Toc1228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_Toc18961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18. 保险</w:t>
      </w:r>
      <w:r>
        <w:tab/>
      </w:r>
      <w:r>
        <w:fldChar w:fldCharType="begin"/>
      </w:r>
      <w:r>
        <w:instrText xml:space="preserve"> PAGEREF _Toc18961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_Toc27089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18.1 工程保险</w:t>
      </w:r>
      <w:r>
        <w:tab/>
      </w:r>
      <w:r>
        <w:fldChar w:fldCharType="begin"/>
      </w:r>
      <w:r>
        <w:instrText xml:space="preserve"> PAGEREF _Toc27089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_Toc15815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18.3 其他保险</w:t>
      </w:r>
      <w:r>
        <w:tab/>
      </w:r>
      <w:r>
        <w:fldChar w:fldCharType="begin"/>
      </w:r>
      <w:r>
        <w:instrText xml:space="preserve"> PAGEREF _Toc15815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_Toc16758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18.7 通知义务</w:t>
      </w:r>
      <w:r>
        <w:tab/>
      </w:r>
      <w:r>
        <w:fldChar w:fldCharType="begin"/>
      </w:r>
      <w:r>
        <w:instrText xml:space="preserve"> PAGEREF _Toc16758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_Toc11299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20. 争议解决</w:t>
      </w:r>
      <w:r>
        <w:tab/>
      </w:r>
      <w:r>
        <w:fldChar w:fldCharType="begin"/>
      </w:r>
      <w:r>
        <w:instrText xml:space="preserve"> PAGEREF _Toc11299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_Toc28063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20.3 争议评审</w:t>
      </w:r>
      <w:r>
        <w:tab/>
      </w:r>
      <w:r>
        <w:fldChar w:fldCharType="begin"/>
      </w:r>
      <w:r>
        <w:instrText xml:space="preserve"> PAGEREF _Toc28063 \h </w:instrText>
      </w:r>
      <w:r>
        <w:fldChar w:fldCharType="separate"/>
      </w:r>
      <w:r>
        <w:t>174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_Toc15500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20.4仲裁或诉讼</w:t>
      </w:r>
      <w:r>
        <w:tab/>
      </w:r>
      <w:r>
        <w:fldChar w:fldCharType="begin"/>
      </w:r>
      <w:r>
        <w:instrText xml:space="preserve"> PAGEREF _Toc15500 \h </w:instrText>
      </w:r>
      <w:r>
        <w:fldChar w:fldCharType="separate"/>
      </w:r>
      <w:r>
        <w:t>175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_Toc3541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第五章  工程量清单</w:t>
      </w:r>
      <w:r>
        <w:tab/>
      </w:r>
      <w:r>
        <w:fldChar w:fldCharType="begin"/>
      </w:r>
      <w:r>
        <w:instrText xml:space="preserve"> PAGEREF _Toc3541 \h </w:instrText>
      </w:r>
      <w:r>
        <w:fldChar w:fldCharType="separate"/>
      </w:r>
      <w:r>
        <w:t>193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_Toc14140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一、 工程量清单说明部分</w:t>
      </w:r>
      <w:r>
        <w:tab/>
      </w:r>
      <w:r>
        <w:fldChar w:fldCharType="begin"/>
      </w:r>
      <w:r>
        <w:instrText xml:space="preserve"> PAGEREF _Toc14140 \h </w:instrText>
      </w:r>
      <w:r>
        <w:fldChar w:fldCharType="separate"/>
      </w:r>
      <w:r>
        <w:t>194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_Toc7407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1.工程量清单说明</w:t>
      </w:r>
      <w:r>
        <w:tab/>
      </w:r>
      <w:r>
        <w:fldChar w:fldCharType="begin"/>
      </w:r>
      <w:r>
        <w:instrText xml:space="preserve"> PAGEREF _Toc7407 \h </w:instrText>
      </w:r>
      <w:r>
        <w:fldChar w:fldCharType="separate"/>
      </w:r>
      <w:r>
        <w:t>194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_Toc22798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2.投标报价说明</w:t>
      </w:r>
      <w:r>
        <w:tab/>
      </w:r>
      <w:r>
        <w:fldChar w:fldCharType="begin"/>
      </w:r>
      <w:r>
        <w:instrText xml:space="preserve"> PAGEREF _Toc22798 \h </w:instrText>
      </w:r>
      <w:r>
        <w:fldChar w:fldCharType="separate"/>
      </w:r>
      <w:r>
        <w:t>194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_Toc25657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第六章 图纸</w:t>
      </w:r>
      <w:r>
        <w:tab/>
      </w:r>
      <w:r>
        <w:fldChar w:fldCharType="begin"/>
      </w:r>
      <w:r>
        <w:instrText xml:space="preserve"> PAGEREF _Toc25657 \h </w:instrText>
      </w:r>
      <w:r>
        <w:fldChar w:fldCharType="separate"/>
      </w:r>
      <w:r>
        <w:t>200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_Toc11922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第七章  技术标准和要求</w:t>
      </w:r>
      <w:r>
        <w:tab/>
      </w:r>
      <w:r>
        <w:fldChar w:fldCharType="begin"/>
      </w:r>
      <w:r>
        <w:instrText xml:space="preserve"> PAGEREF _Toc11922 \h </w:instrText>
      </w:r>
      <w:r>
        <w:fldChar w:fldCharType="separate"/>
      </w:r>
      <w:r>
        <w:t>201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_Toc19629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rPr>
        <w:t>第一节  一般要求</w:t>
      </w:r>
      <w:r>
        <w:tab/>
      </w:r>
      <w:r>
        <w:fldChar w:fldCharType="begin"/>
      </w:r>
      <w:r>
        <w:instrText xml:space="preserve"> PAGEREF _Toc19629 \h </w:instrText>
      </w:r>
      <w:r>
        <w:fldChar w:fldCharType="separate"/>
      </w:r>
      <w:r>
        <w:t>201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_Toc30936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第二节  特殊技术标准和要求</w:t>
      </w:r>
      <w:r>
        <w:tab/>
      </w:r>
      <w:r>
        <w:fldChar w:fldCharType="begin"/>
      </w:r>
      <w:r>
        <w:instrText xml:space="preserve"> PAGEREF _Toc30936 \h </w:instrText>
      </w:r>
      <w:r>
        <w:fldChar w:fldCharType="separate"/>
      </w:r>
      <w:r>
        <w:t>229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_Toc10004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1. 材料和工程设备技术要求</w:t>
      </w:r>
      <w:r>
        <w:tab/>
      </w:r>
      <w:r>
        <w:fldChar w:fldCharType="begin"/>
      </w:r>
      <w:r>
        <w:instrText xml:space="preserve"> PAGEREF _Toc10004 \h </w:instrText>
      </w:r>
      <w:r>
        <w:fldChar w:fldCharType="separate"/>
      </w:r>
      <w:r>
        <w:t>229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_Toc29082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rPr>
        <w:t>第三节  适用的国家、行业以及地方规范、标准和规程</w:t>
      </w:r>
      <w:r>
        <w:tab/>
      </w:r>
      <w:r>
        <w:fldChar w:fldCharType="begin"/>
      </w:r>
      <w:r>
        <w:instrText xml:space="preserve"> PAGEREF _Toc29082 \h </w:instrText>
      </w:r>
      <w:r>
        <w:fldChar w:fldCharType="separate"/>
      </w:r>
      <w:r>
        <w:t>231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0"/>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_Toc2568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第八章  投标文件格式</w:t>
      </w:r>
      <w:r>
        <w:tab/>
      </w:r>
      <w:r>
        <w:fldChar w:fldCharType="begin"/>
      </w:r>
      <w:r>
        <w:instrText xml:space="preserve"> PAGEREF _Toc2568 \h </w:instrText>
      </w:r>
      <w:r>
        <w:fldChar w:fldCharType="separate"/>
      </w:r>
      <w:r>
        <w:t>233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_Toc12715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第一节  投标函格式</w:t>
      </w:r>
      <w:r>
        <w:tab/>
      </w:r>
      <w:r>
        <w:fldChar w:fldCharType="begin"/>
      </w:r>
      <w:r>
        <w:instrText xml:space="preserve"> PAGEREF _Toc12715 \h </w:instrText>
      </w:r>
      <w:r>
        <w:fldChar w:fldCharType="separate"/>
      </w:r>
      <w:r>
        <w:t>234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_Toc7470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szCs w:val="32"/>
        </w:rPr>
        <w:t>适用于</w:t>
      </w:r>
      <w:r>
        <w:rPr>
          <w:rFonts w:hint="eastAsia" w:ascii="方正仿宋_GB2312" w:hAnsi="方正仿宋_GB2312" w:eastAsia="方正仿宋_GB2312" w:cs="方正仿宋_GB2312"/>
          <w:bCs w:val="0"/>
          <w:szCs w:val="32"/>
          <w:lang w:val="en-US" w:eastAsia="zh-CN"/>
        </w:rPr>
        <w:t>已</w:t>
      </w:r>
      <w:r>
        <w:rPr>
          <w:rFonts w:hint="eastAsia" w:ascii="方正仿宋_GB2312" w:hAnsi="方正仿宋_GB2312" w:eastAsia="方正仿宋_GB2312" w:cs="方正仿宋_GB2312"/>
          <w:bCs w:val="0"/>
          <w:szCs w:val="32"/>
        </w:rPr>
        <w:t>资格</w:t>
      </w:r>
      <w:r>
        <w:rPr>
          <w:rFonts w:hint="eastAsia" w:ascii="方正仿宋_GB2312" w:hAnsi="方正仿宋_GB2312" w:eastAsia="方正仿宋_GB2312" w:cs="方正仿宋_GB2312"/>
          <w:bCs w:val="0"/>
          <w:szCs w:val="32"/>
          <w:lang w:val="en-US" w:eastAsia="zh-CN"/>
        </w:rPr>
        <w:t>预</w:t>
      </w:r>
      <w:r>
        <w:rPr>
          <w:rFonts w:hint="eastAsia" w:ascii="方正仿宋_GB2312" w:hAnsi="方正仿宋_GB2312" w:eastAsia="方正仿宋_GB2312" w:cs="方正仿宋_GB2312"/>
          <w:bCs w:val="0"/>
          <w:szCs w:val="32"/>
        </w:rPr>
        <w:t>审</w:t>
      </w:r>
      <w:r>
        <w:tab/>
      </w:r>
      <w:r>
        <w:fldChar w:fldCharType="begin"/>
      </w:r>
      <w:r>
        <w:instrText xml:space="preserve"> PAGEREF _Toc7470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_Toc21454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目    录</w:t>
      </w:r>
      <w:r>
        <w:tab/>
      </w:r>
      <w:r>
        <w:fldChar w:fldCharType="begin"/>
      </w:r>
      <w:r>
        <w:instrText xml:space="preserve"> PAGEREF _Toc21454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_Toc8997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1、投标函及投标报价表；</w:t>
      </w:r>
      <w:r>
        <w:tab/>
      </w:r>
      <w:r>
        <w:fldChar w:fldCharType="begin"/>
      </w:r>
      <w:r>
        <w:instrText xml:space="preserve"> PAGEREF _Toc8997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_Toc32617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（一）投标函</w:t>
      </w:r>
      <w:r>
        <w:tab/>
      </w:r>
      <w:r>
        <w:fldChar w:fldCharType="begin"/>
      </w:r>
      <w:r>
        <w:instrText xml:space="preserve"> PAGEREF _Toc32617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_Toc24567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（二）投标报价表</w:t>
      </w:r>
      <w:r>
        <w:tab/>
      </w:r>
      <w:r>
        <w:fldChar w:fldCharType="begin"/>
      </w:r>
      <w:r>
        <w:instrText xml:space="preserve"> PAGEREF _Toc24567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_Toc8622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（三）投标函附录（附：价格指数权重表）</w:t>
      </w:r>
      <w:r>
        <w:tab/>
      </w:r>
      <w:r>
        <w:fldChar w:fldCharType="begin"/>
      </w:r>
      <w:r>
        <w:instrText xml:space="preserve"> PAGEREF _Toc8622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_Toc10260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2、法定代表人身份证明或附有法定代表人身份证明的授权委托书；</w:t>
      </w:r>
      <w:r>
        <w:tab/>
      </w:r>
      <w:r>
        <w:fldChar w:fldCharType="begin"/>
      </w:r>
      <w:r>
        <w:instrText xml:space="preserve"> PAGEREF _Toc10260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_Toc4401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3、联合体协议书（若有时填报）；</w:t>
      </w:r>
      <w:r>
        <w:tab/>
      </w:r>
      <w:r>
        <w:fldChar w:fldCharType="begin"/>
      </w:r>
      <w:r>
        <w:instrText xml:space="preserve"> PAGEREF _Toc4401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_Toc1052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4、投标保证金（附收据复印件）；</w:t>
      </w:r>
      <w:r>
        <w:tab/>
      </w:r>
      <w:r>
        <w:fldChar w:fldCharType="begin"/>
      </w:r>
      <w:r>
        <w:instrText xml:space="preserve"> PAGEREF _Toc1052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_Toc30469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5、项目管理机构（现场技术力量配备）；</w:t>
      </w:r>
      <w:r>
        <w:tab/>
      </w:r>
      <w:r>
        <w:fldChar w:fldCharType="begin"/>
      </w:r>
      <w:r>
        <w:instrText xml:space="preserve"> PAGEREF _Toc30469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_Toc30723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5.1项目管理机构组成表</w:t>
      </w:r>
      <w:r>
        <w:tab/>
      </w:r>
      <w:r>
        <w:fldChar w:fldCharType="begin"/>
      </w:r>
      <w:r>
        <w:instrText xml:space="preserve"> PAGEREF _Toc30723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_Toc29132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5.2主要人员简历表</w:t>
      </w:r>
      <w:r>
        <w:tab/>
      </w:r>
      <w:r>
        <w:fldChar w:fldCharType="begin"/>
      </w:r>
      <w:r>
        <w:instrText xml:space="preserve"> PAGEREF _Toc29132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_Toc12376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5.2.1项目负责人简历表</w:t>
      </w:r>
      <w:r>
        <w:tab/>
      </w:r>
      <w:r>
        <w:fldChar w:fldCharType="begin"/>
      </w:r>
      <w:r>
        <w:instrText xml:space="preserve"> PAGEREF _Toc12376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_Toc19053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5.2.2主要项目管理人员简历表</w:t>
      </w:r>
      <w:r>
        <w:tab/>
      </w:r>
      <w:r>
        <w:fldChar w:fldCharType="begin"/>
      </w:r>
      <w:r>
        <w:instrText xml:space="preserve"> PAGEREF _Toc19053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_Toc11953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6、近年完成的类似工程业绩表；</w:t>
      </w:r>
      <w:r>
        <w:tab/>
      </w:r>
      <w:r>
        <w:fldChar w:fldCharType="begin"/>
      </w:r>
      <w:r>
        <w:instrText xml:space="preserve"> PAGEREF _Toc11953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_Toc3912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7、拟分包项目情况表；</w:t>
      </w:r>
      <w:r>
        <w:tab/>
      </w:r>
      <w:r>
        <w:fldChar w:fldCharType="begin"/>
      </w:r>
      <w:r>
        <w:instrText xml:space="preserve"> PAGEREF _Toc3912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_Toc5773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8、不良行为记录；</w:t>
      </w:r>
      <w:r>
        <w:tab/>
      </w:r>
      <w:r>
        <w:fldChar w:fldCharType="begin"/>
      </w:r>
      <w:r>
        <w:instrText xml:space="preserve"> PAGEREF _Toc5773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_Toc21013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kern w:val="2"/>
          <w:szCs w:val="32"/>
          <w:lang w:val="en-US" w:eastAsia="zh-CN" w:bidi="ar-SA"/>
        </w:rPr>
        <w:t>9、其他投标资料。</w:t>
      </w:r>
      <w:r>
        <w:tab/>
      </w:r>
      <w:r>
        <w:fldChar w:fldCharType="begin"/>
      </w:r>
      <w:r>
        <w:instrText xml:space="preserve"> PAGEREF _Toc21013 \h </w:instrText>
      </w:r>
      <w:r>
        <w:fldChar w:fldCharType="separate"/>
      </w:r>
      <w:r>
        <w:t>236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_Toc1574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szCs w:val="32"/>
        </w:rPr>
        <w:t>适用于资格后审</w:t>
      </w:r>
      <w:r>
        <w:tab/>
      </w:r>
      <w:r>
        <w:fldChar w:fldCharType="begin"/>
      </w:r>
      <w:r>
        <w:instrText xml:space="preserve"> PAGEREF _Toc1574 \h </w:instrText>
      </w:r>
      <w:r>
        <w:fldChar w:fldCharType="separate"/>
      </w:r>
      <w:r>
        <w:t>237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_Toc26082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szCs w:val="32"/>
        </w:rPr>
        <w:t>目    录</w:t>
      </w:r>
      <w:r>
        <w:tab/>
      </w:r>
      <w:r>
        <w:fldChar w:fldCharType="begin"/>
      </w:r>
      <w:r>
        <w:instrText xml:space="preserve"> PAGEREF _Toc26082 \h </w:instrText>
      </w:r>
      <w:r>
        <w:fldChar w:fldCharType="separate"/>
      </w:r>
      <w:r>
        <w:t>237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_Toc787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1、投标函及投标报价表</w:t>
      </w:r>
      <w:r>
        <w:tab/>
      </w:r>
      <w:r>
        <w:fldChar w:fldCharType="begin"/>
      </w:r>
      <w:r>
        <w:instrText xml:space="preserve"> PAGEREF _Toc787 \h </w:instrText>
      </w:r>
      <w:r>
        <w:fldChar w:fldCharType="separate"/>
      </w:r>
      <w:r>
        <w:t>238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_Toc9666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szCs w:val="32"/>
          <w:highlight w:val="yellow"/>
          <w:lang w:eastAsia="zh-CN"/>
        </w:rPr>
        <w:t>（</w:t>
      </w:r>
      <w:r>
        <w:rPr>
          <w:rFonts w:hint="eastAsia" w:ascii="方正仿宋_GB2312" w:hAnsi="方正仿宋_GB2312" w:eastAsia="方正仿宋_GB2312" w:cs="方正仿宋_GB2312"/>
          <w:bCs w:val="0"/>
          <w:szCs w:val="32"/>
          <w:highlight w:val="yellow"/>
          <w:lang w:val="en-US" w:eastAsia="zh-CN"/>
        </w:rPr>
        <w:t>一</w:t>
      </w:r>
      <w:r>
        <w:rPr>
          <w:rFonts w:hint="eastAsia" w:ascii="方正仿宋_GB2312" w:hAnsi="方正仿宋_GB2312" w:eastAsia="方正仿宋_GB2312" w:cs="方正仿宋_GB2312"/>
          <w:bCs w:val="0"/>
          <w:szCs w:val="32"/>
          <w:highlight w:val="yellow"/>
          <w:lang w:eastAsia="zh-CN"/>
        </w:rPr>
        <w:t>）</w:t>
      </w:r>
      <w:r>
        <w:rPr>
          <w:rFonts w:hint="eastAsia" w:ascii="方正仿宋_GB2312" w:hAnsi="方正仿宋_GB2312" w:eastAsia="方正仿宋_GB2312" w:cs="方正仿宋_GB2312"/>
          <w:bCs w:val="0"/>
          <w:szCs w:val="32"/>
          <w:highlight w:val="yellow"/>
        </w:rPr>
        <w:t>投标函</w:t>
      </w:r>
      <w:r>
        <w:tab/>
      </w:r>
      <w:r>
        <w:fldChar w:fldCharType="begin"/>
      </w:r>
      <w:r>
        <w:instrText xml:space="preserve"> PAGEREF _Toc9666 \h </w:instrText>
      </w:r>
      <w:r>
        <w:fldChar w:fldCharType="separate"/>
      </w:r>
      <w:r>
        <w:t>238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（二）投标报价表</w:t>
      </w:r>
      <w:r>
        <w:tab/>
      </w:r>
      <w:r>
        <w:fldChar w:fldCharType="begin"/>
      </w:r>
      <w:r>
        <w:instrText xml:space="preserve"> PAGEREF _Toc162 \h </w:instrText>
      </w:r>
      <w:r>
        <w:fldChar w:fldCharType="separate"/>
      </w:r>
      <w:r>
        <w:t>240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_Toc30287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lang w:eastAsia="zh-CN"/>
        </w:rPr>
        <w:t>（</w:t>
      </w:r>
      <w:r>
        <w:rPr>
          <w:rFonts w:hint="eastAsia" w:ascii="方正仿宋_GB2312" w:hAnsi="方正仿宋_GB2312" w:eastAsia="方正仿宋_GB2312" w:cs="方正仿宋_GB2312"/>
          <w:bCs/>
          <w:szCs w:val="32"/>
          <w:lang w:val="en-US" w:eastAsia="zh-CN"/>
        </w:rPr>
        <w:t>三</w:t>
      </w:r>
      <w:r>
        <w:rPr>
          <w:rFonts w:hint="eastAsia" w:ascii="方正仿宋_GB2312" w:hAnsi="方正仿宋_GB2312" w:eastAsia="方正仿宋_GB2312" w:cs="方正仿宋_GB2312"/>
          <w:bCs/>
          <w:szCs w:val="32"/>
          <w:lang w:eastAsia="zh-CN"/>
        </w:rPr>
        <w:t>）</w:t>
      </w:r>
      <w:r>
        <w:rPr>
          <w:rFonts w:hint="eastAsia" w:ascii="方正仿宋_GB2312" w:hAnsi="方正仿宋_GB2312" w:eastAsia="方正仿宋_GB2312" w:cs="方正仿宋_GB2312"/>
          <w:bCs/>
          <w:kern w:val="2"/>
          <w:szCs w:val="32"/>
          <w:lang w:val="en-US" w:eastAsia="zh-CN" w:bidi="ar-SA"/>
        </w:rPr>
        <w:t>投标函附录</w:t>
      </w:r>
      <w:r>
        <w:tab/>
      </w:r>
      <w:r>
        <w:fldChar w:fldCharType="begin"/>
      </w:r>
      <w:r>
        <w:instrText xml:space="preserve"> PAGEREF _Toc30287 \h </w:instrText>
      </w:r>
      <w:r>
        <w:fldChar w:fldCharType="separate"/>
      </w:r>
      <w:r>
        <w:t>241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_Toc16916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lang w:val="en-US" w:eastAsia="zh-CN"/>
        </w:rPr>
        <w:t>2、</w:t>
      </w:r>
      <w:r>
        <w:rPr>
          <w:rFonts w:hint="eastAsia" w:ascii="方正仿宋_GB2312" w:hAnsi="方正仿宋_GB2312" w:eastAsia="方正仿宋_GB2312" w:cs="方正仿宋_GB2312"/>
          <w:bCs/>
          <w:szCs w:val="32"/>
        </w:rPr>
        <w:t>法定代表人身份证明</w:t>
      </w:r>
      <w:r>
        <w:tab/>
      </w:r>
      <w:r>
        <w:fldChar w:fldCharType="begin"/>
      </w:r>
      <w:r>
        <w:instrText xml:space="preserve"> PAGEREF _Toc16916 \h </w:instrText>
      </w:r>
      <w:r>
        <w:fldChar w:fldCharType="separate"/>
      </w:r>
      <w:r>
        <w:t>244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_Toc28371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lang w:val="en-US" w:eastAsia="zh-CN"/>
        </w:rPr>
        <w:t>2、</w:t>
      </w:r>
      <w:r>
        <w:rPr>
          <w:rFonts w:hint="eastAsia" w:ascii="方正仿宋_GB2312" w:hAnsi="方正仿宋_GB2312" w:eastAsia="方正仿宋_GB2312" w:cs="方正仿宋_GB2312"/>
          <w:bCs/>
          <w:szCs w:val="32"/>
        </w:rPr>
        <w:t>法定代表人</w:t>
      </w:r>
      <w:r>
        <w:rPr>
          <w:rFonts w:hint="eastAsia" w:ascii="方正仿宋_GB2312" w:hAnsi="方正仿宋_GB2312" w:eastAsia="方正仿宋_GB2312" w:cs="方正仿宋_GB2312"/>
          <w:bCs/>
          <w:szCs w:val="32"/>
          <w:lang w:val="en-US" w:eastAsia="zh-CN"/>
        </w:rPr>
        <w:t>的</w:t>
      </w:r>
      <w:r>
        <w:rPr>
          <w:rFonts w:hint="eastAsia" w:ascii="方正仿宋_GB2312" w:hAnsi="方正仿宋_GB2312" w:eastAsia="方正仿宋_GB2312" w:cs="方正仿宋_GB2312"/>
          <w:bCs w:val="0"/>
          <w:szCs w:val="32"/>
        </w:rPr>
        <w:t>授权委托书</w:t>
      </w:r>
      <w:r>
        <w:tab/>
      </w:r>
      <w:r>
        <w:fldChar w:fldCharType="begin"/>
      </w:r>
      <w:r>
        <w:instrText xml:space="preserve"> PAGEREF _Toc28371 \h </w:instrText>
      </w:r>
      <w:r>
        <w:fldChar w:fldCharType="separate"/>
      </w:r>
      <w:r>
        <w:t>245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_Toc20065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3、联合体协议书(若有时填报)</w:t>
      </w:r>
      <w:r>
        <w:tab/>
      </w:r>
      <w:r>
        <w:fldChar w:fldCharType="begin"/>
      </w:r>
      <w:r>
        <w:instrText xml:space="preserve"> PAGEREF _Toc20065 \h </w:instrText>
      </w:r>
      <w:r>
        <w:fldChar w:fldCharType="separate"/>
      </w:r>
      <w:r>
        <w:t>246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_Toc31880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4、投标保证金</w:t>
      </w:r>
      <w:r>
        <w:tab/>
      </w:r>
      <w:r>
        <w:fldChar w:fldCharType="begin"/>
      </w:r>
      <w:r>
        <w:instrText xml:space="preserve"> PAGEREF _Toc31880 \h </w:instrText>
      </w:r>
      <w:r>
        <w:fldChar w:fldCharType="separate"/>
      </w:r>
      <w:r>
        <w:t>248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_Toc20747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5、项目管理机构</w:t>
      </w:r>
      <w:r>
        <w:tab/>
      </w:r>
      <w:r>
        <w:fldChar w:fldCharType="begin"/>
      </w:r>
      <w:r>
        <w:instrText xml:space="preserve"> PAGEREF _Toc20747 \h </w:instrText>
      </w:r>
      <w:r>
        <w:fldChar w:fldCharType="separate"/>
      </w:r>
      <w:r>
        <w:t>252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_Toc9802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rPr>
        <w:t>5.1项目管理机构组成表</w:t>
      </w:r>
      <w:r>
        <w:tab/>
      </w:r>
      <w:r>
        <w:fldChar w:fldCharType="begin"/>
      </w:r>
      <w:r>
        <w:instrText xml:space="preserve"> PAGEREF _Toc9802 \h </w:instrText>
      </w:r>
      <w:r>
        <w:fldChar w:fldCharType="separate"/>
      </w:r>
      <w:r>
        <w:t>252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_Toc7974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zCs w:val="32"/>
        </w:rPr>
        <w:t>5.2主要人员简历表</w:t>
      </w:r>
      <w:r>
        <w:tab/>
      </w:r>
      <w:r>
        <w:fldChar w:fldCharType="begin"/>
      </w:r>
      <w:r>
        <w:instrText xml:space="preserve"> PAGEREF _Toc7974 \h </w:instrText>
      </w:r>
      <w:r>
        <w:fldChar w:fldCharType="separate"/>
      </w:r>
      <w:r>
        <w:t>253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_Toc14327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6、近年完成的类似工程业绩表</w:t>
      </w:r>
      <w:r>
        <w:tab/>
      </w:r>
      <w:r>
        <w:fldChar w:fldCharType="begin"/>
      </w:r>
      <w:r>
        <w:instrText xml:space="preserve"> PAGEREF _Toc14327 \h </w:instrText>
      </w:r>
      <w:r>
        <w:fldChar w:fldCharType="separate"/>
      </w:r>
      <w:r>
        <w:t>257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_Toc23497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7、拟分包项目情况表</w:t>
      </w:r>
      <w:r>
        <w:tab/>
      </w:r>
      <w:r>
        <w:fldChar w:fldCharType="begin"/>
      </w:r>
      <w:r>
        <w:instrText xml:space="preserve"> PAGEREF _Toc23497 \h </w:instrText>
      </w:r>
      <w:r>
        <w:fldChar w:fldCharType="separate"/>
      </w:r>
      <w:r>
        <w:t>258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_Toc31792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7、资格审查资料</w:t>
      </w:r>
      <w:r>
        <w:tab/>
      </w:r>
      <w:r>
        <w:fldChar w:fldCharType="begin"/>
      </w:r>
      <w:r>
        <w:instrText xml:space="preserve"> PAGEREF _Toc31792 \h </w:instrText>
      </w:r>
      <w:r>
        <w:fldChar w:fldCharType="separate"/>
      </w:r>
      <w:r>
        <w:t>259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_Toc13138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（适用于资格后审）</w:t>
      </w:r>
      <w:r>
        <w:tab/>
      </w:r>
      <w:r>
        <w:fldChar w:fldCharType="begin"/>
      </w:r>
      <w:r>
        <w:instrText xml:space="preserve"> PAGEREF _Toc13138 \h </w:instrText>
      </w:r>
      <w:r>
        <w:fldChar w:fldCharType="separate"/>
      </w:r>
      <w:r>
        <w:t>259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_Toc20765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7.1 投标人基本情况表</w:t>
      </w:r>
      <w:r>
        <w:tab/>
      </w:r>
      <w:r>
        <w:fldChar w:fldCharType="begin"/>
      </w:r>
      <w:r>
        <w:instrText xml:space="preserve"> PAGEREF _Toc20765 \h </w:instrText>
      </w:r>
      <w:r>
        <w:fldChar w:fldCharType="separate"/>
      </w:r>
      <w:r>
        <w:t>259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_Toc18842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7.2 近年财务状况表</w:t>
      </w:r>
      <w:r>
        <w:tab/>
      </w:r>
      <w:r>
        <w:fldChar w:fldCharType="begin"/>
      </w:r>
      <w:r>
        <w:instrText xml:space="preserve"> PAGEREF _Toc18842 \h </w:instrText>
      </w:r>
      <w:r>
        <w:fldChar w:fldCharType="separate"/>
      </w:r>
      <w:r>
        <w:t>260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_Toc22581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7.3 近年完成的类似工程业绩表</w:t>
      </w:r>
      <w:r>
        <w:tab/>
      </w:r>
      <w:r>
        <w:fldChar w:fldCharType="begin"/>
      </w:r>
      <w:r>
        <w:instrText xml:space="preserve"> PAGEREF _Toc22581 \h </w:instrText>
      </w:r>
      <w:r>
        <w:fldChar w:fldCharType="separate"/>
      </w:r>
      <w:r>
        <w:t>261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_Toc15136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7.4 近年发生的诉讼和仲裁情况</w:t>
      </w:r>
      <w:r>
        <w:tab/>
      </w:r>
      <w:r>
        <w:fldChar w:fldCharType="begin"/>
      </w:r>
      <w:r>
        <w:instrText xml:space="preserve"> PAGEREF _Toc15136 \h </w:instrText>
      </w:r>
      <w:r>
        <w:fldChar w:fldCharType="separate"/>
      </w:r>
      <w:r>
        <w:t>262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_Toc16730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7.5 企业其他信誉情况表</w:t>
      </w:r>
      <w:r>
        <w:tab/>
      </w:r>
      <w:r>
        <w:fldChar w:fldCharType="begin"/>
      </w:r>
      <w:r>
        <w:instrText xml:space="preserve"> PAGEREF _Toc16730 \h </w:instrText>
      </w:r>
      <w:r>
        <w:fldChar w:fldCharType="separate"/>
      </w:r>
      <w:r>
        <w:t>263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_Toc20529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8、不良行为记录</w:t>
      </w:r>
      <w:r>
        <w:tab/>
      </w:r>
      <w:r>
        <w:fldChar w:fldCharType="begin"/>
      </w:r>
      <w:r>
        <w:instrText xml:space="preserve"> PAGEREF _Toc20529 \h </w:instrText>
      </w:r>
      <w:r>
        <w:fldChar w:fldCharType="separate"/>
      </w:r>
      <w:r>
        <w:t>264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_Toc29642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9、其他资料</w:t>
      </w:r>
      <w:r>
        <w:tab/>
      </w:r>
      <w:r>
        <w:fldChar w:fldCharType="begin"/>
      </w:r>
      <w:r>
        <w:instrText xml:space="preserve"> PAGEREF _Toc29642 \h </w:instrText>
      </w:r>
      <w:r>
        <w:fldChar w:fldCharType="separate"/>
      </w:r>
      <w:r>
        <w:t>265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_Toc14993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第二节  技术标格式（暗标）</w:t>
      </w:r>
      <w:r>
        <w:tab/>
      </w:r>
      <w:r>
        <w:fldChar w:fldCharType="begin"/>
      </w:r>
      <w:r>
        <w:instrText xml:space="preserve"> PAGEREF _Toc14993 \h </w:instrText>
      </w:r>
      <w:r>
        <w:fldChar w:fldCharType="separate"/>
      </w:r>
      <w:r>
        <w:t>267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_Toc11194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第二节  技术标格式（明标）</w:t>
      </w:r>
      <w:r>
        <w:tab/>
      </w:r>
      <w:r>
        <w:fldChar w:fldCharType="begin"/>
      </w:r>
      <w:r>
        <w:instrText xml:space="preserve"> PAGEREF _Toc11194 \h </w:instrText>
      </w:r>
      <w:r>
        <w:fldChar w:fldCharType="separate"/>
      </w:r>
      <w:r>
        <w:t>269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6"/>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_Toc14645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kern w:val="2"/>
          <w:szCs w:val="32"/>
          <w:lang w:val="en-US" w:eastAsia="zh-CN" w:bidi="ar-SA"/>
        </w:rPr>
        <w:t>第三节  经济标格式（明标）</w:t>
      </w:r>
      <w:r>
        <w:tab/>
      </w:r>
      <w:r>
        <w:fldChar w:fldCharType="begin"/>
      </w:r>
      <w:r>
        <w:instrText xml:space="preserve"> PAGEREF _Toc14645 \h </w:instrText>
      </w:r>
      <w:r>
        <w:fldChar w:fldCharType="separate"/>
      </w:r>
      <w:r>
        <w:t>271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22"/>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_Toc6544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val="0"/>
          <w:szCs w:val="32"/>
          <w:lang w:eastAsia="zh-CN"/>
        </w:rPr>
        <w:t>投标总价单</w:t>
      </w:r>
      <w:r>
        <w:tab/>
      </w:r>
      <w:r>
        <w:fldChar w:fldCharType="begin"/>
      </w:r>
      <w:r>
        <w:instrText xml:space="preserve"> PAGEREF _Toc6544 \h </w:instrText>
      </w:r>
      <w:r>
        <w:fldChar w:fldCharType="separate"/>
      </w:r>
      <w:r>
        <w:t>273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_Toc6926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报价总说明</w:t>
      </w:r>
      <w:r>
        <w:tab/>
      </w:r>
      <w:r>
        <w:fldChar w:fldCharType="begin"/>
      </w:r>
      <w:r>
        <w:instrText xml:space="preserve"> PAGEREF _Toc6926 \h </w:instrText>
      </w:r>
      <w:r>
        <w:fldChar w:fldCharType="separate"/>
      </w:r>
      <w:r>
        <w:t>274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_Toc14354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建设项目投标报价汇总表</w:t>
      </w:r>
      <w:r>
        <w:tab/>
      </w:r>
      <w:r>
        <w:fldChar w:fldCharType="begin"/>
      </w:r>
      <w:r>
        <w:instrText xml:space="preserve"> PAGEREF _Toc14354 \h </w:instrText>
      </w:r>
      <w:r>
        <w:fldChar w:fldCharType="separate"/>
      </w:r>
      <w:r>
        <w:t>275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_Toc8444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单项工程投标报价汇总表</w:t>
      </w:r>
      <w:r>
        <w:tab/>
      </w:r>
      <w:r>
        <w:fldChar w:fldCharType="begin"/>
      </w:r>
      <w:r>
        <w:instrText xml:space="preserve"> PAGEREF _Toc8444 \h </w:instrText>
      </w:r>
      <w:r>
        <w:fldChar w:fldCharType="separate"/>
      </w:r>
      <w:r>
        <w:t>276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_Toc30992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单位工程投标报价汇总表</w:t>
      </w:r>
      <w:r>
        <w:tab/>
      </w:r>
      <w:r>
        <w:fldChar w:fldCharType="begin"/>
      </w:r>
      <w:r>
        <w:instrText xml:space="preserve"> PAGEREF _Toc30992 \h </w:instrText>
      </w:r>
      <w:r>
        <w:fldChar w:fldCharType="separate"/>
      </w:r>
      <w:r>
        <w:t>277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_Toc79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分部分项工程和单价措施项目清单与计价表</w:t>
      </w:r>
      <w:r>
        <w:tab/>
      </w:r>
      <w:r>
        <w:fldChar w:fldCharType="begin"/>
      </w:r>
      <w:r>
        <w:instrText xml:space="preserve"> PAGEREF _Toc79 \h </w:instrText>
      </w:r>
      <w:r>
        <w:fldChar w:fldCharType="separate"/>
      </w:r>
      <w:r>
        <w:t>278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_Toc9292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综合单价分析表</w:t>
      </w:r>
      <w:r>
        <w:tab/>
      </w:r>
      <w:r>
        <w:fldChar w:fldCharType="begin"/>
      </w:r>
      <w:r>
        <w:instrText xml:space="preserve"> PAGEREF _Toc9292 \h </w:instrText>
      </w:r>
      <w:r>
        <w:fldChar w:fldCharType="separate"/>
      </w:r>
      <w:r>
        <w:t>279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_Toc4758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总价措施项目清单与计价表</w:t>
      </w:r>
      <w:r>
        <w:tab/>
      </w:r>
      <w:r>
        <w:fldChar w:fldCharType="begin"/>
      </w:r>
      <w:r>
        <w:instrText xml:space="preserve"> PAGEREF _Toc4758 \h </w:instrText>
      </w:r>
      <w:r>
        <w:fldChar w:fldCharType="separate"/>
      </w:r>
      <w:r>
        <w:t>280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_Toc25260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其他项目清单与计价表</w:t>
      </w:r>
      <w:r>
        <w:tab/>
      </w:r>
      <w:r>
        <w:fldChar w:fldCharType="begin"/>
      </w:r>
      <w:r>
        <w:instrText xml:space="preserve"> PAGEREF _Toc25260 \h </w:instrText>
      </w:r>
      <w:r>
        <w:fldChar w:fldCharType="separate"/>
      </w:r>
      <w:r>
        <w:t>281</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_Toc25725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暂列金额明细表</w:t>
      </w:r>
      <w:r>
        <w:tab/>
      </w:r>
      <w:r>
        <w:fldChar w:fldCharType="begin"/>
      </w:r>
      <w:r>
        <w:instrText xml:space="preserve"> PAGEREF _Toc25725 \h </w:instrText>
      </w:r>
      <w:r>
        <w:fldChar w:fldCharType="separate"/>
      </w:r>
      <w:r>
        <w:t>282</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_Toc32767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szCs w:val="32"/>
          <w:lang w:val="en-US" w:eastAsia="zh-CN"/>
        </w:rPr>
        <w:t>材料（工程设备）暂估单价及调整表</w:t>
      </w:r>
      <w:r>
        <w:tab/>
      </w:r>
      <w:r>
        <w:fldChar w:fldCharType="begin"/>
      </w:r>
      <w:r>
        <w:instrText xml:space="preserve"> PAGEREF _Toc32767 \h </w:instrText>
      </w:r>
      <w:r>
        <w:fldChar w:fldCharType="separate"/>
      </w:r>
      <w:r>
        <w:t>283</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_Toc9485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专业工程暂估单价及结算价表</w:t>
      </w:r>
      <w:r>
        <w:tab/>
      </w:r>
      <w:r>
        <w:fldChar w:fldCharType="begin"/>
      </w:r>
      <w:r>
        <w:instrText xml:space="preserve"> PAGEREF _Toc9485 \h </w:instrText>
      </w:r>
      <w:r>
        <w:fldChar w:fldCharType="separate"/>
      </w:r>
      <w:r>
        <w:t>284</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_Toc32725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专业工程暂估单价及结算价表</w:t>
      </w:r>
      <w:r>
        <w:tab/>
      </w:r>
      <w:r>
        <w:fldChar w:fldCharType="begin"/>
      </w:r>
      <w:r>
        <w:instrText xml:space="preserve"> PAGEREF _Toc32725 \h </w:instrText>
      </w:r>
      <w:r>
        <w:fldChar w:fldCharType="separate"/>
      </w:r>
      <w:r>
        <w:t>285</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_Toc16275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总承包服务费计价表</w:t>
      </w:r>
      <w:r>
        <w:tab/>
      </w:r>
      <w:r>
        <w:fldChar w:fldCharType="begin"/>
      </w:r>
      <w:r>
        <w:instrText xml:space="preserve"> PAGEREF _Toc16275 \h </w:instrText>
      </w:r>
      <w:r>
        <w:fldChar w:fldCharType="separate"/>
      </w:r>
      <w:r>
        <w:t>286</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_Toc17987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规费、税金项目计价表</w:t>
      </w:r>
      <w:r>
        <w:tab/>
      </w:r>
      <w:r>
        <w:fldChar w:fldCharType="begin"/>
      </w:r>
      <w:r>
        <w:instrText xml:space="preserve"> PAGEREF _Toc17987 \h </w:instrText>
      </w:r>
      <w:r>
        <w:fldChar w:fldCharType="separate"/>
      </w:r>
      <w:r>
        <w:t>287</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_Toc32235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规费、税金项目计价表</w:t>
      </w:r>
      <w:r>
        <w:tab/>
      </w:r>
      <w:r>
        <w:fldChar w:fldCharType="begin"/>
      </w:r>
      <w:r>
        <w:instrText xml:space="preserve"> PAGEREF _Toc32235 \h </w:instrText>
      </w:r>
      <w:r>
        <w:fldChar w:fldCharType="separate"/>
      </w:r>
      <w:r>
        <w:t>288</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_Toc23423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承包人提供主要材料和工程设备一览表</w:t>
      </w:r>
      <w:r>
        <w:tab/>
      </w:r>
      <w:r>
        <w:fldChar w:fldCharType="begin"/>
      </w:r>
      <w:r>
        <w:instrText xml:space="preserve"> PAGEREF _Toc23423 \h </w:instrText>
      </w:r>
      <w:r>
        <w:fldChar w:fldCharType="separate"/>
      </w:r>
      <w:r>
        <w:t>289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_Toc15882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（适用于造价信息差额调整法）</w:t>
      </w:r>
      <w:r>
        <w:tab/>
      </w:r>
      <w:r>
        <w:fldChar w:fldCharType="begin"/>
      </w:r>
      <w:r>
        <w:instrText xml:space="preserve"> PAGEREF _Toc15882 \h </w:instrText>
      </w:r>
      <w:r>
        <w:fldChar w:fldCharType="separate"/>
      </w:r>
      <w:r>
        <w:t>289</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_Toc18883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承包人提供主要材料和工程设备一览表</w:t>
      </w:r>
      <w:r>
        <w:tab/>
      </w:r>
      <w:r>
        <w:fldChar w:fldCharType="begin"/>
      </w:r>
      <w:r>
        <w:instrText xml:space="preserve"> PAGEREF _Toc18883 \h </w:instrText>
      </w:r>
      <w:r>
        <w:fldChar w:fldCharType="separate"/>
      </w:r>
      <w:r>
        <w:t>290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Style w:val="31"/>
        <w:tabs>
          <w:tab w:val="right" w:leader="dot" w:pos="8787"/>
        </w:tabs>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begin"/>
      </w:r>
      <w:r>
        <w:rPr>
          <w:rFonts w:hint="eastAsia" w:ascii="方正仿宋_GB2312" w:hAnsi="方正仿宋_GB2312" w:eastAsia="方正仿宋_GB2312" w:cs="方正仿宋_GB2312"/>
          <w:szCs w:val="32"/>
        </w:rPr>
        <w:instrText xml:space="preserve"> HYPERLINK \l _Toc23805 </w:instrText>
      </w:r>
      <w:r>
        <w:rPr>
          <w:rFonts w:hint="eastAsia" w:ascii="方正仿宋_GB2312" w:hAnsi="方正仿宋_GB2312" w:eastAsia="方正仿宋_GB2312" w:cs="方正仿宋_GB2312"/>
          <w:szCs w:val="32"/>
        </w:rPr>
        <w:fldChar w:fldCharType="separate"/>
      </w:r>
      <w:r>
        <w:rPr>
          <w:rFonts w:hint="eastAsia" w:ascii="方正仿宋_GB2312" w:hAnsi="方正仿宋_GB2312" w:eastAsia="方正仿宋_GB2312" w:cs="方正仿宋_GB2312"/>
          <w:bCs/>
          <w:spacing w:val="-6"/>
          <w:kern w:val="2"/>
          <w:szCs w:val="32"/>
          <w:lang w:val="en-US" w:eastAsia="zh-CN" w:bidi="ar-SA"/>
        </w:rPr>
        <w:t>（适用于价格指数差额调整法）</w:t>
      </w:r>
      <w:r>
        <w:tab/>
      </w:r>
      <w:r>
        <w:fldChar w:fldCharType="begin"/>
      </w:r>
      <w:r>
        <w:instrText xml:space="preserve"> PAGEREF _Toc23805 \h </w:instrText>
      </w:r>
      <w:r>
        <w:fldChar w:fldCharType="separate"/>
      </w:r>
      <w:r>
        <w:t>290</w:t>
      </w:r>
      <w:r>
        <w:fldChar w:fldCharType="end"/>
      </w: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ageBreakBefore w:val="0"/>
        <w:kinsoku/>
        <w:bidi w:val="0"/>
        <w:spacing w:line="440" w:lineRule="exact"/>
        <w:ind w:firstLine="0" w:firstLineChars="0"/>
        <w:jc w:val="center"/>
        <w:rPr>
          <w:rFonts w:hint="eastAsia" w:ascii="方正仿宋_GB2312" w:hAnsi="方正仿宋_GB2312" w:eastAsia="方正仿宋_GB2312" w:cs="方正仿宋_GB2312"/>
          <w:b/>
          <w:bCs/>
          <w:kern w:val="2"/>
          <w:sz w:val="32"/>
          <w:szCs w:val="32"/>
          <w:lang w:val="en-US" w:eastAsia="zh-CN" w:bidi="ar-SA"/>
        </w:rPr>
        <w:sectPr>
          <w:footerReference r:id="rId3" w:type="default"/>
          <w:pgSz w:w="11906" w:h="16838"/>
          <w:pgMar w:top="1440" w:right="1559" w:bottom="1440" w:left="1560" w:header="851" w:footer="851"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方正仿宋_GB2312" w:hAnsi="方正仿宋_GB2312" w:eastAsia="方正仿宋_GB2312" w:cs="方正仿宋_GB2312"/>
          <w:color w:val="000000" w:themeColor="text1"/>
          <w:szCs w:val="32"/>
          <w14:textFill>
            <w14:solidFill>
              <w14:schemeClr w14:val="tx1"/>
            </w14:solidFill>
          </w14:textFill>
        </w:rPr>
        <w:fldChar w:fldCharType="end"/>
      </w:r>
    </w:p>
    <w:p>
      <w:pPr>
        <w:pageBreakBefore w:val="0"/>
        <w:kinsoku/>
        <w:bidi w:val="0"/>
        <w:spacing w:line="440" w:lineRule="exact"/>
        <w:ind w:firstLine="0" w:firstLineChars="0"/>
        <w:jc w:val="center"/>
        <w:outlineLvl w:val="0"/>
        <w:rPr>
          <w:rFonts w:hint="eastAsia" w:ascii="方正仿宋_GB2312" w:hAnsi="方正仿宋_GB2312" w:eastAsia="方正仿宋_GB2312" w:cs="方正仿宋_GB2312"/>
          <w:b/>
          <w:bCs/>
          <w:kern w:val="2"/>
          <w:sz w:val="32"/>
          <w:szCs w:val="32"/>
          <w:lang w:val="en-US" w:eastAsia="zh-CN" w:bidi="ar-SA"/>
        </w:rPr>
      </w:pPr>
      <w:bookmarkStart w:id="6" w:name="_Toc32489"/>
      <w:r>
        <w:rPr>
          <w:rFonts w:hint="eastAsia" w:ascii="方正仿宋_GB2312" w:hAnsi="方正仿宋_GB2312" w:eastAsia="方正仿宋_GB2312" w:cs="方正仿宋_GB2312"/>
          <w:b/>
          <w:bCs/>
          <w:kern w:val="2"/>
          <w:sz w:val="32"/>
          <w:szCs w:val="32"/>
          <w:lang w:val="en-US" w:eastAsia="zh-CN" w:bidi="ar-SA"/>
        </w:rPr>
        <w:t>第一章  招标公告</w:t>
      </w:r>
      <w:bookmarkEnd w:id="2"/>
      <w:bookmarkEnd w:id="3"/>
      <w:bookmarkEnd w:id="4"/>
      <w:r>
        <w:rPr>
          <w:rFonts w:hint="eastAsia" w:ascii="方正仿宋_GB2312" w:hAnsi="方正仿宋_GB2312" w:eastAsia="方正仿宋_GB2312" w:cs="方正仿宋_GB2312"/>
          <w:b/>
          <w:bCs/>
          <w:kern w:val="2"/>
          <w:sz w:val="32"/>
          <w:szCs w:val="32"/>
          <w:lang w:val="en-US" w:eastAsia="zh-CN" w:bidi="ar-SA"/>
        </w:rPr>
        <w:t>（未进行资格预审）</w:t>
      </w:r>
      <w:bookmarkEnd w:id="5"/>
      <w:bookmarkEnd w:id="6"/>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bookmarkStart w:id="7" w:name="_Toc389065121"/>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（项目名称及标段）</w:t>
      </w:r>
      <w:r>
        <w:rPr>
          <w:rFonts w:hint="eastAsia" w:ascii="方正仿宋_GB2312" w:hAnsi="方正仿宋_GB2312" w:eastAsia="方正仿宋_GB2312" w:cs="方正仿宋_GB2312"/>
          <w:b/>
          <w:color w:val="000000" w:themeColor="text1"/>
          <w:sz w:val="32"/>
          <w:szCs w:val="32"/>
          <w14:textFill>
            <w14:solidFill>
              <w14:schemeClr w14:val="tx1"/>
            </w14:solidFill>
          </w14:textFill>
        </w:rPr>
        <w:t>招标公告</w:t>
      </w:r>
      <w:bookmarkEnd w:id="7"/>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3"/>
        <w:pageBreakBefore w:val="0"/>
        <w:widowControl w:val="0"/>
        <w:kinsoku/>
        <w:wordWrap/>
        <w:overflowPunct/>
        <w:topLinePunct w:val="0"/>
        <w:autoSpaceDE/>
        <w:autoSpaceDN/>
        <w:bidi w:val="0"/>
        <w:spacing w:line="440" w:lineRule="exact"/>
        <w:ind w:firstLine="0" w:firstLineChars="0"/>
        <w:textAlignment w:val="auto"/>
        <w:outlineLvl w:val="1"/>
        <w:rPr>
          <w:rFonts w:hint="eastAsia" w:ascii="方正仿宋_GB2312" w:hAnsi="方正仿宋_GB2312" w:eastAsia="方正仿宋_GB2312" w:cs="方正仿宋_GB2312"/>
          <w:sz w:val="32"/>
          <w:szCs w:val="32"/>
        </w:rPr>
      </w:pPr>
      <w:bookmarkStart w:id="8" w:name="_Toc508286057"/>
      <w:bookmarkStart w:id="9" w:name="_Toc17990"/>
      <w:bookmarkStart w:id="10" w:name="_Toc389065122"/>
      <w:bookmarkStart w:id="11" w:name="_Toc6064"/>
      <w:bookmarkStart w:id="12" w:name="_Toc8561"/>
      <w:bookmarkStart w:id="13" w:name="_Toc22579"/>
      <w:r>
        <w:rPr>
          <w:rFonts w:hint="eastAsia" w:ascii="方正仿宋_GB2312" w:hAnsi="方正仿宋_GB2312" w:eastAsia="方正仿宋_GB2312" w:cs="方正仿宋_GB2312"/>
          <w:sz w:val="32"/>
          <w:szCs w:val="32"/>
        </w:rPr>
        <w:t>1. 招标条件</w:t>
      </w:r>
      <w:bookmarkEnd w:id="8"/>
      <w:bookmarkEnd w:id="9"/>
      <w:bookmarkEnd w:id="10"/>
      <w:bookmarkEnd w:id="11"/>
      <w:bookmarkEnd w:id="12"/>
      <w:bookmarkEnd w:id="13"/>
    </w:p>
    <w:p>
      <w:pPr>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本招标项目</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（项目名称）</w:t>
      </w: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已由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（项目审批、核准或备案机关名称）</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以</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（批文名称及编号）</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批准建设，建设单位为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 ，建设资金来自</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（资金来源）</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，项目出资比例为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。项目已具备招标条件，现对该项目</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（项目名称及标段）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进行公开招标，特邀请满足资格条件的潜在投标人参加投标。</w:t>
      </w:r>
    </w:p>
    <w:p>
      <w:pPr>
        <w:pStyle w:val="3"/>
        <w:pageBreakBefore w:val="0"/>
        <w:widowControl w:val="0"/>
        <w:kinsoku/>
        <w:wordWrap/>
        <w:overflowPunct/>
        <w:autoSpaceDE/>
        <w:autoSpaceDN/>
        <w:bidi w:val="0"/>
        <w:spacing w:line="440" w:lineRule="exact"/>
        <w:textAlignment w:val="auto"/>
        <w:outlineLvl w:val="1"/>
        <w:rPr>
          <w:rFonts w:hint="eastAsia" w:ascii="方正仿宋_GB2312" w:hAnsi="方正仿宋_GB2312" w:eastAsia="方正仿宋_GB2312" w:cs="方正仿宋_GB2312"/>
          <w:sz w:val="32"/>
          <w:szCs w:val="32"/>
        </w:rPr>
      </w:pPr>
      <w:bookmarkStart w:id="14" w:name="_Toc389065123"/>
      <w:bookmarkStart w:id="15" w:name="_Toc5653"/>
      <w:bookmarkStart w:id="16" w:name="_Toc28507"/>
      <w:bookmarkStart w:id="17" w:name="_Toc15682"/>
      <w:bookmarkStart w:id="18" w:name="_Toc15029"/>
      <w:bookmarkStart w:id="19" w:name="_Toc508286058"/>
      <w:r>
        <w:rPr>
          <w:rFonts w:hint="eastAsia" w:ascii="方正仿宋_GB2312" w:hAnsi="方正仿宋_GB2312" w:eastAsia="方正仿宋_GB2312" w:cs="方正仿宋_GB2312"/>
          <w:sz w:val="32"/>
          <w:szCs w:val="32"/>
        </w:rPr>
        <w:t>2. 项目概况与招标范围</w:t>
      </w:r>
      <w:bookmarkEnd w:id="14"/>
      <w:bookmarkEnd w:id="15"/>
      <w:bookmarkEnd w:id="16"/>
      <w:bookmarkEnd w:id="17"/>
      <w:bookmarkEnd w:id="18"/>
      <w:bookmarkEnd w:id="19"/>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项目概况：</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建设地点：</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2.1.2</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建设规模：</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工程</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投资额：</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2.1.4</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计划工期：</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日历天(具体以合同约定为准）；</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2.1.5 标段划分：</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2.1.6</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其他：</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2.2招标范围：</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Style w:val="3"/>
        <w:pageBreakBefore w:val="0"/>
        <w:widowControl w:val="0"/>
        <w:kinsoku/>
        <w:wordWrap/>
        <w:overflowPunct/>
        <w:autoSpaceDE/>
        <w:autoSpaceDN/>
        <w:bidi w:val="0"/>
        <w:spacing w:line="440" w:lineRule="exact"/>
        <w:textAlignment w:val="auto"/>
        <w:outlineLvl w:val="1"/>
        <w:rPr>
          <w:rFonts w:hint="eastAsia" w:ascii="方正仿宋_GB2312" w:hAnsi="方正仿宋_GB2312" w:eastAsia="方正仿宋_GB2312" w:cs="方正仿宋_GB2312"/>
          <w:sz w:val="32"/>
          <w:szCs w:val="32"/>
        </w:rPr>
      </w:pPr>
      <w:bookmarkStart w:id="20" w:name="_Toc4"/>
      <w:bookmarkStart w:id="21" w:name="_Toc2309"/>
      <w:bookmarkStart w:id="22" w:name="_Toc389065124"/>
      <w:bookmarkStart w:id="23" w:name="_Toc3846"/>
      <w:bookmarkStart w:id="24" w:name="_Toc508286059"/>
      <w:bookmarkStart w:id="25" w:name="_Toc15727"/>
      <w:r>
        <w:rPr>
          <w:rFonts w:hint="eastAsia" w:ascii="方正仿宋_GB2312" w:hAnsi="方正仿宋_GB2312" w:eastAsia="方正仿宋_GB2312" w:cs="方正仿宋_GB2312"/>
          <w:sz w:val="32"/>
          <w:szCs w:val="32"/>
        </w:rPr>
        <w:t>3. 投标人资格要求</w:t>
      </w:r>
      <w:bookmarkEnd w:id="20"/>
      <w:bookmarkEnd w:id="21"/>
      <w:bookmarkEnd w:id="22"/>
      <w:bookmarkEnd w:id="23"/>
      <w:bookmarkEnd w:id="24"/>
      <w:bookmarkEnd w:id="25"/>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投标人必须是中华人民共和国境内注册的，具有独立法人资格的企业；</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3.2</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投标人须具备住房城乡建设主管部门颁发的</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资质，有安全生产许可证</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且在有效期内，</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并在人员、设备、资金等方面具有相应的施工能力。项目负责人须具备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专业</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级注册建造师执业资格，具备有效的安全生产考核合格证书，且未担任其他在施建设工程项目的项目负责人</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项目经理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yellow"/>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3.3 </w:t>
      </w: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各投标人均可就本招标项目上述标段中的</w:t>
      </w:r>
      <w:r>
        <w:rPr>
          <w:rFonts w:hint="eastAsia" w:ascii="方正仿宋_GB2312" w:hAnsi="方正仿宋_GB2312" w:eastAsia="方正仿宋_GB2312" w:cs="方正仿宋_GB2312"/>
          <w:color w:val="000000" w:themeColor="text1"/>
          <w:kern w:val="2"/>
          <w:sz w:val="32"/>
          <w:szCs w:val="32"/>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（具体数量）个标段投标，但最多允许中标</w:t>
      </w:r>
      <w:r>
        <w:rPr>
          <w:rFonts w:hint="eastAsia" w:ascii="方正仿宋_GB2312" w:hAnsi="方正仿宋_GB2312" w:eastAsia="方正仿宋_GB2312" w:cs="方正仿宋_GB2312"/>
          <w:color w:val="000000" w:themeColor="text1"/>
          <w:kern w:val="2"/>
          <w:sz w:val="32"/>
          <w:szCs w:val="32"/>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（具体数量）个标段（适用于分标段的招标项目）。</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3.4</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类似业绩要求：                     </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□不要求</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□要求，（由招标人在以下工程业绩中勾选一项）</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□企业承担过</w:t>
      </w:r>
      <w:r>
        <w:rPr>
          <w:rFonts w:hint="eastAsia" w:ascii="方正仿宋_GB2312" w:hAnsi="方正仿宋_GB2312" w:eastAsia="方正仿宋_GB2312" w:cs="方正仿宋_GB2312"/>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 xml:space="preserve">项类似业绩；  </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□拟任</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项目负责人</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项目经理</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承担过</w:t>
      </w:r>
      <w:r>
        <w:rPr>
          <w:rFonts w:hint="eastAsia" w:ascii="方正仿宋_GB2312" w:hAnsi="方正仿宋_GB2312" w:eastAsia="方正仿宋_GB2312" w:cs="方正仿宋_GB2312"/>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项类似业绩。</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(类似业绩指与发包工程建设规模相似、结构类型、使用功能相同的</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房屋建筑和市政基础设施工程</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项目，具体指标按照国家和自治区有关规定执行。)</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5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财务要求：近</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年度、</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年度、</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年度）经会计师事务所或审计机构审计的财务审计报告，包括资产负债表、现金流量表、损益表和财务报表附注。（如为联合体，则需进一步明确满足财务要求的为联合体牵头人或联合体各方）</w:t>
      </w:r>
    </w:p>
    <w:p>
      <w:pPr>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6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本次招标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（接受/不接受）联合体投标</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接受</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联合体投标的，联合体投标的相关要求见投标人须知前附</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表</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7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信誉要求：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topLinePunct w:val="0"/>
        <w:autoSpaceDE/>
        <w:autoSpaceDN/>
        <w:bidi w:val="0"/>
        <w:adjustRightInd w:val="0"/>
        <w:snapToGrid w:val="0"/>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8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其他要求：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3"/>
        <w:pageBreakBefore w:val="0"/>
        <w:widowControl w:val="0"/>
        <w:kinsoku/>
        <w:wordWrap/>
        <w:overflowPunct/>
        <w:topLinePunct w:val="0"/>
        <w:autoSpaceDE/>
        <w:autoSpaceDN/>
        <w:bidi w:val="0"/>
        <w:spacing w:line="440" w:lineRule="exact"/>
        <w:textAlignment w:val="auto"/>
        <w:outlineLvl w:val="1"/>
        <w:rPr>
          <w:rFonts w:hint="eastAsia" w:ascii="方正仿宋_GB2312" w:hAnsi="方正仿宋_GB2312" w:eastAsia="方正仿宋_GB2312" w:cs="方正仿宋_GB2312"/>
          <w:sz w:val="32"/>
          <w:szCs w:val="32"/>
        </w:rPr>
      </w:pPr>
      <w:bookmarkStart w:id="26" w:name="_Toc389065125"/>
      <w:bookmarkStart w:id="27" w:name="_Toc508286060"/>
      <w:bookmarkStart w:id="28" w:name="_Toc4881"/>
      <w:bookmarkStart w:id="29" w:name="_Toc10676"/>
      <w:bookmarkStart w:id="30" w:name="_Toc6216"/>
      <w:bookmarkStart w:id="31" w:name="_Toc3000"/>
      <w:r>
        <w:rPr>
          <w:rFonts w:hint="eastAsia" w:ascii="方正仿宋_GB2312" w:hAnsi="方正仿宋_GB2312" w:eastAsia="方正仿宋_GB2312" w:cs="方正仿宋_GB2312"/>
          <w:sz w:val="32"/>
          <w:szCs w:val="32"/>
        </w:rPr>
        <w:t xml:space="preserve">4. </w:t>
      </w:r>
      <w:bookmarkEnd w:id="26"/>
      <w:bookmarkStart w:id="32" w:name="_Toc389065126"/>
      <w:r>
        <w:rPr>
          <w:rFonts w:hint="eastAsia" w:ascii="方正仿宋_GB2312" w:hAnsi="方正仿宋_GB2312" w:eastAsia="方正仿宋_GB2312" w:cs="方正仿宋_GB2312"/>
          <w:sz w:val="32"/>
          <w:szCs w:val="32"/>
        </w:rPr>
        <w:t>招标文件的获取</w:t>
      </w:r>
      <w:bookmarkEnd w:id="27"/>
      <w:bookmarkEnd w:id="28"/>
      <w:bookmarkEnd w:id="29"/>
      <w:bookmarkEnd w:id="30"/>
      <w:bookmarkEnd w:id="31"/>
      <w:bookmarkEnd w:id="32"/>
    </w:p>
    <w:p>
      <w:pPr>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4.1</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 xml:space="preserve"> 有投标意愿者，请于</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分至</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分</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 xml:space="preserve">在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电子招标投标交易平台名称</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下载数据电文形式的招标文件。招标文件包括图纸、工程量清单、招标控制价（最高投标限价）等。</w:t>
      </w:r>
    </w:p>
    <w:p>
      <w:pPr>
        <w:pageBreakBefore w:val="0"/>
        <w:widowControl w:val="0"/>
        <w:kinsoku/>
        <w:wordWrap/>
        <w:overflowPunct/>
        <w:topLinePunct w:val="0"/>
        <w:autoSpaceDE/>
        <w:autoSpaceDN/>
        <w:bidi w:val="0"/>
        <w:adjustRightInd w:val="0"/>
        <w:snapToGrid w:val="0"/>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4.</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 xml:space="preserve">2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招标文件每套售价</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元，售后不退。</w:t>
      </w:r>
    </w:p>
    <w:p>
      <w:pPr>
        <w:pStyle w:val="3"/>
        <w:pageBreakBefore w:val="0"/>
        <w:widowControl w:val="0"/>
        <w:kinsoku/>
        <w:wordWrap/>
        <w:overflowPunct/>
        <w:autoSpaceDE/>
        <w:autoSpaceDN/>
        <w:bidi w:val="0"/>
        <w:spacing w:line="440" w:lineRule="exact"/>
        <w:textAlignment w:val="auto"/>
        <w:outlineLvl w:val="1"/>
        <w:rPr>
          <w:rFonts w:hint="eastAsia" w:ascii="方正仿宋_GB2312" w:hAnsi="方正仿宋_GB2312" w:eastAsia="方正仿宋_GB2312" w:cs="方正仿宋_GB2312"/>
          <w:sz w:val="32"/>
          <w:szCs w:val="32"/>
          <w:lang w:val="en-US" w:eastAsia="zh-CN"/>
        </w:rPr>
      </w:pPr>
      <w:bookmarkStart w:id="33" w:name="_Toc508286061"/>
      <w:bookmarkStart w:id="34" w:name="_Toc26241"/>
      <w:bookmarkStart w:id="35" w:name="_Toc389065127"/>
      <w:bookmarkStart w:id="36" w:name="_Toc8221"/>
      <w:bookmarkStart w:id="37" w:name="_Toc25162"/>
      <w:bookmarkStart w:id="38" w:name="_Toc19303"/>
      <w:r>
        <w:rPr>
          <w:rFonts w:hint="eastAsia" w:ascii="方正仿宋_GB2312" w:hAnsi="方正仿宋_GB2312" w:eastAsia="方正仿宋_GB2312" w:cs="方正仿宋_GB2312"/>
          <w:sz w:val="32"/>
          <w:szCs w:val="32"/>
        </w:rPr>
        <w:t>5. 投标</w:t>
      </w:r>
      <w:bookmarkEnd w:id="33"/>
      <w:bookmarkEnd w:id="34"/>
      <w:bookmarkEnd w:id="35"/>
      <w:r>
        <w:rPr>
          <w:rFonts w:hint="eastAsia" w:ascii="方正仿宋_GB2312" w:hAnsi="方正仿宋_GB2312" w:eastAsia="方正仿宋_GB2312" w:cs="方正仿宋_GB2312"/>
          <w:sz w:val="32"/>
          <w:szCs w:val="32"/>
          <w:lang w:val="en-US" w:eastAsia="zh-CN"/>
        </w:rPr>
        <w:t>文件的递交</w:t>
      </w:r>
      <w:bookmarkEnd w:id="36"/>
      <w:bookmarkEnd w:id="37"/>
      <w:bookmarkEnd w:id="38"/>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bookmarkStart w:id="39" w:name="_Toc389065128"/>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5.1 </w:t>
      </w: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电子投标文件递交的截止时间（即：投标截止时间，下同）及开标时间为</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分</w:t>
      </w: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（北京时间，下同）。请投标人在</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电子招标投标交易平台名称及下载地址</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下载电子投标文件制作工具编制投标文件，投标人应在投标截止时间前通过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电子招标投标交易平台名称及递交地址</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递交数据电文形式的投标文件。逾期递交的投标文件，将予以拒收。</w:t>
      </w:r>
    </w:p>
    <w:p>
      <w:pPr>
        <w:pStyle w:val="3"/>
        <w:pageBreakBefore w:val="0"/>
        <w:widowControl w:val="0"/>
        <w:kinsoku/>
        <w:wordWrap/>
        <w:overflowPunct/>
        <w:autoSpaceDE/>
        <w:autoSpaceDN/>
        <w:bidi w:val="0"/>
        <w:spacing w:line="440" w:lineRule="exact"/>
        <w:textAlignment w:val="auto"/>
        <w:outlineLvl w:val="1"/>
        <w:rPr>
          <w:rFonts w:hint="eastAsia" w:ascii="方正仿宋_GB2312" w:hAnsi="方正仿宋_GB2312" w:eastAsia="方正仿宋_GB2312" w:cs="方正仿宋_GB2312"/>
          <w:sz w:val="32"/>
          <w:szCs w:val="32"/>
        </w:rPr>
      </w:pPr>
      <w:bookmarkStart w:id="40" w:name="_Toc9386"/>
      <w:bookmarkStart w:id="41" w:name="_Toc508286062"/>
      <w:bookmarkStart w:id="42" w:name="_Toc28313"/>
      <w:bookmarkStart w:id="43" w:name="_Toc17128"/>
      <w:bookmarkStart w:id="44" w:name="_Toc29550"/>
      <w:r>
        <w:rPr>
          <w:rFonts w:hint="eastAsia" w:ascii="方正仿宋_GB2312" w:hAnsi="方正仿宋_GB2312" w:eastAsia="方正仿宋_GB2312" w:cs="方正仿宋_GB2312"/>
          <w:sz w:val="32"/>
          <w:szCs w:val="32"/>
        </w:rPr>
        <w:t>6. 资格审查</w:t>
      </w:r>
      <w:bookmarkEnd w:id="40"/>
      <w:bookmarkEnd w:id="41"/>
      <w:bookmarkEnd w:id="42"/>
      <w:bookmarkEnd w:id="43"/>
      <w:bookmarkEnd w:id="44"/>
    </w:p>
    <w:p>
      <w:pPr>
        <w:pageBreakBefore w:val="0"/>
        <w:widowControl w:val="0"/>
        <w:kinsoku/>
        <w:wordWrap/>
        <w:overflowPunct/>
        <w:topLine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本次招标采用</w:t>
      </w:r>
      <w:r>
        <w:rPr>
          <w:rFonts w:hint="eastAsia" w:ascii="方正仿宋_GB2312" w:hAnsi="方正仿宋_GB2312" w:eastAsia="方正仿宋_GB2312" w:cs="方正仿宋_GB2312"/>
          <w:color w:val="000000" w:themeColor="text1"/>
          <w:sz w:val="32"/>
          <w:szCs w:val="32"/>
          <w:u w:val="none"/>
          <w:lang w:val="en-US" w:eastAsia="zh-CN"/>
          <w14:textFill>
            <w14:solidFill>
              <w14:schemeClr w14:val="tx1"/>
            </w14:solidFill>
          </w14:textFill>
        </w:rPr>
        <w:t>资格后审方式</w:t>
      </w:r>
    </w:p>
    <w:p>
      <w:pPr>
        <w:pStyle w:val="3"/>
        <w:pageBreakBefore w:val="0"/>
        <w:widowControl w:val="0"/>
        <w:kinsoku/>
        <w:wordWrap/>
        <w:overflowPunct/>
        <w:autoSpaceDE/>
        <w:autoSpaceDN/>
        <w:bidi w:val="0"/>
        <w:spacing w:line="440" w:lineRule="exact"/>
        <w:textAlignment w:val="auto"/>
        <w:outlineLvl w:val="1"/>
        <w:rPr>
          <w:rFonts w:hint="eastAsia" w:ascii="方正仿宋_GB2312" w:hAnsi="方正仿宋_GB2312" w:eastAsia="方正仿宋_GB2312" w:cs="方正仿宋_GB2312"/>
          <w:sz w:val="32"/>
          <w:szCs w:val="32"/>
        </w:rPr>
      </w:pPr>
      <w:bookmarkStart w:id="45" w:name="_Toc508286063"/>
      <w:bookmarkStart w:id="46" w:name="_Toc21913"/>
      <w:bookmarkStart w:id="47" w:name="_Toc21334"/>
      <w:bookmarkStart w:id="48" w:name="_Toc1309"/>
      <w:bookmarkStart w:id="49" w:name="_Toc23528"/>
      <w:r>
        <w:rPr>
          <w:rFonts w:hint="eastAsia" w:ascii="方正仿宋_GB2312" w:hAnsi="方正仿宋_GB2312" w:eastAsia="方正仿宋_GB2312" w:cs="方正仿宋_GB2312"/>
          <w:sz w:val="32"/>
          <w:szCs w:val="32"/>
        </w:rPr>
        <w:t>7.评标</w:t>
      </w:r>
      <w:bookmarkEnd w:id="39"/>
      <w:r>
        <w:rPr>
          <w:rFonts w:hint="eastAsia" w:ascii="方正仿宋_GB2312" w:hAnsi="方正仿宋_GB2312" w:eastAsia="方正仿宋_GB2312" w:cs="方正仿宋_GB2312"/>
          <w:sz w:val="32"/>
          <w:szCs w:val="32"/>
        </w:rPr>
        <w:t>方法</w:t>
      </w:r>
      <w:bookmarkEnd w:id="45"/>
      <w:bookmarkEnd w:id="46"/>
      <w:bookmarkEnd w:id="47"/>
      <w:bookmarkEnd w:id="48"/>
      <w:bookmarkEnd w:id="49"/>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本次招标的评标标准和方法</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□综合评估法</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□经评审的最低投标价法</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□定性评审法</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□其他</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3"/>
        <w:pageBreakBefore w:val="0"/>
        <w:widowControl w:val="0"/>
        <w:kinsoku/>
        <w:wordWrap/>
        <w:overflowPunct/>
        <w:autoSpaceDE/>
        <w:autoSpaceDN/>
        <w:bidi w:val="0"/>
        <w:spacing w:line="440" w:lineRule="exact"/>
        <w:textAlignment w:val="auto"/>
        <w:outlineLvl w:val="1"/>
        <w:rPr>
          <w:rFonts w:hint="eastAsia" w:ascii="方正仿宋_GB2312" w:hAnsi="方正仿宋_GB2312" w:eastAsia="方正仿宋_GB2312" w:cs="方正仿宋_GB2312"/>
          <w:sz w:val="32"/>
          <w:szCs w:val="32"/>
        </w:rPr>
      </w:pPr>
      <w:bookmarkStart w:id="50" w:name="_Toc31771"/>
      <w:bookmarkStart w:id="51" w:name="_Toc508286064"/>
      <w:bookmarkStart w:id="52" w:name="_Toc26831"/>
      <w:bookmarkStart w:id="53" w:name="_Toc30534"/>
      <w:bookmarkStart w:id="54" w:name="_Toc23550"/>
      <w:r>
        <w:rPr>
          <w:rFonts w:hint="eastAsia" w:ascii="方正仿宋_GB2312" w:hAnsi="方正仿宋_GB2312" w:eastAsia="方正仿宋_GB2312" w:cs="方正仿宋_GB2312"/>
          <w:sz w:val="32"/>
          <w:szCs w:val="32"/>
        </w:rPr>
        <w:t>8. 发布公告的媒介</w:t>
      </w:r>
      <w:bookmarkEnd w:id="50"/>
      <w:bookmarkEnd w:id="51"/>
      <w:bookmarkEnd w:id="52"/>
      <w:bookmarkEnd w:id="53"/>
      <w:bookmarkEnd w:id="54"/>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本次招标公告在</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（发布公告的媒介名称）</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上发布。</w:t>
      </w:r>
    </w:p>
    <w:p>
      <w:pPr>
        <w:pStyle w:val="3"/>
        <w:pageBreakBefore w:val="0"/>
        <w:widowControl w:val="0"/>
        <w:tabs>
          <w:tab w:val="left" w:pos="281"/>
        </w:tabs>
        <w:kinsoku/>
        <w:wordWrap/>
        <w:overflowPunct/>
        <w:autoSpaceDE/>
        <w:autoSpaceDN/>
        <w:bidi w:val="0"/>
        <w:adjustRightInd w:val="0"/>
        <w:snapToGrid w:val="0"/>
        <w:spacing w:before="0" w:after="0" w:line="440" w:lineRule="exac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55" w:name="_Toc30484"/>
      <w:bookmarkStart w:id="56" w:name="_Toc21165"/>
      <w:bookmarkStart w:id="57" w:name="_Toc3277"/>
      <w:bookmarkStart w:id="58" w:name="_Toc14607"/>
      <w:r>
        <w:rPr>
          <w:rFonts w:hint="eastAsia" w:ascii="方正仿宋_GB2312" w:hAnsi="方正仿宋_GB2312" w:eastAsia="方正仿宋_GB2312" w:cs="方正仿宋_GB2312"/>
          <w:color w:val="000000" w:themeColor="text1"/>
          <w:sz w:val="32"/>
          <w:szCs w:val="32"/>
          <w14:textFill>
            <w14:solidFill>
              <w14:schemeClr w14:val="tx1"/>
            </w14:solidFill>
          </w14:textFill>
        </w:rPr>
        <w:t>9.</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招投标监督管理部门及电话</w:t>
      </w:r>
      <w:bookmarkEnd w:id="55"/>
      <w:bookmarkEnd w:id="56"/>
      <w:bookmarkEnd w:id="57"/>
      <w:bookmarkEnd w:id="58"/>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3"/>
        <w:pageBreakBefore w:val="0"/>
        <w:widowControl w:val="0"/>
        <w:kinsoku/>
        <w:wordWrap/>
        <w:overflowPunct/>
        <w:autoSpaceDE/>
        <w:autoSpaceDN/>
        <w:bidi w:val="0"/>
        <w:spacing w:line="440" w:lineRule="exact"/>
        <w:textAlignment w:val="auto"/>
        <w:rPr>
          <w:rFonts w:hint="eastAsia" w:ascii="方正仿宋_GB2312" w:hAnsi="方正仿宋_GB2312" w:eastAsia="方正仿宋_GB2312" w:cs="方正仿宋_GB2312"/>
          <w:sz w:val="32"/>
          <w:szCs w:val="32"/>
          <w:lang w:val="en-US" w:eastAsia="zh-CN"/>
        </w:rPr>
      </w:pPr>
      <w:bookmarkStart w:id="59" w:name="_Toc14153"/>
      <w:bookmarkStart w:id="60" w:name="_Toc10703"/>
      <w:bookmarkStart w:id="61" w:name="_Toc21663"/>
      <w:bookmarkStart w:id="62" w:name="_Toc389065130"/>
      <w:bookmarkStart w:id="63" w:name="_Toc32718"/>
      <w:bookmarkStart w:id="64" w:name="_Toc7494"/>
      <w:bookmarkStart w:id="65" w:name="_Toc508286065"/>
      <w:r>
        <w:rPr>
          <w:rFonts w:hint="eastAsia" w:ascii="方正仿宋_GB2312" w:hAnsi="方正仿宋_GB2312" w:eastAsia="方正仿宋_GB2312" w:cs="方正仿宋_GB2312"/>
          <w:sz w:val="32"/>
          <w:szCs w:val="32"/>
          <w:lang w:val="en-US" w:eastAsia="zh-CN"/>
        </w:rPr>
        <w:t>10. 其他</w:t>
      </w:r>
      <w:bookmarkEnd w:id="59"/>
      <w:bookmarkEnd w:id="60"/>
      <w:bookmarkEnd w:id="61"/>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3"/>
        <w:pageBreakBefore w:val="0"/>
        <w:widowControl w:val="0"/>
        <w:kinsoku/>
        <w:wordWrap/>
        <w:overflowPunct/>
        <w:autoSpaceDE/>
        <w:autoSpaceDN/>
        <w:bidi w:val="0"/>
        <w:spacing w:line="440" w:lineRule="exact"/>
        <w:textAlignment w:val="auto"/>
        <w:outlineLvl w:val="1"/>
        <w:rPr>
          <w:rFonts w:hint="eastAsia" w:ascii="方正仿宋_GB2312" w:hAnsi="方正仿宋_GB2312" w:eastAsia="方正仿宋_GB2312" w:cs="方正仿宋_GB2312"/>
          <w:sz w:val="32"/>
          <w:szCs w:val="32"/>
        </w:rPr>
      </w:pPr>
      <w:bookmarkStart w:id="66" w:name="_Toc22480"/>
      <w:bookmarkStart w:id="67" w:name="_Toc32422"/>
      <w:bookmarkStart w:id="68" w:name="_Toc30113"/>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w:t>
      </w:r>
      <w:bookmarkEnd w:id="62"/>
      <w:bookmarkEnd w:id="63"/>
      <w:r>
        <w:rPr>
          <w:rFonts w:hint="eastAsia" w:ascii="方正仿宋_GB2312" w:hAnsi="方正仿宋_GB2312" w:eastAsia="方正仿宋_GB2312" w:cs="方正仿宋_GB2312"/>
          <w:sz w:val="32"/>
          <w:szCs w:val="32"/>
        </w:rPr>
        <w:t xml:space="preserve"> 联系方式</w:t>
      </w:r>
      <w:bookmarkEnd w:id="64"/>
      <w:bookmarkEnd w:id="65"/>
      <w:bookmarkEnd w:id="66"/>
      <w:bookmarkEnd w:id="67"/>
      <w:bookmarkEnd w:id="68"/>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招 标 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招标代理机构：</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地    址：</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地    址：</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联 系 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联</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系</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电    话：</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电    话：</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right="840" w:firstLine="640" w:firstLineChars="200"/>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Style w:val="42"/>
        <w:pageBreakBefore w:val="0"/>
        <w:widowControl w:val="0"/>
        <w:kinsoku/>
        <w:wordWrap/>
        <w:overflowPunct/>
        <w:autoSpaceDE/>
        <w:autoSpaceDN/>
        <w:bidi w:val="0"/>
        <w:spacing w:line="440" w:lineRule="exact"/>
        <w:ind w:firstLine="640" w:firstLineChars="200"/>
        <w:textAlignment w:val="auto"/>
        <w:rPr>
          <w:rFonts w:hint="eastAsia" w:ascii="方正仿宋_GB2312" w:hAnsi="方正仿宋_GB2312" w:eastAsia="方正仿宋_GB2312" w:cs="方正仿宋_GB2312"/>
          <w:sz w:val="32"/>
          <w:szCs w:val="32"/>
        </w:rPr>
      </w:pPr>
    </w:p>
    <w:p>
      <w:pPr>
        <w:pageBreakBefore w:val="0"/>
        <w:widowControl w:val="0"/>
        <w:kinsoku/>
        <w:wordWrap/>
        <w:overflowPunct/>
        <w:autoSpaceDE/>
        <w:autoSpaceDN/>
        <w:bidi w:val="0"/>
        <w:adjustRightInd w:val="0"/>
        <w:snapToGrid w:val="0"/>
        <w:spacing w:line="440" w:lineRule="exact"/>
        <w:ind w:right="840" w:firstLine="640" w:firstLineChars="200"/>
        <w:jc w:val="righ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pageBreakBefore w:val="0"/>
        <w:widowControl w:val="0"/>
        <w:kinsoku/>
        <w:wordWrap/>
        <w:overflowPunct/>
        <w:autoSpaceDE/>
        <w:autoSpaceDN/>
        <w:bidi w:val="0"/>
        <w:spacing w:line="440" w:lineRule="exact"/>
        <w:ind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bookmarkStart w:id="69" w:name="_Toc22054"/>
      <w:r>
        <w:rPr>
          <w:rFonts w:hint="eastAsia" w:ascii="方正仿宋_GB2312" w:hAnsi="方正仿宋_GB2312" w:eastAsia="方正仿宋_GB2312" w:cs="方正仿宋_GB2312"/>
          <w:b w:val="0"/>
          <w:bCs w:val="0"/>
          <w:kern w:val="2"/>
          <w:sz w:val="32"/>
          <w:szCs w:val="32"/>
          <w:lang w:val="en-US" w:eastAsia="zh-CN" w:bidi="ar-SA"/>
        </w:rPr>
        <w:br w:type="page"/>
      </w:r>
    </w:p>
    <w:p>
      <w:pPr>
        <w:keepNext/>
        <w:keepLines/>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0"/>
        <w:rPr>
          <w:rFonts w:hint="eastAsia" w:ascii="方正仿宋_GB2312" w:hAnsi="方正仿宋_GB2312" w:eastAsia="方正仿宋_GB2312" w:cs="方正仿宋_GB2312"/>
          <w:b/>
          <w:bCs/>
          <w:kern w:val="2"/>
          <w:sz w:val="32"/>
          <w:szCs w:val="32"/>
          <w:lang w:val="en-US" w:eastAsia="zh-CN" w:bidi="ar-SA"/>
        </w:rPr>
      </w:pPr>
      <w:bookmarkStart w:id="70" w:name="_Toc27662"/>
      <w:r>
        <w:rPr>
          <w:rFonts w:hint="eastAsia" w:ascii="方正仿宋_GB2312" w:hAnsi="方正仿宋_GB2312" w:eastAsia="方正仿宋_GB2312" w:cs="方正仿宋_GB2312"/>
          <w:b/>
          <w:bCs/>
          <w:kern w:val="2"/>
          <w:sz w:val="32"/>
          <w:szCs w:val="32"/>
          <w:lang w:val="en-US" w:eastAsia="zh-CN" w:bidi="ar-SA"/>
        </w:rPr>
        <w:t>第一章  投标邀请书（适用于邀请招标）</w:t>
      </w:r>
      <w:bookmarkEnd w:id="69"/>
      <w:bookmarkEnd w:id="70"/>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b/>
          <w:color w:val="000000" w:themeColor="text1"/>
          <w:sz w:val="32"/>
          <w:szCs w:val="32"/>
          <w:u w:val="single"/>
          <w:lang w:eastAsia="zh-CN"/>
          <w14:textFill>
            <w14:solidFill>
              <w14:schemeClr w14:val="tx1"/>
            </w14:solidFill>
          </w14:textFill>
        </w:rPr>
        <w:t>（</w:t>
      </w:r>
      <w:r>
        <w:rPr>
          <w:rFonts w:hint="eastAsia" w:ascii="方正仿宋_GB2312" w:hAnsi="方正仿宋_GB2312" w:eastAsia="方正仿宋_GB2312" w:cs="方正仿宋_GB2312"/>
          <w:b/>
          <w:color w:val="000000" w:themeColor="text1"/>
          <w:sz w:val="32"/>
          <w:szCs w:val="32"/>
          <w:u w:val="single"/>
          <w14:textFill>
            <w14:solidFill>
              <w14:schemeClr w14:val="tx1"/>
            </w14:solidFill>
          </w14:textFill>
        </w:rPr>
        <w:t>项目名称</w:t>
      </w:r>
      <w:r>
        <w:rPr>
          <w:rFonts w:hint="eastAsia" w:ascii="方正仿宋_GB2312" w:hAnsi="方正仿宋_GB2312" w:eastAsia="方正仿宋_GB2312" w:cs="方正仿宋_GB2312"/>
          <w:b/>
          <w:color w:val="000000" w:themeColor="text1"/>
          <w:sz w:val="32"/>
          <w:szCs w:val="32"/>
          <w:u w:val="single"/>
          <w:lang w:eastAsia="zh-CN"/>
          <w14:textFill>
            <w14:solidFill>
              <w14:schemeClr w14:val="tx1"/>
            </w14:solidFill>
          </w14:textFill>
        </w:rPr>
        <w:t>）</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b/>
          <w:color w:val="000000" w:themeColor="text1"/>
          <w:sz w:val="32"/>
          <w:szCs w:val="32"/>
          <w14:textFill>
            <w14:solidFill>
              <w14:schemeClr w14:val="tx1"/>
            </w14:solidFill>
          </w14:textFill>
        </w:rPr>
        <w:t>标段施工投标邀请书</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u w:val="single"/>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(被邀请单位名称)</w:t>
      </w:r>
      <w:r>
        <w:rPr>
          <w:rFonts w:hint="eastAsia" w:ascii="方正仿宋_GB2312" w:hAnsi="方正仿宋_GB2312" w:eastAsia="方正仿宋_GB2312" w:cs="方正仿宋_GB2312"/>
          <w:sz w:val="32"/>
          <w:szCs w:val="32"/>
        </w:rPr>
        <w:t>：</w:t>
      </w:r>
    </w:p>
    <w:p>
      <w:pPr>
        <w:keepNext/>
        <w:keepLines/>
        <w:pageBreakBefore w:val="0"/>
        <w:widowControl w:val="0"/>
        <w:kinsoku/>
        <w:wordWrap/>
        <w:overflowPunct/>
        <w:autoSpaceDE/>
        <w:autoSpaceDN/>
        <w:bidi w:val="0"/>
        <w:spacing w:before="60" w:after="60" w:line="440" w:lineRule="exact"/>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71" w:name="_Toc19993"/>
      <w:bookmarkStart w:id="72" w:name="_Toc20875"/>
      <w:r>
        <w:rPr>
          <w:rFonts w:hint="eastAsia" w:ascii="方正仿宋_GB2312" w:hAnsi="方正仿宋_GB2312" w:eastAsia="方正仿宋_GB2312" w:cs="方正仿宋_GB2312"/>
          <w:b/>
          <w:bCs/>
          <w:kern w:val="2"/>
          <w:sz w:val="32"/>
          <w:szCs w:val="32"/>
          <w:lang w:val="en-US" w:eastAsia="zh-CN" w:bidi="ar-SA"/>
        </w:rPr>
        <w:t>1. 招标条件</w:t>
      </w:r>
      <w:bookmarkEnd w:id="71"/>
      <w:bookmarkEnd w:id="72"/>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本招标项目</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（项目名称）</w:t>
      </w: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已由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（项目审批、核准或备案机关名称）</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以</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（批文名称及编号）</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批准建设，建设单位为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 ，建设资金来自</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（资金来源）</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，项目出资比例为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。项目已具备招标条件，现邀请</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你单位参加</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（项目名称及标段）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施工</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w:t>
      </w:r>
    </w:p>
    <w:p>
      <w:pPr>
        <w:keepNext/>
        <w:keepLines/>
        <w:pageBreakBefore w:val="0"/>
        <w:widowControl w:val="0"/>
        <w:kinsoku/>
        <w:wordWrap/>
        <w:overflowPunct/>
        <w:autoSpaceDE/>
        <w:autoSpaceDN/>
        <w:bidi w:val="0"/>
        <w:spacing w:before="60" w:after="60" w:line="440" w:lineRule="exact"/>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73" w:name="_Toc10606"/>
      <w:bookmarkStart w:id="74" w:name="_Toc1895"/>
      <w:r>
        <w:rPr>
          <w:rFonts w:hint="eastAsia" w:ascii="方正仿宋_GB2312" w:hAnsi="方正仿宋_GB2312" w:eastAsia="方正仿宋_GB2312" w:cs="方正仿宋_GB2312"/>
          <w:b/>
          <w:bCs/>
          <w:kern w:val="2"/>
          <w:sz w:val="32"/>
          <w:szCs w:val="32"/>
          <w:lang w:val="en-US" w:eastAsia="zh-CN" w:bidi="ar-SA"/>
        </w:rPr>
        <w:t>2. 项目概况与招标范围</w:t>
      </w:r>
      <w:bookmarkEnd w:id="73"/>
      <w:bookmarkEnd w:id="74"/>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项目概况：</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建设地点：</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2.1.2</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建设规模：</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工程</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投资额：</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2.1.4</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计划工期：</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日历天(具体以合同约定为准）；</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2.1.5 标段划分：</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2.1.6</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其他：</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2.2招标范围：</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keepNext/>
        <w:keepLines/>
        <w:pageBreakBefore w:val="0"/>
        <w:widowControl w:val="0"/>
        <w:kinsoku/>
        <w:wordWrap/>
        <w:overflowPunct/>
        <w:autoSpaceDE/>
        <w:autoSpaceDN/>
        <w:bidi w:val="0"/>
        <w:spacing w:before="60" w:after="60" w:line="440" w:lineRule="exact"/>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75" w:name="_Toc24274"/>
      <w:bookmarkStart w:id="76" w:name="_Toc9360"/>
      <w:r>
        <w:rPr>
          <w:rFonts w:hint="eastAsia" w:ascii="方正仿宋_GB2312" w:hAnsi="方正仿宋_GB2312" w:eastAsia="方正仿宋_GB2312" w:cs="方正仿宋_GB2312"/>
          <w:b/>
          <w:bCs/>
          <w:kern w:val="2"/>
          <w:sz w:val="32"/>
          <w:szCs w:val="32"/>
          <w:lang w:val="en-US" w:eastAsia="zh-CN" w:bidi="ar-SA"/>
        </w:rPr>
        <w:t>3. 投标人资格要求</w:t>
      </w:r>
      <w:bookmarkEnd w:id="75"/>
      <w:bookmarkEnd w:id="76"/>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投标人必须是中华人民共和国境内注册的，具有独立法人资格的企业；</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3.2</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投标人须具备住房城乡建设主管部门颁发的</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资质，有安全生产许可证</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且在有效期内，</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并在人员、设备、资金等方面具有相应的施工能力。项目负责人须具备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专业</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级注册建造师执业资格，具备有效的安全生产考核合格证书，且未担任其他在施建设工程项目的项目负责人</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项目经理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yellow"/>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3.3 </w:t>
      </w: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各投标人均可就本招标项目上述标段中的</w:t>
      </w:r>
      <w:r>
        <w:rPr>
          <w:rFonts w:hint="eastAsia" w:ascii="方正仿宋_GB2312" w:hAnsi="方正仿宋_GB2312" w:eastAsia="方正仿宋_GB2312" w:cs="方正仿宋_GB2312"/>
          <w:color w:val="000000" w:themeColor="text1"/>
          <w:kern w:val="2"/>
          <w:sz w:val="32"/>
          <w:szCs w:val="32"/>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（具体数量）个标段投标，但最多允许中标</w:t>
      </w:r>
      <w:r>
        <w:rPr>
          <w:rFonts w:hint="eastAsia" w:ascii="方正仿宋_GB2312" w:hAnsi="方正仿宋_GB2312" w:eastAsia="方正仿宋_GB2312" w:cs="方正仿宋_GB2312"/>
          <w:color w:val="000000" w:themeColor="text1"/>
          <w:kern w:val="2"/>
          <w:sz w:val="32"/>
          <w:szCs w:val="32"/>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（具体数量）个标段（适用于分标段的招标项目）。</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3.4</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类似业绩要求：                     </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□不要求</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□要求，（由招标人在以下工程业绩中勾选一项）</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□企业承担过</w:t>
      </w:r>
      <w:r>
        <w:rPr>
          <w:rFonts w:hint="eastAsia" w:ascii="方正仿宋_GB2312" w:hAnsi="方正仿宋_GB2312" w:eastAsia="方正仿宋_GB2312" w:cs="方正仿宋_GB2312"/>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 xml:space="preserve">项类似业绩；  </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□拟任</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项目负责人</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项目经理</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承担过</w:t>
      </w:r>
      <w:r>
        <w:rPr>
          <w:rFonts w:hint="eastAsia" w:ascii="方正仿宋_GB2312" w:hAnsi="方正仿宋_GB2312" w:eastAsia="方正仿宋_GB2312" w:cs="方正仿宋_GB2312"/>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项类似业绩。</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(类似业绩指与发包工程建设规模相似、结构类型、使用功能相同的</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房屋建筑和市政基础设施工程</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项目，具体指标按照国家和自治区有关规定执行。)</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5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财务要求：近</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年度、</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年度、</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年度）经会计师事务所或审计机构审计的财务审计报告，包括资产负债表、现金流量表、损益表和财务报表附注。（如为联合体，则需进一步明确满足财务要求的为联合体牵头人或联合体各方）</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6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本次招标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（接受/不接受）联合体投标</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接受</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联合体投标的，联合体投标的相关要求见投标人须知前附</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表</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7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信誉要求：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8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其他要求：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keepLines/>
        <w:pageBreakBefore w:val="0"/>
        <w:widowControl w:val="0"/>
        <w:kinsoku/>
        <w:wordWrap/>
        <w:overflowPunct/>
        <w:autoSpaceDE/>
        <w:autoSpaceDN/>
        <w:bidi w:val="0"/>
        <w:spacing w:before="60" w:after="60" w:line="440" w:lineRule="exact"/>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77" w:name="_Toc31690"/>
      <w:bookmarkStart w:id="78" w:name="_Toc30129"/>
      <w:r>
        <w:rPr>
          <w:rFonts w:hint="eastAsia" w:ascii="方正仿宋_GB2312" w:hAnsi="方正仿宋_GB2312" w:eastAsia="方正仿宋_GB2312" w:cs="方正仿宋_GB2312"/>
          <w:b/>
          <w:bCs/>
          <w:kern w:val="2"/>
          <w:sz w:val="32"/>
          <w:szCs w:val="32"/>
          <w:lang w:val="en-US" w:eastAsia="zh-CN" w:bidi="ar-SA"/>
        </w:rPr>
        <w:t>4. 招标文件的获取</w:t>
      </w:r>
      <w:bookmarkEnd w:id="77"/>
      <w:bookmarkEnd w:id="78"/>
    </w:p>
    <w:p>
      <w:pPr>
        <w:keepNext w:val="0"/>
        <w:keepLines w:val="0"/>
        <w:pageBreakBefore w:val="0"/>
        <w:widowControl w:val="0"/>
        <w:tabs>
          <w:tab w:val="left" w:pos="360"/>
        </w:tabs>
        <w:kinsoku/>
        <w:wordWrap/>
        <w:overflowPunct/>
        <w:topLinePunct w:val="0"/>
        <w:autoSpaceDE/>
        <w:autoSpaceDN/>
        <w:bidi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4.1</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 xml:space="preserve"> 有投标意愿者，请于</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分至</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分</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 xml:space="preserve">在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（详细地址）持本投标邀请书购买招标文件。招标文件包括图纸、工程量清单、招标控制价（最高投标限价）等。</w:t>
      </w:r>
    </w:p>
    <w:p>
      <w:pPr>
        <w:keepNext w:val="0"/>
        <w:keepLines w:val="0"/>
        <w:pageBreakBefore w:val="0"/>
        <w:widowControl w:val="0"/>
        <w:kinsoku/>
        <w:wordWrap/>
        <w:overflowPunct/>
        <w:topLinePunct w:val="0"/>
        <w:autoSpaceDE/>
        <w:autoSpaceDN/>
        <w:bidi w:val="0"/>
        <w:adjustRightInd w:val="0"/>
        <w:snapToGrid w:val="0"/>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4.</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 xml:space="preserve">2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招标文件每套售价</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元，售后不退。</w:t>
      </w:r>
    </w:p>
    <w:p>
      <w:pPr>
        <w:keepNext/>
        <w:keepLines/>
        <w:pageBreakBefore w:val="0"/>
        <w:widowControl w:val="0"/>
        <w:kinsoku/>
        <w:wordWrap/>
        <w:overflowPunct/>
        <w:autoSpaceDE/>
        <w:autoSpaceDN/>
        <w:bidi w:val="0"/>
        <w:spacing w:before="60" w:after="60" w:line="440" w:lineRule="exact"/>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79" w:name="_Toc26921"/>
      <w:bookmarkStart w:id="80" w:name="_Toc9314"/>
      <w:r>
        <w:rPr>
          <w:rFonts w:hint="eastAsia" w:ascii="方正仿宋_GB2312" w:hAnsi="方正仿宋_GB2312" w:eastAsia="方正仿宋_GB2312" w:cs="方正仿宋_GB2312"/>
          <w:b/>
          <w:bCs/>
          <w:kern w:val="2"/>
          <w:sz w:val="32"/>
          <w:szCs w:val="32"/>
          <w:lang w:val="en-US" w:eastAsia="zh-CN" w:bidi="ar-SA"/>
        </w:rPr>
        <w:t>5. 投标文件的递交</w:t>
      </w:r>
      <w:bookmarkEnd w:id="79"/>
      <w:bookmarkEnd w:id="80"/>
    </w:p>
    <w:p>
      <w:pPr>
        <w:keepNext w:val="0"/>
        <w:keepLines w:val="0"/>
        <w:pageBreakBefore w:val="0"/>
        <w:widowControl w:val="0"/>
        <w:tabs>
          <w:tab w:val="left" w:pos="360"/>
        </w:tabs>
        <w:kinsoku/>
        <w:wordWrap/>
        <w:overflowPunct/>
        <w:topLinePunct w:val="0"/>
        <w:autoSpaceDE/>
        <w:autoSpaceDN/>
        <w:bidi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5.1 </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投标文件递交的截止时间（投标截止时间，下同）为</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分</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，地点</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w:t>
      </w:r>
    </w:p>
    <w:p>
      <w:pPr>
        <w:keepNext w:val="0"/>
        <w:keepLines w:val="0"/>
        <w:pageBreakBefore w:val="0"/>
        <w:widowControl w:val="0"/>
        <w:tabs>
          <w:tab w:val="left" w:pos="360"/>
        </w:tabs>
        <w:kinsoku/>
        <w:wordWrap/>
        <w:overflowPunct/>
        <w:topLinePunct w:val="0"/>
        <w:autoSpaceDE/>
        <w:autoSpaceDN/>
        <w:bidi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5.2 逾期送达的或者未送达指定地点的投标文件，招标人不予受理。</w:t>
      </w:r>
    </w:p>
    <w:p>
      <w:pPr>
        <w:keepNext/>
        <w:keepLines/>
        <w:pageBreakBefore w:val="0"/>
        <w:widowControl w:val="0"/>
        <w:kinsoku/>
        <w:wordWrap/>
        <w:overflowPunct/>
        <w:autoSpaceDE/>
        <w:autoSpaceDN/>
        <w:bidi w:val="0"/>
        <w:spacing w:before="60" w:after="60" w:line="440" w:lineRule="exact"/>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81" w:name="_Toc13588"/>
      <w:bookmarkStart w:id="82" w:name="_Toc2643"/>
      <w:r>
        <w:rPr>
          <w:rFonts w:hint="eastAsia" w:ascii="方正仿宋_GB2312" w:hAnsi="方正仿宋_GB2312" w:eastAsia="方正仿宋_GB2312" w:cs="方正仿宋_GB2312"/>
          <w:b/>
          <w:bCs/>
          <w:kern w:val="2"/>
          <w:sz w:val="32"/>
          <w:szCs w:val="32"/>
          <w:lang w:val="en-US" w:eastAsia="zh-CN" w:bidi="ar-SA"/>
        </w:rPr>
        <w:t>6. 确认</w:t>
      </w:r>
      <w:bookmarkEnd w:id="81"/>
      <w:bookmarkEnd w:id="82"/>
    </w:p>
    <w:p>
      <w:pPr>
        <w:keepNext/>
        <w:keepLines/>
        <w:pageBreakBefore w:val="0"/>
        <w:widowControl w:val="0"/>
        <w:kinsoku/>
        <w:wordWrap/>
        <w:overflowPunct/>
        <w:autoSpaceDE/>
        <w:autoSpaceDN/>
        <w:bidi w:val="0"/>
        <w:spacing w:before="60" w:after="60" w:line="440" w:lineRule="exact"/>
        <w:ind w:firstLine="640" w:firstLineChars="200"/>
        <w:jc w:val="both"/>
        <w:textAlignment w:val="auto"/>
        <w:outlineLvl w:val="9"/>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bookmarkStart w:id="83" w:name="_Toc2205"/>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你单位收到本投标邀请书后，请于</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kern w:val="0"/>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分</w:t>
      </w: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前以</w:t>
      </w:r>
      <w:r>
        <w:rPr>
          <w:rFonts w:hint="eastAsia" w:ascii="方正仿宋_GB2312" w:hAnsi="方正仿宋_GB2312" w:eastAsia="方正仿宋_GB2312" w:cs="方正仿宋_GB2312"/>
          <w:color w:val="000000" w:themeColor="text1"/>
          <w:kern w:val="0"/>
          <w:sz w:val="32"/>
          <w:szCs w:val="32"/>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（传真/快递/其他方式）</w:t>
      </w: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方式予以确认是否参与投标。在本邀请书规定的时间内未表示是否参加投标或明确表示不参加投标的，不得再参加。</w:t>
      </w:r>
      <w:bookmarkEnd w:id="83"/>
    </w:p>
    <w:p>
      <w:pPr>
        <w:keepNext/>
        <w:keepLines/>
        <w:pageBreakBefore w:val="0"/>
        <w:widowControl w:val="0"/>
        <w:numPr>
          <w:ilvl w:val="0"/>
          <w:numId w:val="0"/>
        </w:numPr>
        <w:kinsoku/>
        <w:wordWrap/>
        <w:overflowPunct/>
        <w:autoSpaceDE/>
        <w:autoSpaceDN/>
        <w:bidi w:val="0"/>
        <w:spacing w:before="60" w:after="60" w:line="440" w:lineRule="exact"/>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84" w:name="_Toc25523"/>
      <w:bookmarkStart w:id="85" w:name="_Toc10585"/>
      <w:r>
        <w:rPr>
          <w:rFonts w:hint="eastAsia" w:ascii="方正仿宋_GB2312" w:hAnsi="方正仿宋_GB2312" w:eastAsia="方正仿宋_GB2312" w:cs="方正仿宋_GB2312"/>
          <w:b/>
          <w:bCs/>
          <w:kern w:val="2"/>
          <w:sz w:val="32"/>
          <w:szCs w:val="32"/>
          <w:lang w:val="en-US" w:eastAsia="zh-CN" w:bidi="ar-SA"/>
        </w:rPr>
        <w:t>资格审查</w:t>
      </w:r>
      <w:bookmarkEnd w:id="84"/>
      <w:bookmarkEnd w:id="85"/>
    </w:p>
    <w:p>
      <w:pPr>
        <w:pageBreakBefore w:val="0"/>
        <w:widowControl w:val="0"/>
        <w:kinsoku/>
        <w:wordWrap/>
        <w:overflowPunct/>
        <w:topLine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本次招标采用</w:t>
      </w:r>
      <w:r>
        <w:rPr>
          <w:rFonts w:hint="eastAsia" w:ascii="方正仿宋_GB2312" w:hAnsi="方正仿宋_GB2312" w:eastAsia="方正仿宋_GB2312" w:cs="方正仿宋_GB2312"/>
          <w:color w:val="000000" w:themeColor="text1"/>
          <w:kern w:val="0"/>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0"/>
          <w:sz w:val="32"/>
          <w:szCs w:val="32"/>
          <w:lang w:val="en-US" w:eastAsia="zh-CN"/>
          <w14:textFill>
            <w14:solidFill>
              <w14:schemeClr w14:val="tx1"/>
            </w14:solidFill>
          </w14:textFill>
        </w:rPr>
        <w:t>。</w:t>
      </w:r>
    </w:p>
    <w:p>
      <w:pPr>
        <w:keepNext/>
        <w:keepLines/>
        <w:pageBreakBefore w:val="0"/>
        <w:widowControl w:val="0"/>
        <w:kinsoku/>
        <w:wordWrap/>
        <w:overflowPunct/>
        <w:autoSpaceDE/>
        <w:autoSpaceDN/>
        <w:bidi w:val="0"/>
        <w:spacing w:before="60" w:after="60" w:line="440" w:lineRule="exact"/>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86" w:name="_Toc30446"/>
      <w:bookmarkStart w:id="87" w:name="_Toc12429"/>
      <w:r>
        <w:rPr>
          <w:rFonts w:hint="eastAsia" w:ascii="方正仿宋_GB2312" w:hAnsi="方正仿宋_GB2312" w:eastAsia="方正仿宋_GB2312" w:cs="方正仿宋_GB2312"/>
          <w:b/>
          <w:bCs/>
          <w:kern w:val="2"/>
          <w:sz w:val="32"/>
          <w:szCs w:val="32"/>
          <w:lang w:val="en-US" w:eastAsia="zh-CN" w:bidi="ar-SA"/>
        </w:rPr>
        <w:t>8. 评标方法</w:t>
      </w:r>
      <w:bookmarkEnd w:id="86"/>
      <w:bookmarkEnd w:id="87"/>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本次招标的评标标准和方法</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□综合评估法</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□经评审的最低投标价法</w:t>
      </w:r>
    </w:p>
    <w:p>
      <w:pPr>
        <w:pageBreakBefore w:val="0"/>
        <w:widowControl w:val="0"/>
        <w:kinsoku/>
        <w:wordWrap/>
        <w:overflowPunct/>
        <w:autoSpaceDE/>
        <w:autoSpaceDN/>
        <w:bidi w:val="0"/>
        <w:adjustRightInd w:val="0"/>
        <w:snapToGrid w:val="0"/>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lang w:val="en-US" w:eastAsia="zh-CN" w:bidi="ar-SA"/>
          <w14:textFill>
            <w14:solidFill>
              <w14:schemeClr w14:val="tx1"/>
            </w14:solidFill>
          </w14:textFill>
        </w:rPr>
        <w:t>□定性评审法</w:t>
      </w:r>
    </w:p>
    <w:p>
      <w:pPr>
        <w:keepNext/>
        <w:keepLines/>
        <w:pageBreakBefore w:val="0"/>
        <w:widowControl w:val="0"/>
        <w:tabs>
          <w:tab w:val="left" w:pos="281"/>
        </w:tabs>
        <w:kinsoku/>
        <w:wordWrap/>
        <w:overflowPunct/>
        <w:autoSpaceDE/>
        <w:autoSpaceDN/>
        <w:bidi w:val="0"/>
        <w:adjustRightInd w:val="0"/>
        <w:snapToGrid w:val="0"/>
        <w:spacing w:before="0" w:after="0" w:line="440" w:lineRule="exact"/>
        <w:ind w:firstLine="0" w:firstLineChars="0"/>
        <w:jc w:val="both"/>
        <w:textAlignment w:val="auto"/>
        <w:outlineLvl w:val="1"/>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bookmarkStart w:id="88" w:name="_Toc7519"/>
      <w:bookmarkStart w:id="89" w:name="_Toc27755"/>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9.</w:t>
      </w:r>
      <w:r>
        <w:rPr>
          <w:rFonts w:hint="eastAsia" w:ascii="方正仿宋_GB2312" w:hAnsi="方正仿宋_GB2312" w:eastAsia="方正仿宋_GB2312" w:cs="方正仿宋_GB2312"/>
          <w:b/>
          <w:bCs/>
          <w:kern w:val="2"/>
          <w:sz w:val="32"/>
          <w:szCs w:val="32"/>
          <w:lang w:val="en-US" w:eastAsia="zh-CN" w:bidi="ar-SA"/>
        </w:rPr>
        <w:t xml:space="preserve"> </w:t>
      </w: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招投标监督管理部门及电话</w:t>
      </w:r>
      <w:bookmarkEnd w:id="88"/>
      <w:bookmarkEnd w:id="89"/>
      <w:r>
        <w:rPr>
          <w:rFonts w:hint="eastAsia" w:ascii="方正仿宋_GB2312" w:hAnsi="方正仿宋_GB2312" w:eastAsia="方正仿宋_GB2312" w:cs="方正仿宋_GB2312"/>
          <w:b/>
          <w:bCs/>
          <w:color w:val="000000" w:themeColor="text1"/>
          <w:kern w:val="2"/>
          <w:sz w:val="32"/>
          <w:szCs w:val="32"/>
          <w:u w:val="single"/>
          <w:lang w:val="en-US" w:eastAsia="zh-CN" w:bidi="ar-SA"/>
          <w14:textFill>
            <w14:solidFill>
              <w14:schemeClr w14:val="tx1"/>
            </w14:solidFill>
          </w14:textFill>
        </w:rPr>
        <w:t xml:space="preserve">                                             </w:t>
      </w:r>
    </w:p>
    <w:p>
      <w:pPr>
        <w:keepNext/>
        <w:keepLines/>
        <w:pageBreakBefore w:val="0"/>
        <w:widowControl w:val="0"/>
        <w:kinsoku/>
        <w:wordWrap/>
        <w:overflowPunct/>
        <w:autoSpaceDE/>
        <w:autoSpaceDN/>
        <w:bidi w:val="0"/>
        <w:spacing w:before="60" w:after="60" w:line="440" w:lineRule="exact"/>
        <w:ind w:firstLine="0" w:firstLineChars="0"/>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90" w:name="_Toc3859"/>
      <w:bookmarkStart w:id="91" w:name="_Toc23382"/>
      <w:r>
        <w:rPr>
          <w:rFonts w:hint="eastAsia" w:ascii="方正仿宋_GB2312" w:hAnsi="方正仿宋_GB2312" w:eastAsia="方正仿宋_GB2312" w:cs="方正仿宋_GB2312"/>
          <w:b/>
          <w:bCs/>
          <w:kern w:val="2"/>
          <w:sz w:val="32"/>
          <w:szCs w:val="32"/>
          <w:lang w:val="en-US" w:eastAsia="zh-CN" w:bidi="ar-SA"/>
        </w:rPr>
        <w:t>10. 其他</w:t>
      </w:r>
      <w:bookmarkEnd w:id="90"/>
      <w:bookmarkEnd w:id="91"/>
      <w:r>
        <w:rPr>
          <w:rFonts w:hint="eastAsia" w:ascii="方正仿宋_GB2312" w:hAnsi="方正仿宋_GB2312" w:eastAsia="方正仿宋_GB2312" w:cs="方正仿宋_GB2312"/>
          <w:b/>
          <w:bCs/>
          <w:color w:val="000000" w:themeColor="text1"/>
          <w:kern w:val="2"/>
          <w:sz w:val="32"/>
          <w:szCs w:val="32"/>
          <w:u w:val="single"/>
          <w:lang w:val="en-US" w:eastAsia="zh-CN" w:bidi="ar-SA"/>
          <w14:textFill>
            <w14:solidFill>
              <w14:schemeClr w14:val="tx1"/>
            </w14:solidFill>
          </w14:textFill>
        </w:rPr>
        <w:t xml:space="preserve">                                                                </w:t>
      </w:r>
    </w:p>
    <w:p>
      <w:pPr>
        <w:keepNext/>
        <w:keepLines/>
        <w:pageBreakBefore w:val="0"/>
        <w:widowControl w:val="0"/>
        <w:kinsoku/>
        <w:wordWrap/>
        <w:overflowPunct/>
        <w:autoSpaceDE/>
        <w:autoSpaceDN/>
        <w:bidi w:val="0"/>
        <w:spacing w:before="60" w:after="60" w:line="440" w:lineRule="exact"/>
        <w:ind w:firstLine="0" w:firstLineChars="0"/>
        <w:jc w:val="both"/>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92" w:name="_Toc8757"/>
      <w:bookmarkStart w:id="93" w:name="_Toc14991"/>
      <w:r>
        <w:rPr>
          <w:rFonts w:hint="eastAsia" w:ascii="方正仿宋_GB2312" w:hAnsi="方正仿宋_GB2312" w:eastAsia="方正仿宋_GB2312" w:cs="方正仿宋_GB2312"/>
          <w:b/>
          <w:bCs/>
          <w:kern w:val="2"/>
          <w:sz w:val="32"/>
          <w:szCs w:val="32"/>
          <w:lang w:val="en-US" w:eastAsia="zh-CN" w:bidi="ar-SA"/>
        </w:rPr>
        <w:t>11. 联系方式</w:t>
      </w:r>
      <w:bookmarkEnd w:id="92"/>
      <w:bookmarkEnd w:id="93"/>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招 标 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招标代理机构：</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地    址：</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地    址：</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联 系 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联</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系</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电    话：</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电    话：</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right="840" w:firstLine="0" w:firstLineChars="0"/>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right="840" w:firstLine="0" w:firstLineChars="0"/>
        <w:jc w:val="right"/>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right="840" w:firstLine="0" w:firstLineChars="0"/>
        <w:jc w:val="right"/>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keepNext/>
        <w:keepLines/>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0"/>
        <w:rPr>
          <w:rFonts w:hint="eastAsia" w:ascii="方正仿宋_GB2312" w:hAnsi="方正仿宋_GB2312" w:eastAsia="方正仿宋_GB2312" w:cs="方正仿宋_GB2312"/>
          <w:b/>
          <w:bCs/>
          <w:kern w:val="44"/>
          <w:sz w:val="32"/>
          <w:szCs w:val="32"/>
          <w:lang w:val="en-US" w:eastAsia="zh-CN" w:bidi="ar-SA"/>
        </w:rPr>
      </w:pPr>
      <w:bookmarkStart w:id="94" w:name="_Toc389065142"/>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bookmarkStart w:id="95" w:name="_Toc26437"/>
      <w:bookmarkStart w:id="96" w:name="_Toc15962"/>
      <w:bookmarkStart w:id="97" w:name="_Toc4032"/>
      <w:r>
        <w:rPr>
          <w:rFonts w:hint="eastAsia" w:ascii="方正仿宋_GB2312" w:hAnsi="方正仿宋_GB2312" w:eastAsia="方正仿宋_GB2312" w:cs="方正仿宋_GB2312"/>
          <w:b/>
          <w:bCs/>
          <w:kern w:val="2"/>
          <w:sz w:val="32"/>
          <w:szCs w:val="32"/>
          <w:lang w:val="en-US" w:eastAsia="zh-CN" w:bidi="ar-SA"/>
        </w:rPr>
        <w:t>第一章  投标邀请书（代资格预审通过通知书）</w:t>
      </w:r>
      <w:bookmarkEnd w:id="95"/>
      <w:bookmarkEnd w:id="96"/>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b/>
          <w:color w:val="000000" w:themeColor="text1"/>
          <w:sz w:val="32"/>
          <w:szCs w:val="32"/>
          <w:u w:val="single"/>
          <w:lang w:eastAsia="zh-CN"/>
          <w14:textFill>
            <w14:solidFill>
              <w14:schemeClr w14:val="tx1"/>
            </w14:solidFill>
          </w14:textFill>
        </w:rPr>
        <w:t>（</w:t>
      </w:r>
      <w:r>
        <w:rPr>
          <w:rFonts w:hint="eastAsia" w:ascii="方正仿宋_GB2312" w:hAnsi="方正仿宋_GB2312" w:eastAsia="方正仿宋_GB2312" w:cs="方正仿宋_GB2312"/>
          <w:b/>
          <w:color w:val="000000" w:themeColor="text1"/>
          <w:sz w:val="32"/>
          <w:szCs w:val="32"/>
          <w:u w:val="single"/>
          <w14:textFill>
            <w14:solidFill>
              <w14:schemeClr w14:val="tx1"/>
            </w14:solidFill>
          </w14:textFill>
        </w:rPr>
        <w:t>项目名称</w:t>
      </w:r>
      <w:r>
        <w:rPr>
          <w:rFonts w:hint="eastAsia" w:ascii="方正仿宋_GB2312" w:hAnsi="方正仿宋_GB2312" w:eastAsia="方正仿宋_GB2312" w:cs="方正仿宋_GB2312"/>
          <w:b/>
          <w:color w:val="000000" w:themeColor="text1"/>
          <w:sz w:val="32"/>
          <w:szCs w:val="32"/>
          <w:u w:val="single"/>
          <w:lang w:eastAsia="zh-CN"/>
          <w14:textFill>
            <w14:solidFill>
              <w14:schemeClr w14:val="tx1"/>
            </w14:solidFill>
          </w14:textFill>
        </w:rPr>
        <w:t>）</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b/>
          <w:color w:val="000000" w:themeColor="text1"/>
          <w:sz w:val="32"/>
          <w:szCs w:val="32"/>
          <w14:textFill>
            <w14:solidFill>
              <w14:schemeClr w14:val="tx1"/>
            </w14:solidFill>
          </w14:textFill>
        </w:rPr>
        <w:t>标段施工投标邀请书</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u w:val="single"/>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(被邀请单位名称)</w:t>
      </w:r>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你单位已通过资格预审，现邀请你单位按招标文件规定的内容，参加</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(项目名称)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标段施工投标。</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请于</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分至</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分在</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（电子招标投标交易平台名称）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下载数据电文形式的招标文件。招标文件包括图纸、工程量清单、招标控制价（最高投标限价）等。招标文件每套售价</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元，售后不退。</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电子投标文件递交的截止时间（即：投标截止时间，下同）及开标时间为</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分（北京时间，下同）。请投标人在</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电子招标投标交易平台名称及下载地址</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下载电子投标文件制作工具编制投标文件，投标人应在投标截止时间前通过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电子招标投标交易平台名称及递交地址</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递交数据电文形式的投标文件。逾期递交的投标文件，将予以拒收。</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你单位收到本投标邀请书后，请于</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分前在</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电子招标投标交易平台名称</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确认是否参与投标。在本邀请书规定的时间内未表示是否参加投标或明确表示不参加投标的，不得再参加投标。</w:t>
      </w: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招 标 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招标代理机构：</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地    址：</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地    址：</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联 系 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联</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系</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电    话：</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电    话：</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widowControl w:val="0"/>
        <w:kinsoku/>
        <w:wordWrap/>
        <w:overflowPunct/>
        <w:autoSpaceDE/>
        <w:autoSpaceDN/>
        <w:bidi w:val="0"/>
        <w:adjustRightInd w:val="0"/>
        <w:snapToGrid w:val="0"/>
        <w:spacing w:line="440" w:lineRule="exact"/>
        <w:ind w:right="840" w:firstLine="0" w:firstLineChars="0"/>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right="840" w:firstLine="0" w:firstLineChars="0"/>
        <w:jc w:val="right"/>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pageBreakBefore w:val="0"/>
        <w:widowControl/>
        <w:kinsoku/>
        <w:bidi w:val="0"/>
        <w:spacing w:line="440" w:lineRule="exact"/>
        <w:ind w:firstLine="0" w:firstLineChars="0"/>
        <w:jc w:val="center"/>
        <w:rPr>
          <w:rStyle w:val="89"/>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center"/>
        <w:rPr>
          <w:rStyle w:val="89"/>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center"/>
        <w:outlineLvl w:val="0"/>
        <w:rPr>
          <w:rFonts w:hint="eastAsia" w:ascii="方正仿宋_GB2312" w:hAnsi="方正仿宋_GB2312" w:eastAsia="方正仿宋_GB2312" w:cs="方正仿宋_GB2312"/>
          <w:b/>
          <w:bCs/>
          <w:kern w:val="2"/>
          <w:sz w:val="32"/>
          <w:szCs w:val="32"/>
          <w:lang w:val="en-US" w:eastAsia="zh-CN" w:bidi="ar-SA"/>
        </w:rPr>
      </w:pPr>
      <w:bookmarkStart w:id="98" w:name="_Toc214"/>
      <w:r>
        <w:rPr>
          <w:rFonts w:hint="eastAsia" w:ascii="方正仿宋_GB2312" w:hAnsi="方正仿宋_GB2312" w:eastAsia="方正仿宋_GB2312" w:cs="方正仿宋_GB2312"/>
          <w:b/>
          <w:bCs/>
          <w:kern w:val="2"/>
          <w:sz w:val="32"/>
          <w:szCs w:val="32"/>
          <w:lang w:val="en-US" w:eastAsia="zh-CN" w:bidi="ar-SA"/>
        </w:rPr>
        <w:t>第二章  投标人须知</w:t>
      </w:r>
      <w:bookmarkEnd w:id="94"/>
      <w:bookmarkEnd w:id="97"/>
      <w:bookmarkEnd w:id="98"/>
    </w:p>
    <w:p>
      <w:pPr>
        <w:pStyle w:val="3"/>
        <w:keepNext/>
        <w:keepLines/>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bookmarkStart w:id="99" w:name="_Toc389065143"/>
      <w:bookmarkStart w:id="100" w:name="_Toc508286066"/>
      <w:bookmarkStart w:id="101" w:name="_Toc18924"/>
      <w:bookmarkStart w:id="102" w:name="_Toc11316"/>
      <w:bookmarkStart w:id="103" w:name="_Toc6805"/>
      <w:bookmarkStart w:id="104" w:name="_Toc3450"/>
      <w:r>
        <w:rPr>
          <w:rFonts w:hint="eastAsia" w:ascii="方正仿宋_GB2312" w:hAnsi="方正仿宋_GB2312" w:eastAsia="方正仿宋_GB2312" w:cs="方正仿宋_GB2312"/>
          <w:sz w:val="32"/>
          <w:szCs w:val="32"/>
        </w:rPr>
        <w:t>投标人须知前附表</w:t>
      </w:r>
      <w:bookmarkEnd w:id="99"/>
      <w:bookmarkEnd w:id="100"/>
      <w:bookmarkEnd w:id="101"/>
      <w:bookmarkEnd w:id="102"/>
      <w:bookmarkEnd w:id="103"/>
      <w:bookmarkEnd w:id="104"/>
    </w:p>
    <w:tbl>
      <w:tblPr>
        <w:tblStyle w:val="43"/>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320"/>
        <w:gridCol w:w="5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tblHeader/>
          <w:jc w:val="center"/>
        </w:trPr>
        <w:tc>
          <w:tcPr>
            <w:tcW w:w="1266" w:type="dxa"/>
            <w:shd w:val="clear" w:color="auto" w:fill="E6E6E6"/>
            <w:vAlign w:val="center"/>
          </w:tcPr>
          <w:p>
            <w:pPr>
              <w:pageBreakBefore w:val="0"/>
              <w:kinsoku/>
              <w:bidi w:val="0"/>
              <w:adjustRightInd w:val="0"/>
              <w:snapToGrid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color w:val="000000" w:themeColor="text1"/>
                <w:sz w:val="32"/>
                <w:szCs w:val="32"/>
                <w14:textFill>
                  <w14:solidFill>
                    <w14:schemeClr w14:val="tx1"/>
                  </w14:solidFill>
                </w14:textFill>
              </w:rPr>
              <w:t>条款号</w:t>
            </w:r>
          </w:p>
        </w:tc>
        <w:tc>
          <w:tcPr>
            <w:tcW w:w="2320" w:type="dxa"/>
            <w:shd w:val="clear" w:color="auto" w:fill="E6E6E6"/>
            <w:vAlign w:val="center"/>
          </w:tcPr>
          <w:p>
            <w:pPr>
              <w:pageBreakBefore w:val="0"/>
              <w:kinsoku/>
              <w:bidi w:val="0"/>
              <w:adjustRightInd w:val="0"/>
              <w:snapToGrid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color w:val="000000" w:themeColor="text1"/>
                <w:sz w:val="32"/>
                <w:szCs w:val="32"/>
                <w14:textFill>
                  <w14:solidFill>
                    <w14:schemeClr w14:val="tx1"/>
                  </w14:solidFill>
                </w14:textFill>
              </w:rPr>
              <w:t>条款名称</w:t>
            </w:r>
          </w:p>
        </w:tc>
        <w:tc>
          <w:tcPr>
            <w:tcW w:w="5417" w:type="dxa"/>
            <w:shd w:val="clear" w:color="auto" w:fill="E6E6E6"/>
            <w:vAlign w:val="center"/>
          </w:tcPr>
          <w:p>
            <w:pPr>
              <w:pageBreakBefore w:val="0"/>
              <w:kinsoku/>
              <w:bidi w:val="0"/>
              <w:adjustRightInd w:val="0"/>
              <w:snapToGrid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color w:val="000000" w:themeColor="text1"/>
                <w:sz w:val="32"/>
                <w:szCs w:val="32"/>
                <w14:textFill>
                  <w14:solidFill>
                    <w14:schemeClr w14:val="tx1"/>
                  </w14:solidFill>
                </w14:textFill>
              </w:rPr>
              <w:t>编列内容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招标人</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名称：</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地址：</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联系人：</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1.1.3</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招标代理机构</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名称：</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地址：</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联系人：</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1.1.4</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项目名称</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1.1.5</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建设地点</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资金来源</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出资比例</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1.2.3</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资金落实情况</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1.3.1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招标范围</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1.3.2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工期要求</w:t>
            </w:r>
          </w:p>
        </w:tc>
        <w:tc>
          <w:tcPr>
            <w:tcW w:w="5417" w:type="dxa"/>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计划工期：</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日历天(具体以合同约定为准）；</w:t>
            </w:r>
          </w:p>
          <w:p>
            <w:pPr>
              <w:pageBreakBefore w:val="0"/>
              <w:widowControl/>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计划开工日期：</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pageBreakBefore w:val="0"/>
              <w:widowControl/>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计划竣工日期：</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1.3.3</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质量要求</w:t>
            </w:r>
          </w:p>
        </w:tc>
        <w:tc>
          <w:tcPr>
            <w:tcW w:w="5417" w:type="dxa"/>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质量标准：</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关于质量要求的详细说明见第七章“技术标准和要求”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1.4.1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投标人资格要求</w:t>
            </w:r>
          </w:p>
        </w:tc>
        <w:tc>
          <w:tcPr>
            <w:tcW w:w="5417" w:type="dxa"/>
          </w:tcPr>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投标人必须是中华人民共和国境内注册的，具有独立法人资格的企业；</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投标人须具备住房城乡建设主管部门颁发的</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资质，有安全生产许可证</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且在有效期内，</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并在人员、设备、资金等方面具有相应的施工能力。项目负责人须具备</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专业</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级注册建造师执业资格，具备有效的安全生产考核合格证书，且未担任其他在施建设工程项目的项目负责人</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项目经理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p>
          <w:p>
            <w:pPr>
              <w:pageBreakBefore w:val="0"/>
              <w:widowControl w:val="0"/>
              <w:kinsoku/>
              <w:wordWrap/>
              <w:overflowPunct/>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类似业绩要求：</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w:t>
            </w:r>
          </w:p>
          <w:p>
            <w:pPr>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财务要求：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信誉要求：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pageBreakBefore w:val="0"/>
              <w:widowControl w:val="0"/>
              <w:kinsoku/>
              <w:wordWrap/>
              <w:overflowPunct/>
              <w:topLinePunct w:val="0"/>
              <w:autoSpaceDE/>
              <w:autoSpaceDN/>
              <w:bidi w:val="0"/>
              <w:adjustRightInd w:val="0"/>
              <w:snapToGrid w:val="0"/>
              <w:spacing w:line="440" w:lineRule="exact"/>
              <w:ind w:firstLine="0" w:firstLineChars="0"/>
              <w:jc w:val="left"/>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6、</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其他要求：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（注：与招标公告中的投标人资格要求一致）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1.4.2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是否接受联合体投标</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□不接受</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□接受</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应满足下列要求：</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联合体协议中明确联合体成员各自承担的工作范围所对应责任和权利。</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1.9.1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踏勘现场</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□不组织</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□组织，踏勘时间：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踏勘集中地点：</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1.10.1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投标人提出问题的截止时间</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1.10.2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招标人书面澄清的时间</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1.10.3</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澄清和修改招标文件的方式</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none"/>
                <w:lang w:val="en-US" w:eastAsia="zh-CN"/>
                <w14:textFill>
                  <w14:solidFill>
                    <w14:schemeClr w14:val="tx1"/>
                  </w14:solidFill>
                </w14:textFill>
              </w:rPr>
              <w:t>在</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（发布澄清和修改的媒介）  </w:t>
            </w:r>
            <w:r>
              <w:rPr>
                <w:rFonts w:hint="eastAsia" w:ascii="方正仿宋_GB2312" w:hAnsi="方正仿宋_GB2312" w:eastAsia="方正仿宋_GB2312" w:cs="方正仿宋_GB2312"/>
                <w:b w:val="0"/>
                <w:bCs w:val="0"/>
                <w:color w:val="000000" w:themeColor="text1"/>
                <w:sz w:val="32"/>
                <w:szCs w:val="32"/>
                <w:u w:val="none"/>
                <w:lang w:val="en-US" w:eastAsia="zh-CN"/>
                <w14:textFill>
                  <w14:solidFill>
                    <w14:schemeClr w14:val="tx1"/>
                  </w14:solidFill>
                </w14:textFill>
              </w:rPr>
              <w:t>发布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p>
        </w:tc>
        <w:tc>
          <w:tcPr>
            <w:tcW w:w="2320" w:type="dxa"/>
            <w:vAlign w:val="center"/>
          </w:tcPr>
          <w:p>
            <w:pPr>
              <w:keepNext w:val="0"/>
              <w:keepLines w:val="0"/>
              <w:pageBreakBefore w:val="0"/>
              <w:widowControl w:val="0"/>
              <w:kinsoku/>
              <w:wordWrap/>
              <w:overflowPunct/>
              <w:bidi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分 包</w:t>
            </w:r>
          </w:p>
        </w:tc>
        <w:tc>
          <w:tcPr>
            <w:tcW w:w="5417" w:type="dxa"/>
            <w:vAlign w:val="center"/>
          </w:tcPr>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□不允许分包</w:t>
            </w:r>
          </w:p>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□允许分包，分包</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内容</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要求：</w:t>
            </w:r>
          </w:p>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分包金额要求：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接受分包的第三人资质要求：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偏 离</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□不允许</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□允许，允许偏离的内容、偏离范围和幅度：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构成招标文件的其他材料</w:t>
            </w:r>
          </w:p>
        </w:tc>
        <w:tc>
          <w:tcPr>
            <w:tcW w:w="5417" w:type="dxa"/>
            <w:vAlign w:val="center"/>
          </w:tcPr>
          <w:p>
            <w:pPr>
              <w:keepNext w:val="0"/>
              <w:keepLines w:val="0"/>
              <w:pageBreakBefore w:val="0"/>
              <w:widowControl w:val="0"/>
              <w:tabs>
                <w:tab w:val="left" w:pos="826"/>
              </w:tabs>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2.2.1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投标人要求澄清招标文件的截止时间</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和方式</w:t>
            </w:r>
          </w:p>
        </w:tc>
        <w:tc>
          <w:tcPr>
            <w:tcW w:w="5417" w:type="dxa"/>
            <w:vAlign w:val="center"/>
          </w:tcPr>
          <w:p>
            <w:pPr>
              <w:keepNext w:val="0"/>
              <w:keepLines w:val="0"/>
              <w:pageBreakBefore w:val="0"/>
              <w:widowControl w:val="0"/>
              <w:tabs>
                <w:tab w:val="left" w:pos="826"/>
              </w:tabs>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分</w:t>
            </w:r>
          </w:p>
          <w:p>
            <w:pPr>
              <w:keepNext w:val="0"/>
              <w:keepLines w:val="0"/>
              <w:pageBreakBefore w:val="0"/>
              <w:widowControl w:val="0"/>
              <w:tabs>
                <w:tab w:val="left" w:pos="826"/>
              </w:tabs>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（同投标人提出问题的截止时间）</w:t>
            </w:r>
          </w:p>
          <w:p>
            <w:pPr>
              <w:keepNext w:val="0"/>
              <w:keepLines w:val="0"/>
              <w:pageBreakBefore w:val="0"/>
              <w:widowControl w:val="0"/>
              <w:tabs>
                <w:tab w:val="left" w:pos="826"/>
              </w:tabs>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网络方式，提交至</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（电子招标投标交易平台名称及地址）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2.2.2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投标截止时间</w:t>
            </w:r>
          </w:p>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（开标时间）</w:t>
            </w:r>
          </w:p>
        </w:tc>
        <w:tc>
          <w:tcPr>
            <w:tcW w:w="5417" w:type="dxa"/>
            <w:vAlign w:val="center"/>
          </w:tcPr>
          <w:p>
            <w:pPr>
              <w:keepNext w:val="0"/>
              <w:keepLines w:val="0"/>
              <w:pageBreakBefore w:val="0"/>
              <w:widowControl w:val="0"/>
              <w:tabs>
                <w:tab w:val="left" w:pos="826"/>
              </w:tabs>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分</w:t>
            </w:r>
          </w:p>
          <w:p>
            <w:pPr>
              <w:keepNext w:val="0"/>
              <w:keepLines w:val="0"/>
              <w:pageBreakBefore w:val="0"/>
              <w:widowControl w:val="0"/>
              <w:tabs>
                <w:tab w:val="left" w:pos="826"/>
              </w:tabs>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（北京时间）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2.2.3</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投标人确认收到招标文件澄清的时间</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both"/>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在收到相应澄清文件后</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小时内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2.3.2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投标人确认收到招标文件修改的时间</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both"/>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在收到相应澄清文件后</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小时内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3.1.1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构成投标文件的其他材料</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both"/>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3.3.1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投标有效期</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投标截止日后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日历天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3.4.1</w:t>
            </w:r>
          </w:p>
        </w:tc>
        <w:tc>
          <w:tcPr>
            <w:tcW w:w="2320" w:type="dxa"/>
            <w:tcBorders>
              <w:bottom w:val="single" w:color="auto" w:sz="4" w:space="0"/>
            </w:tcBorders>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投标保证金</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投标保证金的形式：</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现金</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保函（包括银行业金融机构保函、保险公司保证保险、担保公司担保）</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2、</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投标保证金的金额：人民币</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万元（￥</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元）。</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递交方式：</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u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u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u w:val="none"/>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highlight w:val="none"/>
                <w:u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u w:val="none"/>
                <w:lang w:val="en-US" w:eastAsia="zh-CN"/>
                <w14:textFill>
                  <w14:solidFill>
                    <w14:schemeClr w14:val="tx1"/>
                  </w14:solidFill>
                </w14:textFill>
              </w:rPr>
              <w:t>采用现金方式的，在投标截止时间前，由投标人通过其基本账户转账至如下账户</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账户名称：</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开户银行：</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银行账号：</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（2）采取保函方式的，符合招标文件第八章投标文件格式投标保函相关规定。</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如为联合体，则需进一步明确投标保证金由联合体牵头人或联合体各方共同递交</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其他要求：</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3.5.2</w:t>
            </w:r>
          </w:p>
        </w:tc>
        <w:tc>
          <w:tcPr>
            <w:tcW w:w="2320" w:type="dxa"/>
            <w:tcBorders>
              <w:bottom w:val="single" w:color="auto" w:sz="4" w:space="0"/>
            </w:tcBorders>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近年财务状况的年份要求</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sz w:val="32"/>
                <w:szCs w:val="32"/>
              </w:rPr>
              <w:t>近</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年，指</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年度至</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3.5.3</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近年完成的类似项目的年份要求</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sz w:val="32"/>
                <w:szCs w:val="32"/>
              </w:rPr>
              <w:t>近</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年，指</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日起至</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日（应以投标截止时间往前顺延）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3.5.5</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近年发生的诉讼及仲裁情况的年份要求</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sz w:val="32"/>
                <w:szCs w:val="32"/>
              </w:rPr>
              <w:t>近</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年，指</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日起至</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日（应以投标截止时间往前顺延）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6</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是否允许递交备选投标方案</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kern w:val="2"/>
                <w:sz w:val="32"/>
                <w:szCs w:val="32"/>
                <w:u w:val="singl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□允许  □不允许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3.7.3</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签字和（或）盖章要求</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按投标文件格式要求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3.7.4</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投标文件份数</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both"/>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采用电子招标投标方式，投标人登录</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（电子招标投标交易平台名称及地址）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上传电子投标文件（</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格式）一份。</w:t>
            </w:r>
          </w:p>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采用非电子招标投标方式，</w:t>
            </w:r>
            <w:r>
              <w:rPr>
                <w:rFonts w:hint="eastAsia" w:ascii="方正仿宋_GB2312" w:hAnsi="方正仿宋_GB2312" w:eastAsia="方正仿宋_GB2312" w:cs="方正仿宋_GB2312"/>
                <w:sz w:val="32"/>
                <w:szCs w:val="32"/>
                <w:highlight w:val="none"/>
                <w:lang w:val="en-US" w:eastAsia="zh-CN"/>
              </w:rPr>
              <w:t>投标函</w:t>
            </w:r>
            <w:r>
              <w:rPr>
                <w:rFonts w:hint="eastAsia" w:ascii="方正仿宋_GB2312" w:hAnsi="方正仿宋_GB2312" w:eastAsia="方正仿宋_GB2312" w:cs="方正仿宋_GB2312"/>
                <w:sz w:val="32"/>
                <w:szCs w:val="32"/>
                <w:highlight w:val="none"/>
              </w:rPr>
              <w:t>部分：正本</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sz w:val="32"/>
                <w:szCs w:val="32"/>
                <w:highlight w:val="none"/>
              </w:rPr>
              <w:t>份，副本</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sz w:val="32"/>
                <w:szCs w:val="32"/>
                <w:highlight w:val="none"/>
              </w:rPr>
              <w:t>份；技术标：</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sz w:val="32"/>
                <w:szCs w:val="32"/>
                <w:highlight w:val="none"/>
              </w:rPr>
              <w:t>份；经济标：</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sz w:val="32"/>
                <w:szCs w:val="32"/>
                <w:highlight w:val="none"/>
              </w:rPr>
              <w:t>份；电子版文件</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sz w:val="32"/>
                <w:szCs w:val="32"/>
                <w:highlight w:val="none"/>
              </w:rPr>
              <w:t>份（u盘和光盘各</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sz w:val="32"/>
                <w:szCs w:val="32"/>
                <w:highlight w:val="none"/>
              </w:rPr>
              <w:t>份）</w:t>
            </w:r>
          </w:p>
          <w:p>
            <w:pPr>
              <w:keepNext w:val="0"/>
              <w:keepLines w:val="0"/>
              <w:pageBreakBefore w:val="0"/>
              <w:widowControl w:val="0"/>
              <w:kinsoku/>
              <w:wordWrap/>
              <w:overflowPunct/>
              <w:bidi w:val="0"/>
              <w:adjustRightInd w:val="0"/>
              <w:snapToGrid w:val="0"/>
              <w:spacing w:line="440" w:lineRule="exact"/>
              <w:ind w:firstLine="0" w:firstLineChars="0"/>
              <w:jc w:val="both"/>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sz w:val="32"/>
                <w:szCs w:val="32"/>
              </w:rPr>
              <w:t>其它要求：</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6" w:type="dxa"/>
            <w:vAlign w:val="center"/>
          </w:tcPr>
          <w:p>
            <w:pPr>
              <w:keepNext w:val="0"/>
              <w:keepLines w:val="0"/>
              <w:pageBreakBefore w:val="0"/>
              <w:widowControl w:val="0"/>
              <w:kinsoku/>
              <w:wordWrap/>
              <w:overflowPunct/>
              <w:bidi w:val="0"/>
              <w:spacing w:line="440" w:lineRule="exact"/>
              <w:ind w:firstLine="0" w:firstLineChars="0"/>
              <w:jc w:val="center"/>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3.7.</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w:t>
            </w:r>
          </w:p>
        </w:tc>
        <w:tc>
          <w:tcPr>
            <w:tcW w:w="2320" w:type="dxa"/>
            <w:vAlign w:val="center"/>
          </w:tcPr>
          <w:p>
            <w:pPr>
              <w:keepNext w:val="0"/>
              <w:keepLines w:val="0"/>
              <w:pageBreakBefore w:val="0"/>
              <w:widowControl w:val="0"/>
              <w:kinsoku/>
              <w:wordWrap/>
              <w:overflowPunct/>
              <w:bidi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装订要求</w:t>
            </w:r>
          </w:p>
          <w:p>
            <w:pPr>
              <w:keepNext w:val="0"/>
              <w:keepLines w:val="0"/>
              <w:pageBreakBefore w:val="0"/>
              <w:widowControl w:val="0"/>
              <w:kinsoku/>
              <w:wordWrap/>
              <w:overflowPunct/>
              <w:bidi w:val="0"/>
              <w:spacing w:line="440" w:lineRule="exact"/>
              <w:ind w:firstLine="0" w:firstLineChars="0"/>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适用于非电子招标投标方式</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tc>
        <w:tc>
          <w:tcPr>
            <w:tcW w:w="5417" w:type="dxa"/>
            <w:vAlign w:val="center"/>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b w:val="0"/>
                <w:bCs w:val="0"/>
                <w:color w:val="auto"/>
                <w:sz w:val="32"/>
                <w:szCs w:val="32"/>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采用非电子招标投标方式，</w:t>
            </w:r>
            <w:r>
              <w:rPr>
                <w:rFonts w:hint="eastAsia" w:ascii="方正仿宋_GB2312" w:hAnsi="方正仿宋_GB2312" w:eastAsia="方正仿宋_GB2312" w:cs="方正仿宋_GB2312"/>
                <w:color w:val="auto"/>
                <w:sz w:val="32"/>
                <w:szCs w:val="32"/>
              </w:rPr>
              <w:t>按照第二章投标人须知第3.1.1项规定的投标文件组成内容，投标文件应按</w:t>
            </w:r>
            <w:r>
              <w:rPr>
                <w:rFonts w:hint="eastAsia" w:ascii="方正仿宋_GB2312" w:hAnsi="方正仿宋_GB2312" w:eastAsia="方正仿宋_GB2312" w:cs="方正仿宋_GB2312"/>
                <w:b w:val="0"/>
                <w:bCs w:val="0"/>
                <w:color w:val="auto"/>
                <w:sz w:val="32"/>
                <w:szCs w:val="32"/>
              </w:rPr>
              <w:t>以下要求装订：</w:t>
            </w: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b w:val="0"/>
                <w:bCs w:val="0"/>
                <w:color w:val="auto"/>
                <w:sz w:val="32"/>
                <w:szCs w:val="32"/>
              </w:rPr>
            </w:pPr>
            <w:r>
              <w:rPr>
                <w:rFonts w:hint="eastAsia" w:ascii="方正仿宋_GB2312" w:hAnsi="方正仿宋_GB2312" w:eastAsia="方正仿宋_GB2312" w:cs="方正仿宋_GB2312"/>
                <w:b w:val="0"/>
                <w:bCs w:val="0"/>
                <w:color w:val="auto"/>
                <w:sz w:val="32"/>
                <w:szCs w:val="32"/>
              </w:rPr>
              <w:t>分册装订，共分四册，分别为：</w:t>
            </w: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投标函，包括</w:t>
            </w:r>
            <w:r>
              <w:rPr>
                <w:rFonts w:hint="eastAsia" w:ascii="方正仿宋_GB2312" w:hAnsi="方正仿宋_GB2312" w:eastAsia="方正仿宋_GB2312" w:cs="方正仿宋_GB2312"/>
                <w:b w:val="0"/>
                <w:bCs w:val="0"/>
                <w:color w:val="auto"/>
                <w:sz w:val="32"/>
                <w:szCs w:val="32"/>
                <w:highlight w:val="none"/>
                <w:u w:val="single"/>
              </w:rPr>
              <w:t xml:space="preserve"> 第3.1.1.1项</w:t>
            </w:r>
            <w:r>
              <w:rPr>
                <w:rFonts w:hint="eastAsia" w:ascii="方正仿宋_GB2312" w:hAnsi="方正仿宋_GB2312" w:eastAsia="方正仿宋_GB2312" w:cs="方正仿宋_GB2312"/>
                <w:b w:val="0"/>
                <w:bCs w:val="0"/>
                <w:color w:val="auto"/>
                <w:sz w:val="32"/>
                <w:szCs w:val="32"/>
                <w:highlight w:val="none"/>
              </w:rPr>
              <w:t>规定的内容</w:t>
            </w: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技术标，包括</w:t>
            </w:r>
            <w:r>
              <w:rPr>
                <w:rFonts w:hint="eastAsia" w:ascii="方正仿宋_GB2312" w:hAnsi="方正仿宋_GB2312" w:eastAsia="方正仿宋_GB2312" w:cs="方正仿宋_GB2312"/>
                <w:b w:val="0"/>
                <w:bCs w:val="0"/>
                <w:color w:val="auto"/>
                <w:sz w:val="32"/>
                <w:szCs w:val="32"/>
                <w:highlight w:val="none"/>
                <w:u w:val="single"/>
              </w:rPr>
              <w:t xml:space="preserve"> 第3.1.1.2</w:t>
            </w:r>
            <w:r>
              <w:rPr>
                <w:rFonts w:hint="eastAsia" w:ascii="方正仿宋_GB2312" w:hAnsi="方正仿宋_GB2312" w:eastAsia="方正仿宋_GB2312" w:cs="方正仿宋_GB2312"/>
                <w:b w:val="0"/>
                <w:bCs w:val="0"/>
                <w:color w:val="auto"/>
                <w:sz w:val="32"/>
                <w:szCs w:val="32"/>
                <w:highlight w:val="none"/>
              </w:rPr>
              <w:t>项规定的内容</w:t>
            </w: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经济标，包括</w:t>
            </w:r>
            <w:r>
              <w:rPr>
                <w:rFonts w:hint="eastAsia" w:ascii="方正仿宋_GB2312" w:hAnsi="方正仿宋_GB2312" w:eastAsia="方正仿宋_GB2312" w:cs="方正仿宋_GB2312"/>
                <w:b w:val="0"/>
                <w:bCs w:val="0"/>
                <w:color w:val="auto"/>
                <w:sz w:val="32"/>
                <w:szCs w:val="32"/>
                <w:highlight w:val="none"/>
                <w:u w:val="single"/>
              </w:rPr>
              <w:t xml:space="preserve"> 第3.1.1.3</w:t>
            </w:r>
            <w:r>
              <w:rPr>
                <w:rFonts w:hint="eastAsia" w:ascii="方正仿宋_GB2312" w:hAnsi="方正仿宋_GB2312" w:eastAsia="方正仿宋_GB2312" w:cs="方正仿宋_GB2312"/>
                <w:b w:val="0"/>
                <w:bCs w:val="0"/>
                <w:color w:val="auto"/>
                <w:sz w:val="32"/>
                <w:szCs w:val="32"/>
                <w:highlight w:val="none"/>
              </w:rPr>
              <w:t>项规定的内容。</w:t>
            </w: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b w:val="0"/>
                <w:bCs w:val="0"/>
                <w:color w:val="auto"/>
                <w:sz w:val="32"/>
                <w:szCs w:val="32"/>
                <w:lang w:val="en-US" w:eastAsia="zh-CN"/>
              </w:rPr>
            </w:pPr>
            <w:r>
              <w:rPr>
                <w:rFonts w:hint="eastAsia" w:ascii="方正仿宋_GB2312" w:hAnsi="方正仿宋_GB2312" w:eastAsia="方正仿宋_GB2312" w:cs="方正仿宋_GB2312"/>
                <w:b w:val="0"/>
                <w:bCs w:val="0"/>
                <w:color w:val="auto"/>
                <w:sz w:val="32"/>
                <w:szCs w:val="32"/>
              </w:rPr>
              <w:t>电子</w:t>
            </w:r>
            <w:r>
              <w:rPr>
                <w:rFonts w:hint="eastAsia" w:ascii="方正仿宋_GB2312" w:hAnsi="方正仿宋_GB2312" w:eastAsia="方正仿宋_GB2312" w:cs="方正仿宋_GB2312"/>
                <w:b w:val="0"/>
                <w:bCs w:val="0"/>
                <w:color w:val="auto"/>
                <w:sz w:val="32"/>
                <w:szCs w:val="32"/>
                <w:lang w:val="en-US" w:eastAsia="zh-CN"/>
              </w:rPr>
              <w:t>版</w:t>
            </w:r>
            <w:r>
              <w:rPr>
                <w:rFonts w:hint="eastAsia" w:ascii="方正仿宋_GB2312" w:hAnsi="方正仿宋_GB2312" w:eastAsia="方正仿宋_GB2312" w:cs="方正仿宋_GB2312"/>
                <w:b w:val="0"/>
                <w:bCs w:val="0"/>
                <w:color w:val="auto"/>
                <w:sz w:val="32"/>
                <w:szCs w:val="32"/>
              </w:rPr>
              <w:t>标书，包括</w:t>
            </w:r>
            <w:r>
              <w:rPr>
                <w:rFonts w:hint="eastAsia" w:ascii="方正仿宋_GB2312" w:hAnsi="方正仿宋_GB2312" w:eastAsia="方正仿宋_GB2312" w:cs="方正仿宋_GB2312"/>
                <w:b w:val="0"/>
                <w:bCs w:val="0"/>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b w:val="0"/>
                <w:bCs w:val="0"/>
                <w:color w:val="auto"/>
                <w:sz w:val="32"/>
                <w:szCs w:val="32"/>
                <w:lang w:val="en-US" w:eastAsia="zh-CN"/>
              </w:rPr>
              <w:t xml:space="preserve">             </w:t>
            </w:r>
          </w:p>
          <w:p>
            <w:pPr>
              <w:keepNext w:val="0"/>
              <w:keepLines w:val="0"/>
              <w:pageBreakBefore w:val="0"/>
              <w:widowControl w:val="0"/>
              <w:kinsoku/>
              <w:wordWrap/>
              <w:overflowPunct/>
              <w:bidi w:val="0"/>
              <w:spacing w:line="440" w:lineRule="exact"/>
              <w:ind w:firstLine="0" w:firstLineChars="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bCs w:val="0"/>
                <w:color w:val="auto"/>
                <w:sz w:val="32"/>
                <w:szCs w:val="32"/>
                <w:highlight w:val="none"/>
              </w:rPr>
              <w:t>投标函采用</w:t>
            </w:r>
            <w:r>
              <w:rPr>
                <w:rFonts w:hint="eastAsia" w:ascii="方正仿宋_GB2312" w:hAnsi="方正仿宋_GB2312" w:eastAsia="方正仿宋_GB2312" w:cs="方正仿宋_GB2312"/>
                <w:b w:val="0"/>
                <w:bCs w:val="0"/>
                <w:color w:val="auto"/>
                <w:sz w:val="32"/>
                <w:szCs w:val="32"/>
                <w:highlight w:val="none"/>
                <w:u w:val="single"/>
              </w:rPr>
              <w:t xml:space="preserve"> </w:t>
            </w:r>
            <w:r>
              <w:rPr>
                <w:rFonts w:hint="eastAsia" w:ascii="方正仿宋_GB2312" w:hAnsi="方正仿宋_GB2312" w:eastAsia="方正仿宋_GB2312" w:cs="方正仿宋_GB2312"/>
                <w:b w:val="0"/>
                <w:bCs w:val="0"/>
                <w:color w:val="auto"/>
                <w:sz w:val="32"/>
                <w:szCs w:val="32"/>
                <w:highlight w:val="none"/>
                <w:u w:val="single"/>
                <w:lang w:val="en-US" w:eastAsia="zh-CN"/>
              </w:rPr>
              <w:t xml:space="preserve"> </w:t>
            </w:r>
            <w:r>
              <w:rPr>
                <w:rFonts w:hint="eastAsia" w:ascii="方正仿宋_GB2312" w:hAnsi="方正仿宋_GB2312" w:eastAsia="方正仿宋_GB2312" w:cs="方正仿宋_GB2312"/>
                <w:b w:val="0"/>
                <w:bCs w:val="0"/>
                <w:color w:val="auto"/>
                <w:sz w:val="32"/>
                <w:szCs w:val="32"/>
                <w:highlight w:val="none"/>
                <w:u w:val="single"/>
              </w:rPr>
              <w:t xml:space="preserve"> </w:t>
            </w:r>
            <w:r>
              <w:rPr>
                <w:rFonts w:hint="eastAsia" w:ascii="方正仿宋_GB2312" w:hAnsi="方正仿宋_GB2312" w:eastAsia="方正仿宋_GB2312" w:cs="方正仿宋_GB2312"/>
                <w:b w:val="0"/>
                <w:bCs w:val="0"/>
                <w:color w:val="auto"/>
                <w:sz w:val="32"/>
                <w:szCs w:val="32"/>
                <w:highlight w:val="none"/>
                <w:u w:val="single"/>
                <w:lang w:eastAsia="zh-CN"/>
              </w:rPr>
              <w:t>（</w:t>
            </w:r>
            <w:r>
              <w:rPr>
                <w:rFonts w:hint="eastAsia" w:ascii="方正仿宋_GB2312" w:hAnsi="方正仿宋_GB2312" w:eastAsia="方正仿宋_GB2312" w:cs="方正仿宋_GB2312"/>
                <w:b w:val="0"/>
                <w:bCs w:val="0"/>
                <w:color w:val="auto"/>
                <w:sz w:val="32"/>
                <w:szCs w:val="32"/>
                <w:highlight w:val="none"/>
                <w:u w:val="single"/>
              </w:rPr>
              <w:t>活页或死页</w:t>
            </w:r>
            <w:r>
              <w:rPr>
                <w:rFonts w:hint="eastAsia" w:ascii="方正仿宋_GB2312" w:hAnsi="方正仿宋_GB2312" w:eastAsia="方正仿宋_GB2312" w:cs="方正仿宋_GB2312"/>
                <w:b w:val="0"/>
                <w:bCs w:val="0"/>
                <w:color w:val="auto"/>
                <w:sz w:val="32"/>
                <w:szCs w:val="32"/>
                <w:highlight w:val="none"/>
                <w:u w:val="single"/>
                <w:lang w:eastAsia="zh-CN"/>
              </w:rPr>
              <w:t>）</w:t>
            </w:r>
            <w:r>
              <w:rPr>
                <w:rFonts w:hint="eastAsia" w:ascii="方正仿宋_GB2312" w:hAnsi="方正仿宋_GB2312" w:eastAsia="方正仿宋_GB2312" w:cs="方正仿宋_GB2312"/>
                <w:b w:val="0"/>
                <w:bCs w:val="0"/>
                <w:color w:val="auto"/>
                <w:sz w:val="32"/>
                <w:szCs w:val="32"/>
                <w:highlight w:val="none"/>
                <w:u w:val="single"/>
                <w:lang w:val="en-US" w:eastAsia="zh-CN"/>
              </w:rPr>
              <w:t xml:space="preserve"> </w:t>
            </w:r>
            <w:r>
              <w:rPr>
                <w:rFonts w:hint="eastAsia" w:ascii="方正仿宋_GB2312" w:hAnsi="方正仿宋_GB2312" w:eastAsia="方正仿宋_GB2312" w:cs="方正仿宋_GB2312"/>
                <w:b w:val="0"/>
                <w:bCs w:val="0"/>
                <w:color w:val="auto"/>
                <w:sz w:val="32"/>
                <w:szCs w:val="32"/>
                <w:highlight w:val="none"/>
              </w:rPr>
              <w:t>方式装订；技术标和经济标采用</w:t>
            </w:r>
            <w:r>
              <w:rPr>
                <w:rFonts w:hint="eastAsia" w:ascii="方正仿宋_GB2312" w:hAnsi="方正仿宋_GB2312" w:eastAsia="方正仿宋_GB2312" w:cs="方正仿宋_GB2312"/>
                <w:b w:val="0"/>
                <w:bCs w:val="0"/>
                <w:color w:val="auto"/>
                <w:sz w:val="32"/>
                <w:szCs w:val="32"/>
                <w:u w:val="none"/>
              </w:rPr>
              <w:t>死页胶装方式</w:t>
            </w:r>
            <w:r>
              <w:rPr>
                <w:rFonts w:hint="eastAsia" w:ascii="方正仿宋_GB2312" w:hAnsi="方正仿宋_GB2312" w:eastAsia="方正仿宋_GB2312" w:cs="方正仿宋_GB2312"/>
                <w:b w:val="0"/>
                <w:bCs w:val="0"/>
                <w:color w:val="auto"/>
                <w:sz w:val="32"/>
                <w:szCs w:val="32"/>
              </w:rPr>
              <w:t>装订,装订应牢固、不易拆散和换页，不得采用活页装订。具体内容详见第二章第3.7.5项内容。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4.1.2</w:t>
            </w:r>
          </w:p>
        </w:tc>
        <w:tc>
          <w:tcPr>
            <w:tcW w:w="2320" w:type="dxa"/>
            <w:vAlign w:val="center"/>
          </w:tcPr>
          <w:p>
            <w:pPr>
              <w:keepNext w:val="0"/>
              <w:keepLines w:val="0"/>
              <w:pageBreakBefore w:val="0"/>
              <w:widowControl w:val="0"/>
              <w:kinsoku/>
              <w:wordWrap/>
              <w:overflowPunct/>
              <w:bidi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封套上应载明的信息</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适用于非电子招标投标方式</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tc>
        <w:tc>
          <w:tcPr>
            <w:tcW w:w="5417" w:type="dxa"/>
            <w:vAlign w:val="center"/>
          </w:tcPr>
          <w:p>
            <w:pPr>
              <w:pStyle w:val="197"/>
              <w:keepNext w:val="0"/>
              <w:keepLines w:val="0"/>
              <w:pageBreakBefore w:val="0"/>
              <w:widowControl w:val="0"/>
              <w:kinsoku/>
              <w:wordWrap/>
              <w:overflowPunct/>
              <w:bidi w:val="0"/>
              <w:spacing w:line="440" w:lineRule="exact"/>
              <w:ind w:firstLine="0" w:firstLineChars="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项目名称：</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sz w:val="32"/>
                <w:szCs w:val="32"/>
                <w:lang w:eastAsia="zh-CN"/>
              </w:rPr>
              <w:t xml:space="preserve"> </w:t>
            </w:r>
          </w:p>
          <w:p>
            <w:pPr>
              <w:pStyle w:val="197"/>
              <w:keepNext w:val="0"/>
              <w:keepLines w:val="0"/>
              <w:pageBreakBefore w:val="0"/>
              <w:widowControl w:val="0"/>
              <w:kinsoku/>
              <w:wordWrap/>
              <w:overflowPunct/>
              <w:bidi w:val="0"/>
              <w:spacing w:line="440" w:lineRule="exact"/>
              <w:ind w:firstLine="0" w:firstLineChars="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招标项目编号：</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197"/>
              <w:keepNext w:val="0"/>
              <w:keepLines w:val="0"/>
              <w:pageBreakBefore w:val="0"/>
              <w:widowControl w:val="0"/>
              <w:kinsoku/>
              <w:wordWrap/>
              <w:overflowPunct/>
              <w:bidi w:val="0"/>
              <w:spacing w:line="440" w:lineRule="exact"/>
              <w:ind w:firstLine="0" w:firstLineChars="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 xml:space="preserve">标段名称：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197"/>
              <w:keepNext w:val="0"/>
              <w:keepLines w:val="0"/>
              <w:pageBreakBefore w:val="0"/>
              <w:widowControl w:val="0"/>
              <w:kinsoku/>
              <w:wordWrap/>
              <w:overflowPunct/>
              <w:bidi w:val="0"/>
              <w:spacing w:line="440" w:lineRule="exact"/>
              <w:ind w:firstLine="0" w:firstLineChars="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 xml:space="preserve">标段编号：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"javascript:viewlanditem('-2793a2b9.169a57c1156.-7e11');" \o "招标项目详细"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fldChar w:fldCharType="end"/>
            </w:r>
          </w:p>
          <w:p>
            <w:pPr>
              <w:pStyle w:val="197"/>
              <w:keepNext w:val="0"/>
              <w:keepLines w:val="0"/>
              <w:pageBreakBefore w:val="0"/>
              <w:widowControl w:val="0"/>
              <w:kinsoku/>
              <w:wordWrap/>
              <w:overflowPunct/>
              <w:bidi w:val="0"/>
              <w:spacing w:line="440" w:lineRule="exact"/>
              <w:ind w:firstLine="0" w:firstLineChars="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招标人全称：</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197"/>
              <w:keepNext w:val="0"/>
              <w:keepLines w:val="0"/>
              <w:pageBreakBefore w:val="0"/>
              <w:widowControl w:val="0"/>
              <w:kinsoku/>
              <w:wordWrap/>
              <w:overflowPunct/>
              <w:bidi w:val="0"/>
              <w:spacing w:line="440" w:lineRule="exact"/>
              <w:ind w:firstLine="0" w:firstLineChars="0"/>
              <w:jc w:val="both"/>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投标人全称：</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kern w:val="0"/>
                <w:sz w:val="32"/>
                <w:szCs w:val="32"/>
              </w:rPr>
              <w:t>投标文件在</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kern w:val="0"/>
                <w:sz w:val="32"/>
                <w:szCs w:val="32"/>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kern w:val="0"/>
                <w:sz w:val="32"/>
                <w:szCs w:val="32"/>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kern w:val="0"/>
                <w:sz w:val="32"/>
                <w:szCs w:val="32"/>
              </w:rPr>
              <w:t>日</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kern w:val="0"/>
                <w:sz w:val="32"/>
                <w:szCs w:val="32"/>
              </w:rPr>
              <w:t>时</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kern w:val="0"/>
                <w:sz w:val="32"/>
                <w:szCs w:val="32"/>
              </w:rPr>
              <w:t>分前不得开启。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4.2.</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递交投标文件地点</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递交投标文件地点：</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采用电子招标投标方式，</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电子投标文件递交至</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（电子招标投标交易平台名称及地址）</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采用非电子招标投标方式，</w:t>
            </w:r>
            <w:r>
              <w:rPr>
                <w:rFonts w:hint="eastAsia" w:ascii="方正仿宋_GB2312" w:hAnsi="方正仿宋_GB2312" w:eastAsia="方正仿宋_GB2312" w:cs="方正仿宋_GB2312"/>
                <w:b/>
                <w:kern w:val="0"/>
                <w:sz w:val="32"/>
                <w:szCs w:val="32"/>
                <w:u w:val="single"/>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（交易</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场所</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名称及地址）</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4.2.3</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是否退还投标文件</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否</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是，退还时间：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开标时间和地点</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开标时间：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none"/>
                <w14:textFill>
                  <w14:solidFill>
                    <w14:schemeClr w14:val="tx1"/>
                  </w14:solidFill>
                </w14:textFill>
              </w:rPr>
              <w:t>（同投标截止时间）</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开标地点：</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val="en-US"/>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采用电子招标投标方式，为不见面开标，在</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（电子招标投标交易平台名称及地址）</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举行，所有投标人应准时在线参加开标。同时在</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（公共资源交易中心名称）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设立开标会场。</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采用非电子招标投标方式，开标地点：</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5.2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开标程序</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left"/>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详见投标人须知第5.2项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评标委员会的组建</w:t>
            </w:r>
          </w:p>
        </w:tc>
        <w:tc>
          <w:tcPr>
            <w:tcW w:w="5417" w:type="dxa"/>
            <w:vAlign w:val="center"/>
          </w:tcPr>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1、评标委员会构成：</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人</w:t>
            </w:r>
          </w:p>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其中招标人代表</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人，专家</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人</w:t>
            </w:r>
          </w:p>
          <w:p>
            <w:pPr>
              <w:keepNext w:val="0"/>
              <w:keepLines w:val="0"/>
              <w:pageBreakBefore w:val="0"/>
              <w:widowControl w:val="0"/>
              <w:numPr>
                <w:ilvl w:val="0"/>
                <w:numId w:val="7"/>
              </w:numPr>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评审专家确定方式：</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随机抽取 </w:t>
            </w:r>
          </w:p>
          <w:p>
            <w:pPr>
              <w:keepNext w:val="0"/>
              <w:keepLines w:val="0"/>
              <w:pageBreakBefore w:val="0"/>
              <w:widowControl w:val="0"/>
              <w:numPr>
                <w:ilvl w:val="0"/>
                <w:numId w:val="7"/>
              </w:numPr>
              <w:kinsoku/>
              <w:wordWrap/>
              <w:overflowPunct/>
              <w:bidi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评审专家分类：</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评标委员会招标人代表要求：</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6.4.1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采用“评定分离”法时：评标结果（定标候选人）公示</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定标候选人数量：</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质疑或投诉成立，取消相应定标候选人资格后：</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sym w:font="Wingdings 2" w:char="00A3"/>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继续定标</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sym w:font="Wingdings 2" w:char="00A3"/>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组织原评标委员会补充推荐定标候选人</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yellow"/>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定标候选人少于三个或者所有投标被否决的，依法重新组织招标。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6" w:type="dxa"/>
            <w:vMerge w:val="restart"/>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7.1.1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是否授权评标委员会确定中标人</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sym w:font="Wingdings 2" w:char="00A3"/>
            </w:r>
            <w:r>
              <w:rPr>
                <w:rFonts w:hint="eastAsia" w:ascii="方正仿宋_GB2312" w:hAnsi="方正仿宋_GB2312" w:eastAsia="方正仿宋_GB2312" w:cs="方正仿宋_GB2312"/>
                <w:color w:val="000000" w:themeColor="text1"/>
                <w:sz w:val="32"/>
                <w:szCs w:val="32"/>
                <w14:textFill>
                  <w14:solidFill>
                    <w14:schemeClr w14:val="tx1"/>
                  </w14:solidFill>
                </w14:textFill>
              </w:rPr>
              <w:t>是</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□否，推荐的中标候选人数：</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66" w:type="dxa"/>
            <w:vMerge w:val="continue"/>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采用“评定分离”法时：定标方法</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□价格竞争定标法</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□票决定标法</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□集体议事法</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□其他定标方法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7</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2</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采用“评定分离”法时：定标方案</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7.3.1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履约保证金</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□是  履约保证金的形式：</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履约保证金的金额：</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万元</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（不超过中标金额的10%）</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投标人在收到中标通知书后，须在</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日内向招标人足额提交履约保证金，否则招标人可以取消其中标资格</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sym w:font="Wingdings 2" w:char="00A3"/>
            </w:r>
            <w:r>
              <w:rPr>
                <w:rFonts w:hint="eastAsia" w:ascii="方正仿宋_GB2312" w:hAnsi="方正仿宋_GB2312" w:eastAsia="方正仿宋_GB2312" w:cs="方正仿宋_GB2312"/>
                <w:color w:val="000000" w:themeColor="text1"/>
                <w:sz w:val="32"/>
                <w:szCs w:val="32"/>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10</w:t>
            </w:r>
          </w:p>
        </w:tc>
        <w:tc>
          <w:tcPr>
            <w:tcW w:w="7737" w:type="dxa"/>
            <w:gridSpan w:val="2"/>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补充内容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10.1</w:t>
            </w:r>
          </w:p>
        </w:tc>
        <w:tc>
          <w:tcPr>
            <w:tcW w:w="7737" w:type="dxa"/>
            <w:gridSpan w:val="2"/>
            <w:vAlign w:val="center"/>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词语定义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10.1.1</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类似项目</w:t>
            </w:r>
          </w:p>
        </w:tc>
        <w:tc>
          <w:tcPr>
            <w:tcW w:w="5417"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□不要求</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□要求，（由招标人在以下工程业绩中勾选一项）</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□企业承担过</w:t>
            </w:r>
            <w:r>
              <w:rPr>
                <w:rFonts w:hint="eastAsia" w:ascii="方正仿宋_GB2312" w:hAnsi="方正仿宋_GB2312" w:eastAsia="方正仿宋_GB2312" w:cs="方正仿宋_GB2312"/>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 xml:space="preserve">项类似业绩；  </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□拟任</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项目负责人</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项目经理</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承担过</w:t>
            </w:r>
            <w:r>
              <w:rPr>
                <w:rFonts w:hint="eastAsia" w:ascii="方正仿宋_GB2312" w:hAnsi="方正仿宋_GB2312" w:eastAsia="方正仿宋_GB2312" w:cs="方正仿宋_GB2312"/>
                <w:color w:val="000000" w:themeColor="text1"/>
                <w:kern w:val="2"/>
                <w:sz w:val="32"/>
                <w:szCs w:val="32"/>
                <w:highlight w:val="none"/>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color w:val="000000" w:themeColor="text1"/>
                <w:kern w:val="2"/>
                <w:sz w:val="32"/>
                <w:szCs w:val="32"/>
                <w:highlight w:val="none"/>
                <w:lang w:val="en-US" w:eastAsia="zh-CN" w:bidi="ar-SA"/>
                <w14:textFill>
                  <w14:solidFill>
                    <w14:schemeClr w14:val="tx1"/>
                  </w14:solidFill>
                </w14:textFill>
              </w:rPr>
              <w:t>项类似业绩。</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其他要求：</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yellow"/>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(类似</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项目是</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指与发包工程建设规模相似、结构类型、使用功能相同的</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房屋建筑和市政基础设施工程</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项目，具体指标按照国家和自治区有关规定执行。</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此处由招标人根据招标项目的特点和实际需要提出要求，并符合国家、自治区优化营商环境的相关规定。</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10.1.2</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不良行为记录</w:t>
            </w:r>
          </w:p>
        </w:tc>
        <w:tc>
          <w:tcPr>
            <w:tcW w:w="5417" w:type="dxa"/>
            <w:vAlign w:val="center"/>
          </w:tcPr>
          <w:p>
            <w:pPr>
              <w:pageBreakBefore w:val="0"/>
              <w:widowControl/>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不良行为记录是指：</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10.2</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最高投标限价</w:t>
            </w:r>
          </w:p>
        </w:tc>
        <w:tc>
          <w:tcPr>
            <w:tcW w:w="5417" w:type="dxa"/>
            <w:vAlign w:val="center"/>
          </w:tcPr>
          <w:p>
            <w:pPr>
              <w:pageBreakBefore w:val="0"/>
              <w:widowControl/>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最高投标限价</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10.3.1</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技术标评审方式</w:t>
            </w:r>
          </w:p>
        </w:tc>
        <w:tc>
          <w:tcPr>
            <w:tcW w:w="5417" w:type="dxa"/>
            <w:vAlign w:val="center"/>
          </w:tcPr>
          <w:p>
            <w:pPr>
              <w:keepNext w:val="0"/>
              <w:keepLines w:val="0"/>
              <w:pageBreakBefore w:val="0"/>
              <w:widowControl/>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□采用合格制评审方式（明标），投标人应严格按照第八章“投标文件格式”“二、技术标格式（明标）”中“技术标的内容”进行编制。</w:t>
            </w:r>
          </w:p>
          <w:p>
            <w:pPr>
              <w:keepNext w:val="0"/>
              <w:keepLines w:val="0"/>
              <w:pageBreakBefore w:val="0"/>
              <w:widowControl/>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□采用计分制评审方式（暗标），投标人应严格按照第八章“投标文件格式”“二、技术标格式（暗标）”中“技术标的内容”进行编制。本项目技术标不超过</w:t>
            </w:r>
            <w:r>
              <w:rPr>
                <w:rFonts w:hint="eastAsia" w:ascii="方正仿宋_GB2312" w:hAnsi="方正仿宋_GB2312" w:eastAsia="方正仿宋_GB2312" w:cs="方正仿宋_GB2312"/>
                <w:i w:val="0"/>
                <w:iCs w:val="0"/>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none"/>
                <w:lang w:val="en-US" w:eastAsia="zh-CN"/>
                <w14:textFill>
                  <w14:solidFill>
                    <w14:schemeClr w14:val="tx1"/>
                  </w14:solidFill>
                </w14:textFill>
              </w:rPr>
              <w:t>页</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（一般不超过500页）。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10.3.2</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工程量清单</w:t>
            </w: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评审方式</w:t>
            </w:r>
          </w:p>
        </w:tc>
        <w:tc>
          <w:tcPr>
            <w:tcW w:w="5417" w:type="dxa"/>
            <w:vAlign w:val="center"/>
          </w:tcPr>
          <w:p>
            <w:pPr>
              <w:pageBreakBefore w:val="0"/>
              <w:widowControl/>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采用“明标”评审，投标人应严格按照第八章“投标文件格式”“三、经济标格式（明标）”中“工程量清单计价表格式”进行编制。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10.4</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是否实行计算机</w:t>
            </w: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辅助评标</w:t>
            </w:r>
          </w:p>
        </w:tc>
        <w:tc>
          <w:tcPr>
            <w:tcW w:w="5417" w:type="dxa"/>
            <w:vAlign w:val="center"/>
          </w:tcPr>
          <w:p>
            <w:pPr>
              <w:pageBreakBefore w:val="0"/>
              <w:widowControl/>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□否</w:t>
            </w:r>
          </w:p>
          <w:p>
            <w:pPr>
              <w:pageBreakBefore w:val="0"/>
              <w:widowControl/>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□是，计算机辅助评标方法见第三章“评标办法”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10.5</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投标人代表出席</w:t>
            </w: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开标会</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采用电子招标投标方式为不见面开标，不要求，详见本须知前附表5.1。</w:t>
            </w:r>
          </w:p>
          <w:p>
            <w:pPr>
              <w:pageBreakBefore w:val="0"/>
              <w:widowControl/>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采用非电子招标投标方式，</w:t>
            </w:r>
            <w:r>
              <w:rPr>
                <w:rFonts w:hint="eastAsia" w:ascii="方正仿宋_GB2312" w:hAnsi="方正仿宋_GB2312" w:eastAsia="方正仿宋_GB2312" w:cs="方正仿宋_GB2312"/>
                <w:b/>
                <w:kern w:val="0"/>
                <w:sz w:val="32"/>
                <w:szCs w:val="32"/>
                <w:u w:val="single"/>
              </w:rPr>
              <w:t xml:space="preserve">    </w:t>
            </w:r>
            <w:r>
              <w:rPr>
                <w:rFonts w:hint="eastAsia" w:ascii="方正仿宋_GB2312" w:hAnsi="方正仿宋_GB2312" w:eastAsia="方正仿宋_GB2312" w:cs="方正仿宋_GB2312"/>
                <w:b/>
                <w:kern w:val="0"/>
                <w:sz w:val="32"/>
                <w:szCs w:val="32"/>
                <w:u w:val="single"/>
                <w:lang w:val="en-US" w:eastAsia="zh-CN"/>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10.6</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中标公示</w:t>
            </w:r>
          </w:p>
        </w:tc>
        <w:tc>
          <w:tcPr>
            <w:tcW w:w="5417" w:type="dxa"/>
            <w:vAlign w:val="center"/>
          </w:tcPr>
          <w:p>
            <w:pPr>
              <w:pageBreakBefore w:val="0"/>
              <w:widowControl/>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在中标通知书发出前，招标人将中标侯选人的情况在</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（电子招标投标交易平台名称及地址）</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予以公示，公示期不少于3日。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10.7</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知识产权</w:t>
            </w:r>
          </w:p>
        </w:tc>
        <w:tc>
          <w:tcPr>
            <w:tcW w:w="5417" w:type="dxa"/>
            <w:vAlign w:val="center"/>
          </w:tcPr>
          <w:p>
            <w:pPr>
              <w:pageBreakBefore w:val="0"/>
              <w:widowControl/>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招标人全部或者部分使用未中标人投标文件中的技术成果或技术方案时，需征得其书面同意，并不得擅自复印或提供给第三人。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10.8</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重新招标的其他情形</w:t>
            </w:r>
          </w:p>
        </w:tc>
        <w:tc>
          <w:tcPr>
            <w:tcW w:w="5417" w:type="dxa"/>
            <w:vAlign w:val="center"/>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除投标人须知正文第8条规定的情形外，除非已经产生中标侯选人，在投标有效期内同意延长投标有效期的投标人少于三个的，招标人应当依法重新招标。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1266"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10.9</w:t>
            </w:r>
          </w:p>
        </w:tc>
        <w:tc>
          <w:tcPr>
            <w:tcW w:w="2320" w:type="dxa"/>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同义词语</w:t>
            </w:r>
          </w:p>
        </w:tc>
        <w:tc>
          <w:tcPr>
            <w:tcW w:w="5417" w:type="dxa"/>
            <w:vAlign w:val="center"/>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构成招标文件组成部分的“通用合同条款”、“专用合同条款”、“技术标准和要求”和“工程量清单”等章节中出现的措辞“发包人”和“承包人”，在招标投标阶段应当分别按“招标人”和“投标人”进行理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10.1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0</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监督</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本项目的招标投标活动及其相关当事人应当接受有管辖权的建设工程招标投标行政监督部门依法实施的监督</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10.11</w:t>
            </w:r>
          </w:p>
        </w:tc>
        <w:tc>
          <w:tcPr>
            <w:tcW w:w="2320"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解释权</w:t>
            </w:r>
          </w:p>
        </w:tc>
        <w:tc>
          <w:tcPr>
            <w:tcW w:w="5417"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left"/>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构成本招标文件的各个组成文件应互为解释，互为说明；如有不明确或不一致，构成合同文件组成内容，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成形成结论的，由招标人负责解释</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10.12</w:t>
            </w:r>
          </w:p>
        </w:tc>
        <w:tc>
          <w:tcPr>
            <w:tcW w:w="7737" w:type="dxa"/>
            <w:gridSpan w:val="2"/>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其他补充内容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10.12.1</w:t>
            </w:r>
          </w:p>
        </w:tc>
        <w:tc>
          <w:tcPr>
            <w:tcW w:w="7737" w:type="dxa"/>
            <w:gridSpan w:val="2"/>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以暂估价形式包括在总承包范围内的工程、货物、服务属于依法必须进行招标的项目范围且达到国家规定规模标准的，应当依法进行招标。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10.12.2</w:t>
            </w:r>
          </w:p>
        </w:tc>
        <w:tc>
          <w:tcPr>
            <w:tcW w:w="7737" w:type="dxa"/>
            <w:gridSpan w:val="2"/>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招标文件中所设置的内容、条款及未尽事宜，以国家或</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自治区</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有关规定为准；</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2、其他：</w:t>
            </w:r>
            <w:r>
              <w:rPr>
                <w:rFonts w:hint="eastAsia" w:ascii="方正仿宋_GB2312" w:hAnsi="方正仿宋_GB2312" w:eastAsia="方正仿宋_GB2312" w:cs="方正仿宋_GB2312"/>
                <w:sz w:val="32"/>
                <w:szCs w:val="32"/>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10.12.3</w:t>
            </w:r>
          </w:p>
        </w:tc>
        <w:tc>
          <w:tcPr>
            <w:tcW w:w="7737" w:type="dxa"/>
            <w:gridSpan w:val="2"/>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招标代理服务费：</w:t>
            </w:r>
            <w:r>
              <w:rPr>
                <w:rFonts w:hint="eastAsia" w:ascii="方正仿宋_GB2312" w:hAnsi="方正仿宋_GB2312" w:eastAsia="方正仿宋_GB2312" w:cs="方正仿宋_GB2312"/>
                <w:sz w:val="32"/>
                <w:szCs w:val="32"/>
                <w:u w:val="single"/>
              </w:rPr>
              <w:t xml:space="preserve">                 </w:t>
            </w:r>
          </w:p>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场地服务费：</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266" w:type="dxa"/>
            <w:vAlign w:val="center"/>
          </w:tcPr>
          <w:p>
            <w:pPr>
              <w:keepNext w:val="0"/>
              <w:keepLines w:val="0"/>
              <w:pageBreakBefore w:val="0"/>
              <w:widowControl w:val="0"/>
              <w:kinsoku/>
              <w:wordWrap/>
              <w:overflowPunct/>
              <w:bidi w:val="0"/>
              <w:adjustRightInd w:val="0"/>
              <w:snapToGrid w:val="0"/>
              <w:spacing w:line="440" w:lineRule="exact"/>
              <w:ind w:firstLine="0" w:firstLineChars="0"/>
              <w:jc w:val="center"/>
              <w:textAlignment w:val="auto"/>
              <w:rPr>
                <w:rFonts w:hint="eastAsia" w:ascii="方正仿宋_GB2312" w:hAnsi="方正仿宋_GB2312" w:eastAsia="方正仿宋_GB2312" w:cs="方正仿宋_GB2312"/>
                <w:color w:val="auto"/>
                <w:sz w:val="32"/>
                <w:szCs w:val="32"/>
                <w:highlight w:val="none"/>
                <w:lang w:eastAsia="zh-CN"/>
              </w:rPr>
            </w:pPr>
            <w:r>
              <w:rPr>
                <w:rFonts w:hint="eastAsia" w:ascii="方正仿宋_GB2312" w:hAnsi="方正仿宋_GB2312" w:eastAsia="方正仿宋_GB2312" w:cs="方正仿宋_GB2312"/>
                <w:color w:val="auto"/>
                <w:sz w:val="32"/>
                <w:szCs w:val="32"/>
                <w:highlight w:val="none"/>
              </w:rPr>
              <w:t>1</w:t>
            </w:r>
            <w:r>
              <w:rPr>
                <w:rFonts w:hint="eastAsia" w:ascii="方正仿宋_GB2312" w:hAnsi="方正仿宋_GB2312" w:eastAsia="方正仿宋_GB2312" w:cs="方正仿宋_GB2312"/>
                <w:color w:val="auto"/>
                <w:sz w:val="32"/>
                <w:szCs w:val="32"/>
                <w:highlight w:val="none"/>
                <w:lang w:val="en-US" w:eastAsia="zh-CN"/>
              </w:rPr>
              <w:t>1</w:t>
            </w:r>
          </w:p>
        </w:tc>
        <w:tc>
          <w:tcPr>
            <w:tcW w:w="7737" w:type="dxa"/>
            <w:gridSpan w:val="2"/>
            <w:vAlign w:val="center"/>
          </w:tcPr>
          <w:p>
            <w:pPr>
              <w:keepNext w:val="0"/>
              <w:keepLines w:val="0"/>
              <w:pageBreakBefore w:val="0"/>
              <w:widowControl w:val="0"/>
              <w:kinsoku/>
              <w:wordWrap/>
              <w:overflowPunct/>
              <w:bidi w:val="0"/>
              <w:adjustRightInd w:val="0"/>
              <w:snapToGrid w:val="0"/>
              <w:spacing w:line="440" w:lineRule="exact"/>
              <w:ind w:firstLine="0" w:firstLineChars="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电子招</w:t>
            </w:r>
            <w:r>
              <w:rPr>
                <w:rFonts w:hint="eastAsia" w:ascii="方正仿宋_GB2312" w:hAnsi="方正仿宋_GB2312" w:eastAsia="方正仿宋_GB2312" w:cs="方正仿宋_GB2312"/>
                <w:color w:val="auto"/>
                <w:sz w:val="32"/>
                <w:szCs w:val="32"/>
                <w:highlight w:val="none"/>
                <w:lang w:val="en-US" w:eastAsia="zh-CN"/>
              </w:rPr>
              <w:t>标</w:t>
            </w:r>
            <w:r>
              <w:rPr>
                <w:rFonts w:hint="eastAsia" w:ascii="方正仿宋_GB2312" w:hAnsi="方正仿宋_GB2312" w:eastAsia="方正仿宋_GB2312" w:cs="方正仿宋_GB2312"/>
                <w:color w:val="auto"/>
                <w:sz w:val="32"/>
                <w:szCs w:val="32"/>
                <w:highlight w:val="none"/>
              </w:rPr>
              <w:t>投标</w:t>
            </w:r>
            <w:r>
              <w:rPr>
                <w:rFonts w:hint="eastAsia" w:ascii="方正仿宋_GB2312" w:hAnsi="方正仿宋_GB2312" w:eastAsia="方正仿宋_GB2312" w:cs="方正仿宋_GB2312"/>
                <w:color w:val="auto"/>
                <w:sz w:val="32"/>
                <w:szCs w:val="32"/>
                <w:highlight w:val="none"/>
                <w:lang w:val="en-US" w:eastAsia="zh-CN"/>
              </w:rPr>
              <w:t>其他</w:t>
            </w:r>
            <w:r>
              <w:rPr>
                <w:rFonts w:hint="eastAsia" w:ascii="方正仿宋_GB2312" w:hAnsi="方正仿宋_GB2312" w:eastAsia="方正仿宋_GB2312" w:cs="方正仿宋_GB2312"/>
                <w:color w:val="auto"/>
                <w:sz w:val="32"/>
                <w:szCs w:val="32"/>
                <w:highlight w:val="none"/>
              </w:rPr>
              <w:t>要求</w:t>
            </w:r>
            <w:r>
              <w:rPr>
                <w:rFonts w:hint="eastAsia" w:ascii="方正仿宋_GB2312" w:hAnsi="方正仿宋_GB2312" w:eastAsia="方正仿宋_GB2312" w:cs="方正仿宋_GB2312"/>
                <w:color w:val="auto"/>
                <w:sz w:val="32"/>
                <w:szCs w:val="32"/>
                <w:highlight w:val="none"/>
                <w:u w:val="single"/>
              </w:rPr>
              <w:t xml:space="preserve">   </w:t>
            </w:r>
            <w:r>
              <w:rPr>
                <w:rFonts w:hint="eastAsia" w:ascii="方正仿宋_GB2312" w:hAnsi="方正仿宋_GB2312" w:eastAsia="方正仿宋_GB2312" w:cs="方正仿宋_GB2312"/>
                <w:color w:val="auto"/>
                <w:sz w:val="32"/>
                <w:szCs w:val="32"/>
                <w:highlight w:val="none"/>
                <w:u w:val="single"/>
                <w:lang w:val="en-US" w:eastAsia="zh-CN"/>
              </w:rPr>
              <w:t xml:space="preserve">    </w:t>
            </w:r>
            <w:r>
              <w:rPr>
                <w:rFonts w:hint="eastAsia" w:ascii="方正仿宋_GB2312" w:hAnsi="方正仿宋_GB2312" w:eastAsia="方正仿宋_GB2312" w:cs="方正仿宋_GB2312"/>
                <w:color w:val="auto"/>
                <w:sz w:val="32"/>
                <w:szCs w:val="32"/>
                <w:highlight w:val="none"/>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9003" w:type="dxa"/>
            <w:gridSpan w:val="3"/>
            <w:vAlign w:val="center"/>
          </w:tcPr>
          <w:p>
            <w:pPr>
              <w:keepNext w:val="0"/>
              <w:keepLines w:val="0"/>
              <w:pageBreakBefore w:val="0"/>
              <w:widowControl w:val="0"/>
              <w:kinsoku/>
              <w:wordWrap/>
              <w:overflowPunct/>
              <w:bidi w:val="0"/>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r>
    </w:tbl>
    <w:p>
      <w:pPr>
        <w:pStyle w:val="2"/>
        <w:keepNext w:val="0"/>
        <w:keepLines w:val="0"/>
        <w:pageBreakBefore w:val="0"/>
        <w:widowControl w:val="0"/>
        <w:kinsoku/>
        <w:wordWrap/>
        <w:overflowPunct/>
        <w:bidi w:val="0"/>
        <w:spacing w:line="440" w:lineRule="exact"/>
        <w:ind w:firstLine="0" w:firstLineChars="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sectPr>
          <w:footerReference r:id="rId4" w:type="default"/>
          <w:pgSz w:w="11906" w:h="16838"/>
          <w:pgMar w:top="1440" w:right="1559" w:bottom="1440" w:left="1560"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3"/>
        <w:pageBreakBefore w:val="0"/>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bookmarkStart w:id="105" w:name="_Toc29244"/>
      <w:bookmarkStart w:id="106" w:name="_Toc508286067"/>
      <w:bookmarkStart w:id="107" w:name="_Toc389065144"/>
      <w:bookmarkStart w:id="108" w:name="_Toc16588"/>
      <w:bookmarkStart w:id="109" w:name="_Toc3402"/>
      <w:bookmarkStart w:id="110" w:name="_Toc9354"/>
      <w:r>
        <w:rPr>
          <w:rFonts w:hint="eastAsia" w:ascii="方正仿宋_GB2312" w:hAnsi="方正仿宋_GB2312" w:eastAsia="方正仿宋_GB2312" w:cs="方正仿宋_GB2312"/>
          <w:b w:val="0"/>
          <w:bCs w:val="0"/>
          <w:kern w:val="2"/>
          <w:sz w:val="32"/>
          <w:szCs w:val="32"/>
          <w:lang w:val="en-US" w:eastAsia="zh-CN" w:bidi="ar-SA"/>
        </w:rPr>
        <w:t>投标人须知</w:t>
      </w:r>
      <w:bookmarkEnd w:id="105"/>
      <w:bookmarkEnd w:id="106"/>
      <w:bookmarkEnd w:id="107"/>
      <w:bookmarkEnd w:id="108"/>
      <w:bookmarkEnd w:id="109"/>
      <w:bookmarkEnd w:id="110"/>
    </w:p>
    <w:p>
      <w:pPr>
        <w:pStyle w:val="3"/>
        <w:pageBreakBefore w:val="0"/>
        <w:kinsoku/>
        <w:bidi w:val="0"/>
        <w:spacing w:line="440" w:lineRule="exact"/>
        <w:ind w:firstLine="0" w:firstLineChars="0"/>
        <w:rPr>
          <w:rFonts w:hint="eastAsia" w:ascii="方正仿宋_GB2312" w:hAnsi="方正仿宋_GB2312" w:eastAsia="方正仿宋_GB2312" w:cs="方正仿宋_GB2312"/>
          <w:sz w:val="32"/>
          <w:szCs w:val="32"/>
        </w:rPr>
      </w:pPr>
      <w:bookmarkStart w:id="111" w:name="_Toc8154"/>
      <w:bookmarkStart w:id="112" w:name="_Toc31786"/>
      <w:bookmarkStart w:id="113" w:name="_Toc508286068"/>
      <w:bookmarkStart w:id="114" w:name="_Toc14715"/>
      <w:bookmarkStart w:id="115" w:name="_Toc389065145"/>
      <w:bookmarkStart w:id="116" w:name="_Toc29352"/>
      <w:r>
        <w:rPr>
          <w:rFonts w:hint="eastAsia" w:ascii="方正仿宋_GB2312" w:hAnsi="方正仿宋_GB2312" w:eastAsia="方正仿宋_GB2312" w:cs="方正仿宋_GB2312"/>
          <w:sz w:val="32"/>
          <w:szCs w:val="32"/>
        </w:rPr>
        <w:t>1 总则</w:t>
      </w:r>
      <w:bookmarkEnd w:id="111"/>
      <w:bookmarkEnd w:id="112"/>
      <w:bookmarkEnd w:id="113"/>
      <w:bookmarkEnd w:id="114"/>
      <w:bookmarkEnd w:id="115"/>
      <w:bookmarkEnd w:id="116"/>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17" w:name="_Toc11837"/>
      <w:bookmarkStart w:id="118" w:name="_Toc24701"/>
      <w:bookmarkStart w:id="119" w:name="_Toc389065146"/>
      <w:bookmarkStart w:id="120" w:name="_Toc508286069"/>
      <w:bookmarkStart w:id="121" w:name="_Toc24413"/>
      <w:bookmarkStart w:id="122" w:name="_Toc20351"/>
      <w:r>
        <w:rPr>
          <w:rFonts w:hint="eastAsia" w:ascii="方正仿宋_GB2312" w:hAnsi="方正仿宋_GB2312" w:eastAsia="方正仿宋_GB2312" w:cs="方正仿宋_GB2312"/>
          <w:sz w:val="32"/>
          <w:szCs w:val="32"/>
        </w:rPr>
        <w:t>1.1 项目概况</w:t>
      </w:r>
      <w:bookmarkEnd w:id="117"/>
      <w:bookmarkEnd w:id="118"/>
      <w:bookmarkEnd w:id="119"/>
      <w:bookmarkEnd w:id="120"/>
      <w:bookmarkEnd w:id="121"/>
      <w:bookmarkEnd w:id="122"/>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1.1.1 根据《中华人民共和国招标投标法》《中华人民共和国招标投标法实施条例》等有关法律、法规和规章的规定，本招标项目已具备招标条件，现对</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施工</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进行招标。</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1.1.2 招标人：见“投标人须知前附表”。</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1.1.3 招标代理机构：见“投标人须知前附表”。</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1.1.4 项目名称：见“投标人须知前附表”。</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1.1.5 建设地点：见“投标人须知前附表”。</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23" w:name="_Toc20189"/>
      <w:bookmarkStart w:id="124" w:name="_Toc24277"/>
      <w:bookmarkStart w:id="125" w:name="_Toc29313"/>
      <w:bookmarkStart w:id="126" w:name="_Toc3946"/>
      <w:bookmarkStart w:id="127" w:name="_Toc508286070"/>
      <w:bookmarkStart w:id="128" w:name="_Toc389065147"/>
      <w:r>
        <w:rPr>
          <w:rFonts w:hint="eastAsia" w:ascii="方正仿宋_GB2312" w:hAnsi="方正仿宋_GB2312" w:eastAsia="方正仿宋_GB2312" w:cs="方正仿宋_GB2312"/>
          <w:sz w:val="32"/>
          <w:szCs w:val="32"/>
        </w:rPr>
        <w:t>1.2 资金来源和落实情况</w:t>
      </w:r>
      <w:bookmarkEnd w:id="123"/>
      <w:bookmarkEnd w:id="124"/>
      <w:bookmarkEnd w:id="125"/>
      <w:bookmarkEnd w:id="126"/>
      <w:bookmarkEnd w:id="127"/>
      <w:bookmarkEnd w:id="128"/>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1.2.1 资金来源：见“投标人须知前附表”。</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1.2.2 出资比例：见“投标人须知前附表”。</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1.2.3 资金落实情况：见“投标人须知前附表”。</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29" w:name="_Toc389065148"/>
      <w:bookmarkStart w:id="130" w:name="_Toc508286071"/>
      <w:bookmarkStart w:id="131" w:name="_Toc27222"/>
      <w:bookmarkStart w:id="132" w:name="_Toc8539"/>
      <w:bookmarkStart w:id="133" w:name="_Toc27447"/>
      <w:bookmarkStart w:id="134" w:name="_Toc23269"/>
      <w:r>
        <w:rPr>
          <w:rFonts w:hint="eastAsia" w:ascii="方正仿宋_GB2312" w:hAnsi="方正仿宋_GB2312" w:eastAsia="方正仿宋_GB2312" w:cs="方正仿宋_GB2312"/>
          <w:sz w:val="32"/>
          <w:szCs w:val="32"/>
        </w:rPr>
        <w:t xml:space="preserve">1.3 </w:t>
      </w:r>
      <w:bookmarkEnd w:id="129"/>
      <w:bookmarkEnd w:id="130"/>
      <w:r>
        <w:rPr>
          <w:rFonts w:hint="eastAsia" w:ascii="方正仿宋_GB2312" w:hAnsi="方正仿宋_GB2312" w:eastAsia="方正仿宋_GB2312" w:cs="方正仿宋_GB2312"/>
          <w:sz w:val="32"/>
          <w:szCs w:val="32"/>
        </w:rPr>
        <w:t>招标范围、计划工期和质量要求</w:t>
      </w:r>
      <w:bookmarkEnd w:id="131"/>
      <w:bookmarkEnd w:id="132"/>
      <w:bookmarkEnd w:id="133"/>
      <w:bookmarkEnd w:id="134"/>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1.3.1 招标范围：见“投标人须知前附表”。</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1.3.2 工期要求：见“投标人须知前附表”。</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1.3.3 质量要求：见“投标人须知前附表”。</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35" w:name="_Toc1049"/>
      <w:bookmarkStart w:id="136" w:name="_Toc30154"/>
      <w:bookmarkStart w:id="137" w:name="_Toc23041"/>
      <w:bookmarkStart w:id="138" w:name="_Toc389065149"/>
      <w:bookmarkStart w:id="139" w:name="_Toc24770"/>
      <w:bookmarkStart w:id="140" w:name="_Toc508286072"/>
      <w:r>
        <w:rPr>
          <w:rFonts w:hint="eastAsia" w:ascii="方正仿宋_GB2312" w:hAnsi="方正仿宋_GB2312" w:eastAsia="方正仿宋_GB2312" w:cs="方正仿宋_GB2312"/>
          <w:sz w:val="32"/>
          <w:szCs w:val="32"/>
        </w:rPr>
        <w:t>1.4 投标人资格要求</w:t>
      </w:r>
      <w:bookmarkEnd w:id="135"/>
      <w:bookmarkEnd w:id="136"/>
      <w:bookmarkEnd w:id="137"/>
      <w:bookmarkEnd w:id="138"/>
      <w:bookmarkEnd w:id="139"/>
      <w:bookmarkEnd w:id="140"/>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□采用资格预审方式，投标人应是收到招标人发出投标邀请书的单位。</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□采用资格</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后审</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方式，投标人资格要求</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1.4.1 投标人应具备承担本项目的资格要求，见“投标人须知前附表”。</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1.4.2 “投标人须知前附表”规定接受联合体投标的，除应符合本章第1.4.1项和“投标人须知前附表”的要求外，还应遵守以下规定：</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（1）联合体各方应按招标文件提供的格式签订联合体协议书，明确联合体牵头人和各方权利义务；</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（2）联合体各成员单位应当具备与联合体协议中约定的分工相适应的资质和能力； </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（3）联合体各方不得再以自己名义单独或参加其他联合体在同一标段中投标；</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）由同一专业的单位组成的联合体，按照资质等级较低的单位确定资质等级。</w:t>
      </w:r>
    </w:p>
    <w:p>
      <w:pPr>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1.4.3 投标人不得存在下列情形之一：</w:t>
      </w:r>
    </w:p>
    <w:p>
      <w:pPr>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（1）为招标人不具有独立法人资格的附属机构（单位）；</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（2）为本招标项目的代建单位、项目管理单位、监理单位、造价咨询单位、招标代理单位；</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（3）与本招标项目的监理人、代建人、招标代理机构同为一个法定代表人的，或者相互控股、参股的；</w:t>
      </w:r>
    </w:p>
    <w:p>
      <w:pPr>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（4）与招标人存在利害关系可能影响招标公正性的；</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（5）处于被责令停业、财产被接管、冻结和破产状态，以及投标资格被取消或者被暂停且在暂停期内；</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（6）因拖欠工人工资或者发生质量安全事故被</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相关行业主管</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部门限制承接工程的</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以相关行业主管部门的行政处罚决定或司法机关出具的有关法律文书为准</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（7）投标人近3年内有行贿犯罪行为且被记录，或者法定代表人有行贿犯罪记录且自记录之日起未超过5年的；</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（8）投标人及其法定代表人</w:t>
      </w:r>
      <w:r>
        <w:rPr>
          <w:rFonts w:hint="eastAsia" w:ascii="方正仿宋_GB2312" w:hAnsi="方正仿宋_GB2312" w:eastAsia="方正仿宋_GB2312" w:cs="方正仿宋_GB2312"/>
          <w:color w:val="auto"/>
          <w:sz w:val="32"/>
          <w:szCs w:val="32"/>
        </w:rPr>
        <w:t>、拟派项目负责人</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有被相关行政主管部门通报停止投标活动且处在被停止投标期间内的不良行为记录；</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（9）单位负责人为同一人或者存在控股、管理关系的不同单位，参加同一标段投标或者未划分标段的同一招标项目投标</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的；</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10</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被工商行政管理机关在全国企业信用信息公示系统中列入严重违法失信企业名单；</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11</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被最高人民法院在“信用中国”网站（www.creditchina.gov.cn）或各级信用信息共享平台中列入失信被执行人名单；</w:t>
      </w:r>
    </w:p>
    <w:p>
      <w:pPr>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12</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）法律法规规定的其他情形。</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41" w:name="_Toc4221"/>
      <w:bookmarkStart w:id="142" w:name="_Toc508286073"/>
      <w:bookmarkStart w:id="143" w:name="_Toc10537"/>
      <w:bookmarkStart w:id="144" w:name="_Toc389065150"/>
      <w:bookmarkStart w:id="145" w:name="_Toc1190"/>
      <w:bookmarkStart w:id="146" w:name="_Toc23251"/>
      <w:r>
        <w:rPr>
          <w:rFonts w:hint="eastAsia" w:ascii="方正仿宋_GB2312" w:hAnsi="方正仿宋_GB2312" w:eastAsia="方正仿宋_GB2312" w:cs="方正仿宋_GB2312"/>
          <w:sz w:val="32"/>
          <w:szCs w:val="32"/>
        </w:rPr>
        <w:t>1.5 费用承担</w:t>
      </w:r>
      <w:bookmarkEnd w:id="141"/>
      <w:bookmarkEnd w:id="142"/>
      <w:bookmarkEnd w:id="143"/>
      <w:bookmarkEnd w:id="144"/>
      <w:bookmarkEnd w:id="145"/>
      <w:bookmarkEnd w:id="146"/>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投标人准备和参加投标活动发生的费用自理。</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47" w:name="_Toc18231"/>
      <w:bookmarkStart w:id="148" w:name="_Toc16527"/>
      <w:bookmarkStart w:id="149" w:name="_Toc389065151"/>
      <w:bookmarkStart w:id="150" w:name="_Toc29307"/>
      <w:bookmarkStart w:id="151" w:name="_Toc508286074"/>
      <w:bookmarkStart w:id="152" w:name="_Toc3750"/>
      <w:r>
        <w:rPr>
          <w:rFonts w:hint="eastAsia" w:ascii="方正仿宋_GB2312" w:hAnsi="方正仿宋_GB2312" w:eastAsia="方正仿宋_GB2312" w:cs="方正仿宋_GB2312"/>
          <w:sz w:val="32"/>
          <w:szCs w:val="32"/>
        </w:rPr>
        <w:t>1.6 保密</w:t>
      </w:r>
      <w:bookmarkEnd w:id="147"/>
      <w:bookmarkEnd w:id="148"/>
      <w:bookmarkEnd w:id="149"/>
      <w:bookmarkEnd w:id="150"/>
      <w:bookmarkEnd w:id="151"/>
      <w:bookmarkEnd w:id="152"/>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参与招标投标活动的各方应对招标文件和投标文件中的商业和技术等秘密保密，违者应对由此造成的后果承担法律责任。</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53" w:name="_Toc389065152"/>
      <w:bookmarkStart w:id="154" w:name="_Toc27060"/>
      <w:bookmarkStart w:id="155" w:name="_Toc23374"/>
      <w:bookmarkStart w:id="156" w:name="_Toc508286075"/>
      <w:bookmarkStart w:id="157" w:name="_Toc24422"/>
      <w:bookmarkStart w:id="158" w:name="_Toc28879"/>
      <w:r>
        <w:rPr>
          <w:rFonts w:hint="eastAsia" w:ascii="方正仿宋_GB2312" w:hAnsi="方正仿宋_GB2312" w:eastAsia="方正仿宋_GB2312" w:cs="方正仿宋_GB2312"/>
          <w:sz w:val="32"/>
          <w:szCs w:val="32"/>
        </w:rPr>
        <w:t>1.7 语言文字</w:t>
      </w:r>
      <w:bookmarkEnd w:id="153"/>
      <w:bookmarkEnd w:id="154"/>
      <w:bookmarkEnd w:id="155"/>
      <w:bookmarkEnd w:id="156"/>
      <w:bookmarkEnd w:id="157"/>
      <w:bookmarkEnd w:id="158"/>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除专用术语外，与招标投标有关的语言均使用中文，必要时专用术语应附有中文注释。</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59" w:name="_Toc18994"/>
      <w:bookmarkStart w:id="160" w:name="_Toc26201"/>
      <w:bookmarkStart w:id="161" w:name="_Toc9324"/>
      <w:bookmarkStart w:id="162" w:name="_Toc28323"/>
      <w:bookmarkStart w:id="163" w:name="_Toc389065153"/>
      <w:bookmarkStart w:id="164" w:name="_Toc508286076"/>
      <w:r>
        <w:rPr>
          <w:rFonts w:hint="eastAsia" w:ascii="方正仿宋_GB2312" w:hAnsi="方正仿宋_GB2312" w:eastAsia="方正仿宋_GB2312" w:cs="方正仿宋_GB2312"/>
          <w:sz w:val="32"/>
          <w:szCs w:val="32"/>
        </w:rPr>
        <w:t>1.8 计量单位</w:t>
      </w:r>
      <w:bookmarkEnd w:id="159"/>
      <w:bookmarkEnd w:id="160"/>
      <w:bookmarkEnd w:id="161"/>
      <w:bookmarkEnd w:id="162"/>
      <w:bookmarkEnd w:id="163"/>
      <w:bookmarkEnd w:id="164"/>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所有计量均采用中华人民共和国法定计量单位。</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65" w:name="_Toc31671"/>
      <w:bookmarkStart w:id="166" w:name="_Toc389065154"/>
      <w:bookmarkStart w:id="167" w:name="_Toc508286077"/>
      <w:bookmarkStart w:id="168" w:name="_Toc23515"/>
      <w:bookmarkStart w:id="169" w:name="_Toc23123"/>
      <w:bookmarkStart w:id="170" w:name="_Toc22995"/>
      <w:r>
        <w:rPr>
          <w:rFonts w:hint="eastAsia" w:ascii="方正仿宋_GB2312" w:hAnsi="方正仿宋_GB2312" w:eastAsia="方正仿宋_GB2312" w:cs="方正仿宋_GB2312"/>
          <w:sz w:val="32"/>
          <w:szCs w:val="32"/>
        </w:rPr>
        <w:t>1.9 踏勘现场</w:t>
      </w:r>
      <w:bookmarkEnd w:id="165"/>
      <w:bookmarkEnd w:id="166"/>
      <w:bookmarkEnd w:id="167"/>
      <w:bookmarkEnd w:id="168"/>
      <w:bookmarkEnd w:id="169"/>
      <w:bookmarkEnd w:id="170"/>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1.9.1 按投标人须知前附表的规定执行。</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1.9.2 投标人踏勘现场发生的费用自理。</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1.9.3 除招标人的原因外，投标人自行负责在踏勘现场中所发生的人员伤亡和财产损失。</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1.9.4 招标人在踏勘现场有关工程场地和相关环境等情况的介绍，供投标人参考。投标人对自身的判断和决策负责。</w:t>
      </w:r>
    </w:p>
    <w:p>
      <w:pPr>
        <w:pageBreakBefore w:val="0"/>
        <w:widowControl w:val="0"/>
        <w:kinsoku/>
        <w:wordWrap/>
        <w:overflowPunct/>
        <w:topLinePunct w:val="0"/>
        <w:autoSpaceDE/>
        <w:autoSpaceDN/>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b/>
          <w:bCs/>
          <w:kern w:val="2"/>
          <w:sz w:val="32"/>
          <w:szCs w:val="32"/>
          <w:highlight w:val="none"/>
          <w:lang w:val="en-US" w:eastAsia="zh-CN" w:bidi="ar-SA"/>
        </w:rPr>
      </w:pPr>
      <w:bookmarkStart w:id="171" w:name="_Toc1271"/>
      <w:r>
        <w:rPr>
          <w:rFonts w:hint="eastAsia" w:ascii="方正仿宋_GB2312" w:hAnsi="方正仿宋_GB2312" w:eastAsia="方正仿宋_GB2312" w:cs="方正仿宋_GB2312"/>
          <w:b/>
          <w:bCs/>
          <w:kern w:val="2"/>
          <w:sz w:val="32"/>
          <w:szCs w:val="32"/>
          <w:highlight w:val="none"/>
          <w:lang w:val="en-US" w:eastAsia="zh-CN" w:bidi="ar-SA"/>
        </w:rPr>
        <w:t>1.10 招标文件答疑</w:t>
      </w:r>
      <w:bookmarkEnd w:id="171"/>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1.10.1 投标人应在投标人须知前附表规定的时间前，通过</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（发布澄清和修改的媒介）  </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将提出的问题送达招标人，以便招标人澄清。</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bCs/>
          <w:kern w:val="2"/>
          <w:sz w:val="32"/>
          <w:szCs w:val="32"/>
          <w:highlight w:val="none"/>
          <w:lang w:val="en-US" w:eastAsia="zh-CN" w:bidi="ar-SA"/>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1.10.2 招标人在投标人须知前附表规定的时间内，将对投标人所提问题的澄清，通过</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（发布澄清和修改的媒介）  </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通知投标人。该澄清内容为招标文件的组成部分。</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72" w:name="_Toc11450"/>
      <w:bookmarkStart w:id="173" w:name="_Toc508286078"/>
      <w:bookmarkStart w:id="174" w:name="_Toc14944"/>
      <w:bookmarkStart w:id="175" w:name="_Toc24484"/>
      <w:bookmarkStart w:id="176" w:name="_Toc389065156"/>
      <w:bookmarkStart w:id="177" w:name="_Toc26033"/>
      <w:r>
        <w:rPr>
          <w:rFonts w:hint="eastAsia" w:ascii="方正仿宋_GB2312" w:hAnsi="方正仿宋_GB2312" w:eastAsia="方正仿宋_GB2312" w:cs="方正仿宋_GB2312"/>
          <w:sz w:val="32"/>
          <w:szCs w:val="32"/>
        </w:rPr>
        <w:t>1.1</w:t>
      </w: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rPr>
        <w:t xml:space="preserve"> 分包</w:t>
      </w:r>
      <w:bookmarkEnd w:id="172"/>
      <w:bookmarkEnd w:id="173"/>
      <w:bookmarkEnd w:id="174"/>
      <w:bookmarkEnd w:id="175"/>
      <w:bookmarkEnd w:id="176"/>
      <w:bookmarkEnd w:id="177"/>
    </w:p>
    <w:p>
      <w:pPr>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178" w:name="_Toc28511"/>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分包活动应当符合国家和自治区有关分包的相关规定，投标人拟在中标后将中标项目的部分非主体、非关键性工作进行分包的，应符合投标人须知前附表规定的分包内容、分包金额和接受分包的第三人资质要求等限制性条件。</w:t>
      </w:r>
      <w:bookmarkEnd w:id="178"/>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79" w:name="_Toc30195"/>
      <w:bookmarkStart w:id="180" w:name="_Toc15550"/>
      <w:bookmarkStart w:id="181" w:name="_Toc508286079"/>
      <w:bookmarkStart w:id="182" w:name="_Toc389065157"/>
      <w:bookmarkStart w:id="183" w:name="_Toc23904"/>
      <w:bookmarkStart w:id="184" w:name="_Toc12115"/>
      <w:r>
        <w:rPr>
          <w:rFonts w:hint="eastAsia" w:ascii="方正仿宋_GB2312" w:hAnsi="方正仿宋_GB2312" w:eastAsia="方正仿宋_GB2312" w:cs="方正仿宋_GB2312"/>
          <w:sz w:val="32"/>
          <w:szCs w:val="32"/>
        </w:rPr>
        <w:t>1.1</w:t>
      </w: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 xml:space="preserve"> 偏离</w:t>
      </w:r>
      <w:bookmarkEnd w:id="179"/>
      <w:bookmarkEnd w:id="180"/>
      <w:bookmarkEnd w:id="181"/>
      <w:bookmarkEnd w:id="182"/>
      <w:bookmarkEnd w:id="183"/>
      <w:bookmarkEnd w:id="184"/>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185" w:name="_Toc389065158"/>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投标人须知前附表允许投标文件偏离招标文件某些要求的，偏离应当符合招标文件规定的偏离范围和幅度。</w:t>
      </w:r>
    </w:p>
    <w:p>
      <w:pPr>
        <w:pStyle w:val="3"/>
        <w:pageBreakBefore w:val="0"/>
        <w:kinsoku/>
        <w:bidi w:val="0"/>
        <w:spacing w:line="440" w:lineRule="exact"/>
        <w:ind w:firstLine="0" w:firstLineChars="0"/>
        <w:rPr>
          <w:rFonts w:hint="eastAsia" w:ascii="方正仿宋_GB2312" w:hAnsi="方正仿宋_GB2312" w:eastAsia="方正仿宋_GB2312" w:cs="方正仿宋_GB2312"/>
          <w:sz w:val="32"/>
          <w:szCs w:val="32"/>
        </w:rPr>
      </w:pPr>
      <w:bookmarkStart w:id="186" w:name="_Toc28877"/>
      <w:bookmarkStart w:id="187" w:name="_Toc18450"/>
      <w:bookmarkStart w:id="188" w:name="_Toc19345"/>
      <w:bookmarkStart w:id="189" w:name="_Toc10046"/>
      <w:bookmarkStart w:id="190" w:name="_Toc508286082"/>
      <w:r>
        <w:rPr>
          <w:rFonts w:hint="eastAsia" w:ascii="方正仿宋_GB2312" w:hAnsi="方正仿宋_GB2312" w:eastAsia="方正仿宋_GB2312" w:cs="方正仿宋_GB2312"/>
          <w:sz w:val="32"/>
          <w:szCs w:val="32"/>
        </w:rPr>
        <w:t>2 招标文件</w:t>
      </w:r>
      <w:bookmarkEnd w:id="185"/>
      <w:bookmarkEnd w:id="186"/>
      <w:bookmarkEnd w:id="187"/>
      <w:bookmarkEnd w:id="188"/>
      <w:bookmarkEnd w:id="189"/>
      <w:bookmarkEnd w:id="190"/>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191" w:name="_Toc508286083"/>
      <w:bookmarkStart w:id="192" w:name="_Toc18114"/>
      <w:bookmarkStart w:id="193" w:name="_Toc28180"/>
      <w:bookmarkStart w:id="194" w:name="_Toc2280"/>
      <w:bookmarkStart w:id="195" w:name="_Toc2782"/>
      <w:bookmarkStart w:id="196" w:name="_Toc389065159"/>
      <w:r>
        <w:rPr>
          <w:rFonts w:hint="eastAsia" w:ascii="方正仿宋_GB2312" w:hAnsi="方正仿宋_GB2312" w:eastAsia="方正仿宋_GB2312" w:cs="方正仿宋_GB2312"/>
          <w:sz w:val="32"/>
          <w:szCs w:val="32"/>
        </w:rPr>
        <w:t>2.1 招标文件的组成</w:t>
      </w:r>
      <w:bookmarkEnd w:id="191"/>
      <w:bookmarkEnd w:id="192"/>
      <w:bookmarkEnd w:id="193"/>
      <w:bookmarkEnd w:id="194"/>
      <w:bookmarkEnd w:id="195"/>
      <w:bookmarkEnd w:id="196"/>
    </w:p>
    <w:p>
      <w:pPr>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2.1.1本招标文件包括：</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（1）招标公告</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或投标邀请书</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（2）投标人须知</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（3）评标办法</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（4）合同条款及格式</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FF0000"/>
          <w:sz w:val="32"/>
          <w:szCs w:val="32"/>
        </w:rPr>
        <w:t>（</w:t>
      </w:r>
      <w:r>
        <w:rPr>
          <w:rFonts w:hint="eastAsia" w:ascii="方正仿宋_GB2312" w:hAnsi="方正仿宋_GB2312" w:eastAsia="方正仿宋_GB2312" w:cs="方正仿宋_GB2312"/>
          <w:color w:val="auto"/>
          <w:sz w:val="32"/>
          <w:szCs w:val="32"/>
        </w:rPr>
        <w:t>5）工程量清单</w:t>
      </w:r>
      <w:r>
        <w:rPr>
          <w:rFonts w:hint="eastAsia" w:ascii="方正仿宋_GB2312" w:hAnsi="方正仿宋_GB2312" w:eastAsia="方正仿宋_GB2312" w:cs="方正仿宋_GB2312"/>
          <w:color w:val="auto"/>
          <w:sz w:val="32"/>
          <w:szCs w:val="32"/>
          <w:lang w:eastAsia="zh-CN"/>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rPr>
        <w:t>（6）图纸</w:t>
      </w:r>
      <w:r>
        <w:rPr>
          <w:rFonts w:hint="eastAsia" w:ascii="方正仿宋_GB2312" w:hAnsi="方正仿宋_GB2312" w:eastAsia="方正仿宋_GB2312" w:cs="方正仿宋_GB2312"/>
          <w:color w:val="auto"/>
          <w:sz w:val="32"/>
          <w:szCs w:val="32"/>
          <w:lang w:eastAsia="zh-CN"/>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rPr>
        <w:t>（7）技术标准和要求</w:t>
      </w:r>
      <w:r>
        <w:rPr>
          <w:rFonts w:hint="eastAsia" w:ascii="方正仿宋_GB2312" w:hAnsi="方正仿宋_GB2312" w:eastAsia="方正仿宋_GB2312" w:cs="方正仿宋_GB2312"/>
          <w:color w:val="auto"/>
          <w:sz w:val="32"/>
          <w:szCs w:val="32"/>
          <w:lang w:eastAsia="zh-CN"/>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8</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）投标文件格式</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9</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）投标人须知前附表规定的其他材料。</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2.1.2 根据本章第</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1.10款、第</w:t>
      </w:r>
      <w:r>
        <w:rPr>
          <w:rFonts w:hint="eastAsia" w:ascii="方正仿宋_GB2312" w:hAnsi="方正仿宋_GB2312" w:eastAsia="方正仿宋_GB2312" w:cs="方正仿宋_GB2312"/>
          <w:color w:val="000000" w:themeColor="text1"/>
          <w:sz w:val="32"/>
          <w:szCs w:val="32"/>
          <w14:textFill>
            <w14:solidFill>
              <w14:schemeClr w14:val="tx1"/>
            </w14:solidFill>
          </w14:textFill>
        </w:rPr>
        <w:t>2.2款和第2.3款对招标文件所作的澄清、修改，构成招标文件的组成部分。招标文件的澄清、修改内容前后相互矛盾时，以发布时间在后的文件为准。</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highlight w:val="none"/>
        </w:rPr>
      </w:pPr>
      <w:bookmarkStart w:id="197" w:name="_Toc508286084"/>
      <w:bookmarkStart w:id="198" w:name="_Toc389065160"/>
      <w:bookmarkStart w:id="199" w:name="_Toc24023"/>
      <w:bookmarkStart w:id="200" w:name="_Toc24605"/>
      <w:bookmarkStart w:id="201" w:name="_Toc4891"/>
      <w:bookmarkStart w:id="202" w:name="_Toc32030"/>
      <w:r>
        <w:rPr>
          <w:rFonts w:hint="eastAsia" w:ascii="方正仿宋_GB2312" w:hAnsi="方正仿宋_GB2312" w:eastAsia="方正仿宋_GB2312" w:cs="方正仿宋_GB2312"/>
          <w:sz w:val="32"/>
          <w:szCs w:val="32"/>
          <w:highlight w:val="none"/>
        </w:rPr>
        <w:t>2.2 招标文件的澄清</w:t>
      </w:r>
      <w:bookmarkEnd w:id="197"/>
      <w:bookmarkEnd w:id="198"/>
      <w:bookmarkEnd w:id="199"/>
      <w:bookmarkEnd w:id="200"/>
      <w:bookmarkEnd w:id="201"/>
      <w:bookmarkEnd w:id="202"/>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2.2.1 投标人应仔细阅读和检查招标文件的全部内容。如发现缺页或附件不全，应及时向招标人提出，以便补齐。如有疑问，应在投标人须知前附表规定的时间前</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通过</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（发布澄清和修改的媒介）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，要求招标人对招标文件予以澄清。</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2.2.2 招标文件的澄清</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通过</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（发布澄清和修改的媒介）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发给投标人，但不指明澄清问题的来源。澄清发出的时间距投标人须知前附表规定的投标截止时间不足15</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的，并且澄清内容影响投标文件编制的，将相应延长投标截止时间。</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2.2.3 投标人在收到澄清后，应在投标人须知前附表规定的时间内</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通过</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（发布澄清和修改的媒介）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通知招标人，确认已收到该澄清。</w:t>
      </w:r>
    </w:p>
    <w:p>
      <w:pPr>
        <w:pStyle w:val="4"/>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203" w:name="_Toc16293"/>
      <w:bookmarkStart w:id="204" w:name="_Toc508286085"/>
      <w:bookmarkStart w:id="205" w:name="_Toc12101"/>
      <w:bookmarkStart w:id="206" w:name="_Toc7300"/>
      <w:bookmarkStart w:id="207" w:name="_Toc2624"/>
      <w:bookmarkStart w:id="208" w:name="_Toc389065161"/>
      <w:r>
        <w:rPr>
          <w:rFonts w:hint="eastAsia" w:ascii="方正仿宋_GB2312" w:hAnsi="方正仿宋_GB2312" w:eastAsia="方正仿宋_GB2312" w:cs="方正仿宋_GB2312"/>
          <w:sz w:val="32"/>
          <w:szCs w:val="32"/>
        </w:rPr>
        <w:t>2.3 招标文件的修改</w:t>
      </w:r>
      <w:bookmarkEnd w:id="203"/>
      <w:bookmarkEnd w:id="204"/>
      <w:bookmarkEnd w:id="205"/>
      <w:bookmarkEnd w:id="206"/>
      <w:bookmarkEnd w:id="207"/>
      <w:bookmarkEnd w:id="208"/>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2.3.1 招标文件发布后，招标人可以</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书面/电子</w:t>
      </w:r>
      <w:r>
        <w:rPr>
          <w:rFonts w:hint="eastAsia" w:ascii="方正仿宋_GB2312" w:hAnsi="方正仿宋_GB2312" w:eastAsia="方正仿宋_GB2312" w:cs="方正仿宋_GB2312"/>
          <w:color w:val="000000" w:themeColor="text1"/>
          <w:sz w:val="32"/>
          <w:szCs w:val="32"/>
          <w:u w:val="singl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形式修改招标文件，并</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通过</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（发布澄清和修改的媒介）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通知所有投标人。修改招标文件的时间距投标人须知前附表规定的投标截止时间不足15</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日</w:t>
      </w: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的，并且澄清内容影响投标文件编制的，将相应延长投标截止时间。 </w:t>
      </w:r>
    </w:p>
    <w:p>
      <w:pPr>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2.3.2修改文件按本章第2.3.1款规定发出之时起，视为投标人已收到该修改文件。投标人未及时</w:t>
      </w: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通过</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（发布澄清和修改的媒介）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查阅招标文件的修改，或未按照修改后的招标文件编制投标文件，由此造成的后果由投标人自行承担。</w:t>
      </w:r>
    </w:p>
    <w:p>
      <w:pPr>
        <w:pStyle w:val="3"/>
        <w:pageBreakBefore w:val="0"/>
        <w:kinsoku/>
        <w:bidi w:val="0"/>
        <w:spacing w:line="440" w:lineRule="exact"/>
        <w:ind w:firstLine="0" w:firstLineChars="0"/>
        <w:rPr>
          <w:rFonts w:hint="eastAsia" w:ascii="方正仿宋_GB2312" w:hAnsi="方正仿宋_GB2312" w:eastAsia="方正仿宋_GB2312" w:cs="方正仿宋_GB2312"/>
          <w:sz w:val="32"/>
          <w:szCs w:val="32"/>
        </w:rPr>
      </w:pPr>
      <w:bookmarkStart w:id="209" w:name="_Toc15310"/>
      <w:bookmarkStart w:id="210" w:name="_Toc389065162"/>
      <w:bookmarkStart w:id="211" w:name="_Toc19783"/>
      <w:bookmarkStart w:id="212" w:name="_Toc30169"/>
      <w:bookmarkStart w:id="213" w:name="_Toc4649"/>
      <w:bookmarkStart w:id="214" w:name="_Toc508286087"/>
      <w:r>
        <w:rPr>
          <w:rFonts w:hint="eastAsia" w:ascii="方正仿宋_GB2312" w:hAnsi="方正仿宋_GB2312" w:eastAsia="方正仿宋_GB2312" w:cs="方正仿宋_GB2312"/>
          <w:sz w:val="32"/>
          <w:szCs w:val="32"/>
        </w:rPr>
        <w:t>3 投标文件</w:t>
      </w:r>
      <w:bookmarkEnd w:id="209"/>
      <w:bookmarkEnd w:id="210"/>
      <w:bookmarkEnd w:id="211"/>
      <w:bookmarkEnd w:id="212"/>
      <w:bookmarkEnd w:id="213"/>
      <w:bookmarkEnd w:id="214"/>
    </w:p>
    <w:p>
      <w:pPr>
        <w:pStyle w:val="4"/>
        <w:pageBreakBefore w:val="0"/>
        <w:widowControl w:val="0"/>
        <w:kinsoku/>
        <w:wordWrap/>
        <w:overflowPunct/>
        <w:topLinePunct w:val="0"/>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215" w:name="_Toc389065163"/>
      <w:bookmarkStart w:id="216" w:name="_Toc13404"/>
      <w:bookmarkStart w:id="217" w:name="_Toc17715"/>
      <w:bookmarkStart w:id="218" w:name="_Toc508286088"/>
      <w:bookmarkStart w:id="219" w:name="_Toc7646"/>
      <w:bookmarkStart w:id="220" w:name="_Toc21168"/>
      <w:r>
        <w:rPr>
          <w:rFonts w:hint="eastAsia" w:ascii="方正仿宋_GB2312" w:hAnsi="方正仿宋_GB2312" w:eastAsia="方正仿宋_GB2312" w:cs="方正仿宋_GB2312"/>
          <w:sz w:val="32"/>
          <w:szCs w:val="32"/>
        </w:rPr>
        <w:t>3.1 投标文件的组成</w:t>
      </w:r>
      <w:bookmarkEnd w:id="215"/>
      <w:bookmarkEnd w:id="216"/>
      <w:bookmarkEnd w:id="217"/>
      <w:bookmarkEnd w:id="218"/>
      <w:bookmarkEnd w:id="219"/>
      <w:bookmarkEnd w:id="220"/>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3.1.1 投标文件</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由投标函、技术标、经济标等部分以及投标人须知前附表规定的其他资料组成，具体内容详见第八章投标文件格式。</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b w:val="0"/>
          <w:bCs w:val="0"/>
          <w:color w:val="000000" w:themeColor="text1"/>
          <w:sz w:val="32"/>
          <w:szCs w:val="32"/>
          <w:lang w:val="en-US" w:eastAsia="zh-CN"/>
          <w14:textFill>
            <w14:solidFill>
              <w14:schemeClr w14:val="tx1"/>
            </w14:solidFill>
          </w14:textFill>
        </w:rPr>
        <w:t>3.1.1.1 投标函部分包括以下内容：（详见第八章投标文件格式“一、投标函格式”）</w:t>
      </w:r>
    </w:p>
    <w:p>
      <w:pPr>
        <w:pStyle w:val="134"/>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b/>
          <w:sz w:val="32"/>
          <w:szCs w:val="32"/>
        </w:rPr>
      </w:pPr>
      <w:bookmarkStart w:id="221" w:name="_Toc5126"/>
      <w:bookmarkStart w:id="222" w:name="_Toc8506"/>
      <w:r>
        <w:rPr>
          <w:rFonts w:hint="eastAsia" w:ascii="方正仿宋_GB2312" w:hAnsi="方正仿宋_GB2312" w:eastAsia="方正仿宋_GB2312" w:cs="方正仿宋_GB2312"/>
          <w:b/>
          <w:sz w:val="32"/>
          <w:szCs w:val="32"/>
        </w:rPr>
        <w:t>适用于资格预审：</w:t>
      </w:r>
      <w:bookmarkEnd w:id="221"/>
      <w:bookmarkEnd w:id="222"/>
    </w:p>
    <w:p>
      <w:pPr>
        <w:pageBreakBefore w:val="0"/>
        <w:widowControl w:val="0"/>
        <w:kinsoku/>
        <w:wordWrap/>
        <w:overflowPunct/>
        <w:topLinePunct w:val="0"/>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1.投标函及投标报价表；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1.1投标函</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1.2投标报价表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auto"/>
          <w:sz w:val="32"/>
          <w:szCs w:val="32"/>
        </w:rPr>
        <w:t>1.3</w:t>
      </w:r>
      <w:r>
        <w:rPr>
          <w:rFonts w:hint="eastAsia" w:ascii="方正仿宋_GB2312" w:hAnsi="方正仿宋_GB2312" w:eastAsia="方正仿宋_GB2312" w:cs="方正仿宋_GB2312"/>
          <w:sz w:val="32"/>
          <w:szCs w:val="32"/>
        </w:rPr>
        <w:t xml:space="preserve">投标函附录（附：价格指数权重表） </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2.法定代表人身份证明或附有法定代表人身份证明的授权委托书；</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3.联合体协议书（若有时）；</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4.投标保证金；</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5.项目管理机构（现场技术力量配备）；</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5.1项目负责人简历表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5.2主要项目管理人员简历表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6.近年完成的类似工程业绩表；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7.拟分包项目情况表；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8.其他投标资料。</w:t>
      </w:r>
    </w:p>
    <w:p>
      <w:pPr>
        <w:pStyle w:val="134"/>
        <w:pageBreakBefore w:val="0"/>
        <w:widowControl w:val="0"/>
        <w:kinsoku/>
        <w:wordWrap/>
        <w:overflowPunct/>
        <w:topLinePunct w:val="0"/>
        <w:bidi w:val="0"/>
        <w:adjustRightInd/>
        <w:snapToGrid/>
        <w:spacing w:line="440" w:lineRule="exact"/>
        <w:ind w:firstLine="643" w:firstLineChars="200"/>
        <w:textAlignment w:val="auto"/>
        <w:rPr>
          <w:rFonts w:hint="eastAsia" w:ascii="方正仿宋_GB2312" w:hAnsi="方正仿宋_GB2312" w:eastAsia="方正仿宋_GB2312" w:cs="方正仿宋_GB2312"/>
          <w:b/>
          <w:sz w:val="32"/>
          <w:szCs w:val="32"/>
        </w:rPr>
      </w:pPr>
      <w:bookmarkStart w:id="223" w:name="_Toc7231"/>
      <w:bookmarkStart w:id="224" w:name="_Toc22264"/>
      <w:r>
        <w:rPr>
          <w:rFonts w:hint="eastAsia" w:ascii="方正仿宋_GB2312" w:hAnsi="方正仿宋_GB2312" w:eastAsia="方正仿宋_GB2312" w:cs="方正仿宋_GB2312"/>
          <w:b/>
          <w:sz w:val="32"/>
          <w:szCs w:val="32"/>
        </w:rPr>
        <w:t>适用于资格后审：</w:t>
      </w:r>
      <w:bookmarkEnd w:id="223"/>
      <w:bookmarkEnd w:id="224"/>
    </w:p>
    <w:p>
      <w:pPr>
        <w:pageBreakBefore w:val="0"/>
        <w:widowControl w:val="0"/>
        <w:kinsoku/>
        <w:wordWrap/>
        <w:overflowPunct/>
        <w:topLinePunct w:val="0"/>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1.投标函及投标报价表；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1.1投标函</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1.2投标报价表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auto"/>
          <w:sz w:val="32"/>
          <w:szCs w:val="32"/>
        </w:rPr>
        <w:t>1.3</w:t>
      </w:r>
      <w:r>
        <w:rPr>
          <w:rFonts w:hint="eastAsia" w:ascii="方正仿宋_GB2312" w:hAnsi="方正仿宋_GB2312" w:eastAsia="方正仿宋_GB2312" w:cs="方正仿宋_GB2312"/>
          <w:sz w:val="32"/>
          <w:szCs w:val="32"/>
        </w:rPr>
        <w:t xml:space="preserve">投标函附录（附：价格指数权重表） </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2.法定代表人身份证明或附有法定代表人身份证明的授权委托书；</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3.联合体协议书（若有时）；</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4.投标保证金；</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5.项目管理机构（现场技术力量配备）；</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5.1项目管理机构组成表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5.2主要人员简历表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5.2.1项目负责人简历表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5.2.2主要项目管理人员简历表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6.拟分包项目情况表；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7.资格审查资料</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7.1投标人基本情况表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7.2近年财务状况表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7.3近年完成的类似项目情况表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7.4正在施工的和新承建的项目情况表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7.5近年发生的诉讼和仲裁情况</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7.6企业其他信誉情况</w:t>
      </w:r>
    </w:p>
    <w:p>
      <w:pPr>
        <w:pageBreakBefore w:val="0"/>
        <w:widowControl w:val="0"/>
        <w:kinsoku/>
        <w:wordWrap/>
        <w:overflowPunct/>
        <w:topLinePunct w:val="0"/>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8.其他投标资料。</w:t>
      </w:r>
    </w:p>
    <w:p>
      <w:pPr>
        <w:pageBreakBefore w:val="0"/>
        <w:widowControl w:val="0"/>
        <w:kinsoku/>
        <w:wordWrap/>
        <w:overflowPunct/>
        <w:topLinePunct w:val="0"/>
        <w:bidi w:val="0"/>
        <w:adjustRightInd/>
        <w:snapToGrid/>
        <w:spacing w:line="440" w:lineRule="exact"/>
        <w:ind w:firstLine="643" w:firstLineChars="200"/>
        <w:textAlignment w:val="auto"/>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3.1.1.2 技术标部分主要包括下列内容：</w:t>
      </w:r>
      <w:r>
        <w:rPr>
          <w:rFonts w:hint="eastAsia" w:ascii="方正仿宋_GB2312" w:hAnsi="方正仿宋_GB2312" w:eastAsia="方正仿宋_GB2312" w:cs="方正仿宋_GB2312"/>
          <w:sz w:val="32"/>
          <w:szCs w:val="32"/>
        </w:rPr>
        <w:t>（详见第八章投标文件格式“二、技术标格式</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暗标</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/（明标）</w:t>
      </w:r>
      <w:r>
        <w:rPr>
          <w:rFonts w:hint="eastAsia" w:ascii="方正仿宋_GB2312" w:hAnsi="方正仿宋_GB2312" w:eastAsia="方正仿宋_GB2312" w:cs="方正仿宋_GB2312"/>
          <w:sz w:val="32"/>
          <w:szCs w:val="32"/>
        </w:rPr>
        <w:t>”）</w:t>
      </w:r>
    </w:p>
    <w:p>
      <w:pPr>
        <w:pStyle w:val="197"/>
        <w:keepNext w:val="0"/>
        <w:keepLines w:val="0"/>
        <w:pageBreakBefore w:val="0"/>
        <w:widowControl w:val="0"/>
        <w:numPr>
          <w:ilvl w:val="0"/>
          <w:numId w:val="0"/>
        </w:numPr>
        <w:kinsoku/>
        <w:wordWrap/>
        <w:overflowPunct/>
        <w:topLinePunct w:val="0"/>
        <w:autoSpaceDE w:val="0"/>
        <w:autoSpaceDN w:val="0"/>
        <w:bidi w:val="0"/>
        <w:adjustRightInd/>
        <w:snapToGrid/>
        <w:spacing w:before="42" w:line="440" w:lineRule="exact"/>
        <w:ind w:right="0" w:rightChars="0" w:firstLine="640" w:firstLineChars="200"/>
        <w:jc w:val="left"/>
        <w:textAlignment w:val="auto"/>
        <w:outlineLvl w:val="9"/>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（1）工程概况及特点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1.1 工程建设概况</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1.2 建筑设计特点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1.3 结构设计特点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1.4 设备安装设计特点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1.5 工程施工特点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1.6 建设地点特征（地理环境因素）</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（2）施工准备工作计划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（3）施工方案</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（4）工程施工进度计划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outlineLvl w:val="9"/>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4.1 施工流水作业横道图/施工进度计划网络图</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（5）施工平面图</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（6）劳动力、材料、施工机械设备等需用量计划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（7）质量保证措施和体系</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（8）安全保障措施和体系</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（9）智慧工地系统应用实施方案</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（10）防疫措施</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lang w:val="en-US" w:eastAsia="zh-CN" w:bidi="ar-SA"/>
        </w:rPr>
        <w:t>（11）BIM技术应用（如有）</w:t>
      </w:r>
    </w:p>
    <w:p>
      <w:pPr>
        <w:pageBreakBefore w:val="0"/>
        <w:widowControl w:val="0"/>
        <w:kinsoku/>
        <w:wordWrap/>
        <w:overflowPunct/>
        <w:topLinePunct w:val="0"/>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3.1.1.3 经济标部分主要包括下列内容：</w:t>
      </w:r>
      <w:r>
        <w:rPr>
          <w:rFonts w:hint="eastAsia" w:ascii="方正仿宋_GB2312" w:hAnsi="方正仿宋_GB2312" w:eastAsia="方正仿宋_GB2312" w:cs="方正仿宋_GB2312"/>
          <w:sz w:val="32"/>
          <w:szCs w:val="32"/>
        </w:rPr>
        <w:t>（详见第八章投标文件格式“三、经济标格式”）</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w:t>
      </w:r>
      <w:r>
        <w:rPr>
          <w:rFonts w:hint="eastAsia" w:ascii="方正仿宋_GB2312" w:hAnsi="方正仿宋_GB2312" w:eastAsia="方正仿宋_GB2312" w:cs="方正仿宋_GB2312"/>
          <w:b w:val="0"/>
          <w:bCs w:val="0"/>
          <w:kern w:val="2"/>
          <w:sz w:val="32"/>
          <w:szCs w:val="32"/>
          <w:lang w:val="en-US" w:eastAsia="zh-CN" w:bidi="ar-SA"/>
        </w:rPr>
        <w:t>投标总价单（工程量清单投标总价封面）</w:t>
      </w:r>
    </w:p>
    <w:p>
      <w:pPr>
        <w:pStyle w:val="197"/>
        <w:keepNext w:val="0"/>
        <w:keepLines w:val="0"/>
        <w:pageBreakBefore w:val="0"/>
        <w:widowControl w:val="0"/>
        <w:numPr>
          <w:ilvl w:val="0"/>
          <w:numId w:val="0"/>
        </w:numPr>
        <w:kinsoku/>
        <w:wordWrap/>
        <w:overflowPunct/>
        <w:topLinePunct w:val="0"/>
        <w:autoSpaceDE w:val="0"/>
        <w:autoSpaceDN w:val="0"/>
        <w:bidi w:val="0"/>
        <w:adjustRightInd/>
        <w:snapToGrid/>
        <w:spacing w:before="42" w:line="440" w:lineRule="exact"/>
        <w:ind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（2）报价总说明；</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（3）建设项目投标报价汇总表；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（4）单项工程投标报价汇总表；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（5）单位工程投标报价汇总表；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（6）分部分项工程和单价措施项目清单与计价表；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（7）综合单价分析表；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（8）总价措施项目清单与计价表；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（9）其他项目清单与计价汇总表；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9.1 暂列金额明细表；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9.2 材料（工程设备）暂估单价表；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9.3 专业工程暂估价表；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9.4 计日工表；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9.5 总承包服务费计价表；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（10）规费、税金项目计价表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（11）主要材料价格表；</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lang w:val="en-US" w:eastAsia="zh-CN" w:bidi="ar-SA"/>
        </w:rPr>
        <w:t>（12）投标报价需要的其他资料。</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3.1.2 招标文件“第八章 投标文件格式”有规定格式要求的，投标人应按规定的格式填写并按要求提交相关的证明材料。</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3.1.3 “投标人须知前附表”规定不接受联合体投标的，或投标人没有组成联合体的，投标文件不包括联合体协议书。</w:t>
      </w:r>
    </w:p>
    <w:p>
      <w:pPr>
        <w:pStyle w:val="4"/>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sz w:val="32"/>
          <w:szCs w:val="32"/>
        </w:rPr>
      </w:pPr>
      <w:bookmarkStart w:id="225" w:name="_Toc28302"/>
      <w:bookmarkStart w:id="226" w:name="_Toc11892"/>
      <w:bookmarkStart w:id="227" w:name="_Toc20523"/>
      <w:bookmarkStart w:id="228" w:name="_Toc508286089"/>
      <w:bookmarkStart w:id="229" w:name="_Toc15920"/>
      <w:bookmarkStart w:id="230" w:name="_Toc389065164"/>
      <w:r>
        <w:rPr>
          <w:rFonts w:hint="eastAsia" w:ascii="方正仿宋_GB2312" w:hAnsi="方正仿宋_GB2312" w:eastAsia="方正仿宋_GB2312" w:cs="方正仿宋_GB2312"/>
          <w:sz w:val="32"/>
          <w:szCs w:val="32"/>
        </w:rPr>
        <w:t>3.2 投标报价</w:t>
      </w:r>
      <w:bookmarkEnd w:id="225"/>
      <w:bookmarkEnd w:id="226"/>
      <w:bookmarkEnd w:id="227"/>
      <w:bookmarkEnd w:id="228"/>
      <w:bookmarkEnd w:id="229"/>
      <w:bookmarkEnd w:id="230"/>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3.2.1</w:t>
      </w:r>
      <w:r>
        <w:rPr>
          <w:rFonts w:hint="eastAsia" w:ascii="方正仿宋_GB2312" w:hAnsi="方正仿宋_GB2312" w:eastAsia="方正仿宋_GB2312" w:cs="方正仿宋_GB2312"/>
          <w:color w:val="auto"/>
          <w:sz w:val="32"/>
          <w:szCs w:val="32"/>
          <w:lang w:val="en-US" w:eastAsia="zh-CN"/>
        </w:rPr>
        <w:t xml:space="preserve"> </w:t>
      </w:r>
      <w:r>
        <w:rPr>
          <w:rFonts w:hint="eastAsia" w:ascii="方正仿宋_GB2312" w:hAnsi="方正仿宋_GB2312" w:eastAsia="方正仿宋_GB2312" w:cs="方正仿宋_GB2312"/>
          <w:color w:val="auto"/>
          <w:sz w:val="32"/>
          <w:szCs w:val="32"/>
        </w:rPr>
        <w:t>投标人应按第五章“工程量清单”及第八章“投标文件格式”的要求填写投标报价。</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3.2.2</w:t>
      </w:r>
      <w:r>
        <w:rPr>
          <w:rFonts w:hint="eastAsia" w:ascii="方正仿宋_GB2312" w:hAnsi="方正仿宋_GB2312" w:eastAsia="方正仿宋_GB2312" w:cs="方正仿宋_GB2312"/>
          <w:color w:val="auto"/>
          <w:sz w:val="32"/>
          <w:szCs w:val="32"/>
          <w:lang w:val="en-US" w:eastAsia="zh-CN"/>
        </w:rPr>
        <w:t xml:space="preserve"> </w:t>
      </w:r>
      <w:r>
        <w:rPr>
          <w:rFonts w:hint="eastAsia" w:ascii="方正仿宋_GB2312" w:hAnsi="方正仿宋_GB2312" w:eastAsia="方正仿宋_GB2312" w:cs="方正仿宋_GB2312"/>
          <w:color w:val="auto"/>
          <w:sz w:val="32"/>
          <w:szCs w:val="32"/>
        </w:rPr>
        <w:t>投标人在投标截止时间前修改投标函中的投标总报价，应同时修改第五章“工程量清单” 及第八章“投标文件格式”中的相应报价。此修改须符合本章第4.3款的有关要求。</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3.2.3</w:t>
      </w:r>
      <w:r>
        <w:rPr>
          <w:rFonts w:hint="eastAsia" w:ascii="方正仿宋_GB2312" w:hAnsi="方正仿宋_GB2312" w:eastAsia="方正仿宋_GB2312" w:cs="方正仿宋_GB2312"/>
          <w:color w:val="auto"/>
          <w:sz w:val="32"/>
          <w:szCs w:val="32"/>
          <w:lang w:val="en-US" w:eastAsia="zh-CN"/>
        </w:rPr>
        <w:t xml:space="preserve"> </w:t>
      </w:r>
      <w:r>
        <w:rPr>
          <w:rFonts w:hint="eastAsia" w:ascii="方正仿宋_GB2312" w:hAnsi="方正仿宋_GB2312" w:eastAsia="方正仿宋_GB2312" w:cs="方正仿宋_GB2312"/>
          <w:color w:val="auto"/>
          <w:sz w:val="32"/>
          <w:szCs w:val="32"/>
        </w:rPr>
        <w:t>投标人的投标报价，应当包括完成本投标人须知前附表</w:t>
      </w:r>
      <w:r>
        <w:rPr>
          <w:rFonts w:hint="eastAsia" w:ascii="方正仿宋_GB2312" w:hAnsi="方正仿宋_GB2312" w:eastAsia="方正仿宋_GB2312" w:cs="方正仿宋_GB2312"/>
          <w:color w:val="auto"/>
          <w:sz w:val="32"/>
          <w:szCs w:val="32"/>
          <w:lang w:val="en-US" w:eastAsia="zh-CN"/>
        </w:rPr>
        <w:t>1.3.1条</w:t>
      </w:r>
      <w:r>
        <w:rPr>
          <w:rFonts w:hint="eastAsia" w:ascii="方正仿宋_GB2312" w:hAnsi="方正仿宋_GB2312" w:eastAsia="方正仿宋_GB2312" w:cs="方正仿宋_GB2312"/>
          <w:color w:val="auto"/>
          <w:sz w:val="32"/>
          <w:szCs w:val="32"/>
        </w:rPr>
        <w:t>所列工程招标范围</w:t>
      </w:r>
      <w:r>
        <w:rPr>
          <w:rFonts w:hint="eastAsia" w:ascii="方正仿宋_GB2312" w:hAnsi="方正仿宋_GB2312" w:eastAsia="方正仿宋_GB2312" w:cs="方正仿宋_GB2312"/>
          <w:color w:val="auto"/>
          <w:sz w:val="32"/>
          <w:szCs w:val="32"/>
          <w:lang w:val="en-US" w:eastAsia="zh-CN"/>
        </w:rPr>
        <w:t>和1.3.2条</w:t>
      </w:r>
      <w:r>
        <w:rPr>
          <w:rFonts w:hint="eastAsia" w:ascii="方正仿宋_GB2312" w:hAnsi="方正仿宋_GB2312" w:eastAsia="方正仿宋_GB2312" w:cs="方正仿宋_GB2312"/>
          <w:color w:val="auto"/>
          <w:sz w:val="32"/>
          <w:szCs w:val="32"/>
        </w:rPr>
        <w:t>工期及</w:t>
      </w:r>
      <w:r>
        <w:rPr>
          <w:rFonts w:hint="eastAsia" w:ascii="方正仿宋_GB2312" w:hAnsi="方正仿宋_GB2312" w:eastAsia="方正仿宋_GB2312" w:cs="方正仿宋_GB2312"/>
          <w:color w:val="auto"/>
          <w:sz w:val="32"/>
          <w:szCs w:val="32"/>
          <w:lang w:val="en-US" w:eastAsia="zh-CN"/>
        </w:rPr>
        <w:t>1.3.3条</w:t>
      </w:r>
      <w:r>
        <w:rPr>
          <w:rFonts w:hint="eastAsia" w:ascii="方正仿宋_GB2312" w:hAnsi="方正仿宋_GB2312" w:eastAsia="方正仿宋_GB2312" w:cs="方正仿宋_GB2312"/>
          <w:color w:val="auto"/>
          <w:sz w:val="32"/>
          <w:szCs w:val="32"/>
        </w:rPr>
        <w:t>质量要求的全部内容。</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3.2.4</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投标人的投标报价不得超过最高投标限价。</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3.2.5</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投标报价的其他要求见“投标人须知前附表”。</w:t>
      </w:r>
    </w:p>
    <w:p>
      <w:pPr>
        <w:pStyle w:val="4"/>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sz w:val="32"/>
          <w:szCs w:val="32"/>
        </w:rPr>
      </w:pPr>
      <w:bookmarkStart w:id="231" w:name="_Toc24870"/>
      <w:bookmarkStart w:id="232" w:name="_Toc2169"/>
      <w:bookmarkStart w:id="233" w:name="_Toc389065165"/>
      <w:bookmarkStart w:id="234" w:name="_Toc508286090"/>
      <w:bookmarkStart w:id="235" w:name="_Toc2563"/>
      <w:bookmarkStart w:id="236" w:name="_Toc31353"/>
      <w:r>
        <w:rPr>
          <w:rFonts w:hint="eastAsia" w:ascii="方正仿宋_GB2312" w:hAnsi="方正仿宋_GB2312" w:eastAsia="方正仿宋_GB2312" w:cs="方正仿宋_GB2312"/>
          <w:sz w:val="32"/>
          <w:szCs w:val="32"/>
        </w:rPr>
        <w:t>3.3 投标有效期</w:t>
      </w:r>
      <w:bookmarkEnd w:id="231"/>
      <w:bookmarkEnd w:id="232"/>
      <w:bookmarkEnd w:id="233"/>
      <w:bookmarkEnd w:id="234"/>
      <w:bookmarkEnd w:id="235"/>
      <w:bookmarkEnd w:id="236"/>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3.3.1 在投标人须知前附表规定的投标有效期内，投标人不得要求撤销或修改其投标文件。</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3.3.2 出现特殊情况需要延长投标有效期的，招标人将通知所有投标人延长投标有效期。投标人同意延长的，应相应延长其投标保证金的有效期，但不得要求或被允许修改或撤销其投标文件；投标人拒绝延长的，其投标失效，但投标人有权收回其投标保证金。</w:t>
      </w:r>
    </w:p>
    <w:p>
      <w:pPr>
        <w:pStyle w:val="4"/>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sz w:val="32"/>
          <w:szCs w:val="32"/>
        </w:rPr>
      </w:pPr>
      <w:bookmarkStart w:id="237" w:name="_Toc17125"/>
      <w:bookmarkStart w:id="238" w:name="_Toc389065166"/>
      <w:bookmarkStart w:id="239" w:name="_Toc14637"/>
      <w:bookmarkStart w:id="240" w:name="_Toc14072"/>
      <w:bookmarkStart w:id="241" w:name="_Toc508286091"/>
      <w:bookmarkStart w:id="242" w:name="_Toc429"/>
      <w:r>
        <w:rPr>
          <w:rFonts w:hint="eastAsia" w:ascii="方正仿宋_GB2312" w:hAnsi="方正仿宋_GB2312" w:eastAsia="方正仿宋_GB2312" w:cs="方正仿宋_GB2312"/>
          <w:sz w:val="32"/>
          <w:szCs w:val="32"/>
        </w:rPr>
        <w:t>3.4 投标保证金</w:t>
      </w:r>
      <w:bookmarkEnd w:id="237"/>
      <w:bookmarkEnd w:id="238"/>
      <w:bookmarkEnd w:id="239"/>
      <w:bookmarkEnd w:id="240"/>
      <w:bookmarkEnd w:id="241"/>
      <w:bookmarkEnd w:id="242"/>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3.4.1 投标人在递交投标文件的同时，应按投标人须知前附表规定的金额、担保形式和第</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八</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章“投标文件格式”规定的投标保证金格式递交</w:t>
      </w:r>
      <w:r>
        <w:rPr>
          <w:rFonts w:hint="eastAsia" w:ascii="方正仿宋_GB2312" w:hAnsi="方正仿宋_GB2312" w:eastAsia="方正仿宋_GB2312" w:cs="方正仿宋_GB2312"/>
          <w:color w:val="auto"/>
          <w:sz w:val="32"/>
          <w:szCs w:val="32"/>
          <w:highlight w:val="none"/>
        </w:rPr>
        <w:t>投标担保</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，并作为其投标文件的组成部分。</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3.4.2 投标人不按本章第3.4.1项要求提交</w:t>
      </w:r>
      <w:r>
        <w:rPr>
          <w:rFonts w:hint="eastAsia" w:ascii="方正仿宋_GB2312" w:hAnsi="方正仿宋_GB2312" w:eastAsia="方正仿宋_GB2312" w:cs="方正仿宋_GB2312"/>
          <w:color w:val="auto"/>
          <w:sz w:val="32"/>
          <w:szCs w:val="32"/>
          <w:highlight w:val="none"/>
        </w:rPr>
        <w:t>投标担保</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的，评标委员会将否决其投标。</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3.4.3 招标人与中标人签订合同后5日内，向未中标的投标人和中标人退还投标担保。</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highlight w:val="none"/>
          <w:lang w:eastAsia="zh-CN"/>
        </w:rPr>
      </w:pPr>
      <w:r>
        <w:rPr>
          <w:rFonts w:hint="eastAsia" w:ascii="方正仿宋_GB2312" w:hAnsi="方正仿宋_GB2312" w:eastAsia="方正仿宋_GB2312" w:cs="方正仿宋_GB2312"/>
          <w:color w:val="auto"/>
          <w:sz w:val="32"/>
          <w:szCs w:val="32"/>
          <w:highlight w:val="none"/>
        </w:rPr>
        <w:t>3.4.</w:t>
      </w:r>
      <w:r>
        <w:rPr>
          <w:rFonts w:hint="eastAsia" w:ascii="方正仿宋_GB2312" w:hAnsi="方正仿宋_GB2312" w:eastAsia="方正仿宋_GB2312" w:cs="方正仿宋_GB2312"/>
          <w:color w:val="auto"/>
          <w:sz w:val="32"/>
          <w:szCs w:val="32"/>
          <w:highlight w:val="none"/>
          <w:lang w:val="en-US" w:eastAsia="zh-CN"/>
        </w:rPr>
        <w:t>4</w:t>
      </w:r>
      <w:r>
        <w:rPr>
          <w:rFonts w:hint="eastAsia" w:ascii="方正仿宋_GB2312" w:hAnsi="方正仿宋_GB2312" w:eastAsia="方正仿宋_GB2312" w:cs="方正仿宋_GB2312"/>
          <w:color w:val="auto"/>
          <w:sz w:val="32"/>
          <w:szCs w:val="32"/>
          <w:highlight w:val="none"/>
        </w:rPr>
        <w:t xml:space="preserve"> 在投标截止时间前撤回已提交的投标文件的投标人的投标担保，自收到投标人书面撤回通知之日起5日内退还</w:t>
      </w:r>
      <w:r>
        <w:rPr>
          <w:rFonts w:hint="eastAsia" w:ascii="方正仿宋_GB2312" w:hAnsi="方正仿宋_GB2312" w:eastAsia="方正仿宋_GB2312" w:cs="方正仿宋_GB2312"/>
          <w:color w:val="auto"/>
          <w:sz w:val="32"/>
          <w:szCs w:val="32"/>
          <w:highlight w:val="none"/>
          <w:lang w:eastAsia="zh-CN"/>
        </w:rPr>
        <w:t>。</w:t>
      </w:r>
    </w:p>
    <w:p>
      <w:pPr>
        <w:pageBreakBefore w:val="0"/>
        <w:widowControl w:val="0"/>
        <w:kinsoku/>
        <w:wordWrap/>
        <w:overflowPunct/>
        <w:topLinePunct w:val="0"/>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3.4.</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 有下列情形之一的，投标保证金将不予退还：</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①投标人在投标有效期内撤销或修改其投标文件；</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②中标人无正当理由不与招标人订立合同；</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③中标人在签订合同时向招标人提出附加条件；</w:t>
      </w:r>
    </w:p>
    <w:p>
      <w:pPr>
        <w:pStyle w:val="42"/>
        <w:pageBreakBefore w:val="0"/>
        <w:widowControl w:val="0"/>
        <w:kinsoku/>
        <w:wordWrap/>
        <w:overflowPunct/>
        <w:topLinePunct w:val="0"/>
        <w:bidi w:val="0"/>
        <w:adjustRightInd/>
        <w:snapToGrid/>
        <w:spacing w:before="0"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④中标人不按照招标文件要求提交履约保证金的；</w:t>
      </w:r>
    </w:p>
    <w:p>
      <w:pPr>
        <w:pStyle w:val="42"/>
        <w:pageBreakBefore w:val="0"/>
        <w:widowControl w:val="0"/>
        <w:kinsoku/>
        <w:wordWrap/>
        <w:overflowPunct/>
        <w:topLinePunct w:val="0"/>
        <w:bidi w:val="0"/>
        <w:adjustRightInd/>
        <w:snapToGrid/>
        <w:spacing w:before="0"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⑤投标人采用不正当手段骗取中标的。</w:t>
      </w:r>
    </w:p>
    <w:p>
      <w:pPr>
        <w:pStyle w:val="4"/>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sz w:val="32"/>
          <w:szCs w:val="32"/>
        </w:rPr>
      </w:pPr>
      <w:bookmarkStart w:id="243" w:name="_Toc14472"/>
      <w:bookmarkStart w:id="244" w:name="_Toc6713"/>
      <w:bookmarkStart w:id="245" w:name="_Toc22713"/>
      <w:bookmarkStart w:id="246" w:name="_Toc389065167"/>
      <w:bookmarkStart w:id="247" w:name="_Toc25508"/>
      <w:bookmarkStart w:id="248" w:name="_Toc508286092"/>
      <w:r>
        <w:rPr>
          <w:rFonts w:hint="eastAsia" w:ascii="方正仿宋_GB2312" w:hAnsi="方正仿宋_GB2312" w:eastAsia="方正仿宋_GB2312" w:cs="方正仿宋_GB2312"/>
          <w:sz w:val="32"/>
          <w:szCs w:val="32"/>
        </w:rPr>
        <w:t>3.5 资格审查资料</w:t>
      </w:r>
      <w:bookmarkEnd w:id="243"/>
      <w:bookmarkEnd w:id="244"/>
      <w:bookmarkEnd w:id="245"/>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采用资格预审方式的，投标人在编制投标文件时，应按项目情况更新或补充其在申请资格预审时提供的资料，以证实其各项资格条件仍能继续满足资格预审文件的要求，具备承担本招标项目的资质条件、能力和信誉。</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采用资格后审方式的，按照本须知第1.4.1项的规定提交资格审查资料，具体要求详见第</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八</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章“投标文件格式”。</w:t>
      </w:r>
    </w:p>
    <w:p>
      <w:pPr>
        <w:pStyle w:val="4"/>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sz w:val="32"/>
          <w:szCs w:val="32"/>
        </w:rPr>
      </w:pPr>
      <w:bookmarkStart w:id="249" w:name="_Toc23373"/>
      <w:bookmarkStart w:id="250" w:name="_Toc28828"/>
      <w:bookmarkStart w:id="251" w:name="_Toc8134"/>
      <w:r>
        <w:rPr>
          <w:rFonts w:hint="eastAsia" w:ascii="方正仿宋_GB2312" w:hAnsi="方正仿宋_GB2312" w:eastAsia="方正仿宋_GB2312" w:cs="方正仿宋_GB2312"/>
          <w:sz w:val="32"/>
          <w:szCs w:val="32"/>
        </w:rPr>
        <w:t>3.6</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备选投标方案</w:t>
      </w:r>
      <w:bookmarkEnd w:id="246"/>
      <w:bookmarkEnd w:id="247"/>
      <w:bookmarkEnd w:id="248"/>
      <w:bookmarkEnd w:id="249"/>
      <w:bookmarkEnd w:id="250"/>
      <w:bookmarkEnd w:id="251"/>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4"/>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sz w:val="32"/>
          <w:szCs w:val="32"/>
        </w:rPr>
      </w:pPr>
      <w:bookmarkStart w:id="252" w:name="_Toc389065168"/>
      <w:bookmarkStart w:id="253" w:name="_Toc3416"/>
      <w:bookmarkStart w:id="254" w:name="_Toc13086"/>
      <w:bookmarkStart w:id="255" w:name="_Toc11349"/>
      <w:bookmarkStart w:id="256" w:name="_Toc30748"/>
      <w:bookmarkStart w:id="257" w:name="_Toc508286094"/>
      <w:r>
        <w:rPr>
          <w:rFonts w:hint="eastAsia" w:ascii="方正仿宋_GB2312" w:hAnsi="方正仿宋_GB2312" w:eastAsia="方正仿宋_GB2312" w:cs="方正仿宋_GB2312"/>
          <w:sz w:val="32"/>
          <w:szCs w:val="32"/>
        </w:rPr>
        <w:t>3.7 投标文件的编制</w:t>
      </w:r>
      <w:bookmarkEnd w:id="252"/>
      <w:bookmarkEnd w:id="253"/>
      <w:bookmarkEnd w:id="254"/>
      <w:bookmarkEnd w:id="255"/>
      <w:bookmarkEnd w:id="256"/>
      <w:bookmarkEnd w:id="257"/>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3.7.1 投标文件应按第八章“投标文件格式”进行编写，如有必要可自行增加，作为投标文件的组成部分。其中，投标函附录在满足招标文件实质性要求的基础上，可以提出比招标文件要求更有利于招标人的承诺。</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3.7.2投标文件应当对招标文件有关工期、投标有效期、质量要求、技术标准和要求、招标范围等实质性内容作出响应。</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3.7.3 投标文件全部采用电子文档，除投标人须知前附表另有规定外，投标文件所附证书证件均为原件扫描件，并采用单位和个人数字证书，按招标文件要求在相应位置加盖电子印章。由投标人的法定代表人签字或加盖电子印章的，投标文件应附法定代表人身份证明，由委托代理人签字或加盖电子印章的，投标文件应附法定代表人签署的授权委托书。</w:t>
      </w:r>
    </w:p>
    <w:p>
      <w:pPr>
        <w:pStyle w:val="4"/>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sz w:val="32"/>
          <w:szCs w:val="32"/>
          <w:highlight w:val="none"/>
        </w:rPr>
      </w:pPr>
      <w:bookmarkStart w:id="258" w:name="_Toc19705"/>
      <w:bookmarkStart w:id="259" w:name="_Toc29075"/>
      <w:bookmarkStart w:id="260" w:name="_Toc129"/>
      <w:bookmarkStart w:id="261" w:name="_Toc3924"/>
      <w:r>
        <w:rPr>
          <w:rFonts w:hint="eastAsia" w:ascii="方正仿宋_GB2312" w:hAnsi="方正仿宋_GB2312" w:eastAsia="方正仿宋_GB2312" w:cs="方正仿宋_GB2312"/>
          <w:sz w:val="32"/>
          <w:szCs w:val="32"/>
          <w:highlight w:val="none"/>
        </w:rPr>
        <w:t>3.8 投标文件编制要求</w:t>
      </w:r>
      <w:bookmarkEnd w:id="258"/>
      <w:bookmarkEnd w:id="259"/>
      <w:bookmarkEnd w:id="260"/>
      <w:bookmarkEnd w:id="261"/>
    </w:p>
    <w:p>
      <w:pPr>
        <w:pageBreakBefore w:val="0"/>
        <w:widowControl w:val="0"/>
        <w:kinsoku/>
        <w:wordWrap/>
        <w:overflowPunct/>
        <w:topLinePunct w:val="0"/>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3.8.1投标文件字体要求</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3.8.1.1 投标文件商务标、技术标、经济标所采用的字体，以能够供评委识别看清为准。</w:t>
      </w:r>
      <w:bookmarkStart w:id="262" w:name="_Hlk40073706"/>
      <w:bookmarkStart w:id="263" w:name="_Hlk54580589"/>
      <w:bookmarkStart w:id="264" w:name="_Hlk40073638"/>
      <w:bookmarkStart w:id="265" w:name="_Hlk40073639"/>
      <w:bookmarkStart w:id="266" w:name="_Hlk40073708"/>
      <w:bookmarkStart w:id="267" w:name="_Hlk40073707"/>
      <w:bookmarkStart w:id="268" w:name="_Hlk54580588"/>
      <w:bookmarkStart w:id="269" w:name="_Hlk54580590"/>
      <w:bookmarkStart w:id="270" w:name="_Hlk40073640"/>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3.8.1.2</w:t>
      </w:r>
      <w:bookmarkEnd w:id="262"/>
      <w:bookmarkEnd w:id="263"/>
      <w:bookmarkEnd w:id="264"/>
      <w:bookmarkEnd w:id="265"/>
      <w:bookmarkEnd w:id="266"/>
      <w:bookmarkEnd w:id="267"/>
      <w:bookmarkEnd w:id="268"/>
      <w:bookmarkEnd w:id="269"/>
      <w:bookmarkEnd w:id="270"/>
      <w:r>
        <w:rPr>
          <w:rFonts w:hint="eastAsia" w:ascii="方正仿宋_GB2312" w:hAnsi="方正仿宋_GB2312" w:eastAsia="方正仿宋_GB2312" w:cs="方正仿宋_GB2312"/>
          <w:color w:val="auto"/>
          <w:sz w:val="32"/>
          <w:szCs w:val="32"/>
          <w:highlight w:val="none"/>
        </w:rPr>
        <w:t xml:space="preserve"> 技术标</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lang w:val="en-US" w:eastAsia="zh-CN"/>
        </w:rPr>
        <w:t>暗标</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rPr>
        <w:t>不得出现投标人名称或者任何能引起判断出投标人名称的内容。</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auto"/>
          <w:sz w:val="32"/>
          <w:szCs w:val="32"/>
          <w:highlight w:val="none"/>
        </w:rPr>
        <w:t>3.8.2 技术标</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lang w:val="en-US" w:eastAsia="zh-CN"/>
        </w:rPr>
        <w:t>暗标</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rPr>
        <w:t>排版要求 ：宋体字体，常规字形，字体颜色为黑色,不得有任何修饰；五号字；字间距为标准</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rPr>
        <w:t>字体位置为标准，行间距为单倍行距，段前及段后间距均为0行；上、下、左、右页边距均为2.5厘米；不允许出现页眉、页脚、目录及页码标示；</w:t>
      </w:r>
      <w:r>
        <w:rPr>
          <w:rFonts w:hint="eastAsia" w:ascii="方正仿宋_GB2312" w:hAnsi="方正仿宋_GB2312" w:eastAsia="方正仿宋_GB2312" w:cs="方正仿宋_GB2312"/>
          <w:color w:val="auto"/>
          <w:sz w:val="32"/>
          <w:szCs w:val="32"/>
          <w:highlight w:val="none"/>
          <w:lang w:val="en-US" w:eastAsia="zh-CN"/>
        </w:rPr>
        <w:t>施工平面布置图、施工进度计划横道图或施工进度计划网络</w:t>
      </w:r>
      <w:r>
        <w:rPr>
          <w:rFonts w:hint="eastAsia" w:ascii="方正仿宋_GB2312" w:hAnsi="方正仿宋_GB2312" w:eastAsia="方正仿宋_GB2312" w:cs="方正仿宋_GB2312"/>
          <w:color w:val="auto"/>
          <w:sz w:val="32"/>
          <w:szCs w:val="32"/>
          <w:highlight w:val="none"/>
        </w:rPr>
        <w:t>图表中字体颜色为黑色</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rPr>
        <w:t>宋体字体，常规字形，不得有任何修饰，以清晰为准。不得出现投标人名称或者任何能引起判断出投标人名称的内容。</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3.8.3经济标总说明应按照技术标排版要求执行，不得出现投标人名称或者任何能引起判断出投标人名称的内容。</w:t>
      </w:r>
    </w:p>
    <w:p>
      <w:pPr>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pPr>
      <w:bookmarkStart w:id="271" w:name="_Toc7867"/>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3.</w:t>
      </w:r>
      <w:r>
        <w:rPr>
          <w:rFonts w:hint="eastAsia" w:ascii="方正仿宋_GB2312" w:hAnsi="方正仿宋_GB2312" w:eastAsia="方正仿宋_GB2312" w:cs="方正仿宋_GB2312"/>
          <w:b/>
          <w:bCs/>
          <w:color w:val="000000" w:themeColor="text1"/>
          <w:sz w:val="32"/>
          <w:szCs w:val="32"/>
          <w:highlight w:val="none"/>
          <w:lang w:val="en-US" w:eastAsia="zh-CN"/>
          <w14:textFill>
            <w14:solidFill>
              <w14:schemeClr w14:val="tx1"/>
            </w14:solidFill>
          </w14:textFill>
        </w:rPr>
        <w:t>9</w:t>
      </w:r>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 xml:space="preserve"> 投标文件封面要求</w:t>
      </w:r>
      <w:bookmarkEnd w:id="271"/>
    </w:p>
    <w:p>
      <w:pPr>
        <w:pageBreakBefore w:val="0"/>
        <w:widowControl w:val="0"/>
        <w:kinsoku/>
        <w:wordWrap/>
        <w:overflowPunct/>
        <w:topLinePunct w:val="0"/>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9</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.1  </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投标函</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封面须按招标文件规定格式编制。</w:t>
      </w:r>
    </w:p>
    <w:p>
      <w:pPr>
        <w:pageBreakBefore w:val="0"/>
        <w:widowControl w:val="0"/>
        <w:kinsoku/>
        <w:wordWrap/>
        <w:overflowPunct/>
        <w:topLinePunct w:val="0"/>
        <w:bidi w:val="0"/>
        <w:adjustRightInd/>
        <w:snapToGrid/>
        <w:spacing w:line="440" w:lineRule="exact"/>
        <w:ind w:firstLine="640" w:firstLineChars="200"/>
        <w:textAlignment w:val="auto"/>
        <w:rPr>
          <w:rFonts w:hint="default" w:ascii="方正仿宋_GB2312" w:hAnsi="方正仿宋_GB2312" w:eastAsia="方正仿宋_GB2312" w:cs="方正仿宋_GB2312"/>
          <w:color w:val="000000" w:themeColor="text1"/>
          <w:sz w:val="32"/>
          <w:szCs w:val="32"/>
          <w:highlight w:val="none"/>
          <w:lang w:val="en-US"/>
          <w14:textFill>
            <w14:solidFill>
              <w14:schemeClr w14:val="tx1"/>
            </w14:solidFill>
          </w14:textFill>
        </w:rPr>
      </w:pPr>
      <w:bookmarkStart w:id="272" w:name="_Hlk40073737"/>
      <w:bookmarkStart w:id="273" w:name="_Hlk40073735"/>
      <w:bookmarkStart w:id="274" w:name="_Hlk54580617"/>
      <w:bookmarkStart w:id="275" w:name="_Hlk40073736"/>
      <w:bookmarkStart w:id="276" w:name="_Hlk54580619"/>
      <w:bookmarkStart w:id="277" w:name="_Hlk54580618"/>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9</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.2</w:t>
      </w:r>
      <w:bookmarkEnd w:id="272"/>
      <w:bookmarkEnd w:id="273"/>
      <w:bookmarkEnd w:id="274"/>
      <w:bookmarkEnd w:id="275"/>
      <w:bookmarkEnd w:id="276"/>
      <w:bookmarkEnd w:id="277"/>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技术标、经济标封面必须采用空白白色A4打印纸为封面</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w:t>
      </w:r>
    </w:p>
    <w:p>
      <w:pPr>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pPr>
      <w:bookmarkStart w:id="278" w:name="_Toc28397"/>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3.1</w:t>
      </w:r>
      <w:r>
        <w:rPr>
          <w:rFonts w:hint="eastAsia" w:ascii="方正仿宋_GB2312" w:hAnsi="方正仿宋_GB2312" w:eastAsia="方正仿宋_GB2312" w:cs="方正仿宋_GB2312"/>
          <w:b/>
          <w:bCs/>
          <w:color w:val="000000" w:themeColor="text1"/>
          <w:sz w:val="32"/>
          <w:szCs w:val="32"/>
          <w:highlight w:val="none"/>
          <w:lang w:val="en-US" w:eastAsia="zh-CN"/>
          <w14:textFill>
            <w14:solidFill>
              <w14:schemeClr w14:val="tx1"/>
            </w14:solidFill>
          </w14:textFill>
        </w:rPr>
        <w:t>0</w:t>
      </w:r>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 xml:space="preserve"> 投标文件目录要求</w:t>
      </w:r>
      <w:bookmarkEnd w:id="278"/>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3.1</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0</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.1为便于评审，</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投标函</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、技术标、经济标目录宜按本招标文件相关内容先后顺序编排。</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bookmarkStart w:id="279" w:name="_Hlk54580662"/>
      <w:bookmarkStart w:id="280" w:name="_Hlk54580695"/>
      <w:bookmarkStart w:id="281" w:name="_Hlk54580693"/>
      <w:bookmarkStart w:id="282" w:name="_Hlk54580694"/>
      <w:bookmarkStart w:id="283" w:name="_Hlk54580661"/>
      <w:bookmarkStart w:id="284" w:name="_Hlk54580663"/>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3.1</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0</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.2</w:t>
      </w:r>
      <w:bookmarkEnd w:id="279"/>
      <w:bookmarkEnd w:id="280"/>
      <w:bookmarkEnd w:id="281"/>
      <w:bookmarkEnd w:id="282"/>
      <w:bookmarkEnd w:id="283"/>
      <w:bookmarkEnd w:id="284"/>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投标文件技术标</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暗标</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中不得出现页眉、页脚、目录及页码标示。</w:t>
      </w:r>
    </w:p>
    <w:p>
      <w:pPr>
        <w:pageBreakBefore w:val="0"/>
        <w:widowControl w:val="0"/>
        <w:kinsoku/>
        <w:wordWrap/>
        <w:overflowPunct/>
        <w:topLinePunct w:val="0"/>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pPr>
      <w:bookmarkStart w:id="285" w:name="_Toc1994"/>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3.1</w:t>
      </w:r>
      <w:r>
        <w:rPr>
          <w:rFonts w:hint="eastAsia" w:ascii="方正仿宋_GB2312" w:hAnsi="方正仿宋_GB2312" w:eastAsia="方正仿宋_GB2312" w:cs="方正仿宋_GB2312"/>
          <w:b/>
          <w:bCs/>
          <w:color w:val="000000" w:themeColor="text1"/>
          <w:sz w:val="32"/>
          <w:szCs w:val="32"/>
          <w:highlight w:val="none"/>
          <w:lang w:val="en-US" w:eastAsia="zh-CN"/>
          <w14:textFill>
            <w14:solidFill>
              <w14:schemeClr w14:val="tx1"/>
            </w14:solidFill>
          </w14:textFill>
        </w:rPr>
        <w:t>1</w:t>
      </w:r>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 xml:space="preserve"> 投标文件的份数和签署</w:t>
      </w:r>
      <w:bookmarkEnd w:id="285"/>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FF0000"/>
          <w:sz w:val="32"/>
          <w:szCs w:val="32"/>
          <w:highlight w:val="none"/>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3.1</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.1 投标人应按投标人须知前附表第3.1.1项规定，编制投标文件</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正本</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和“副本”份数，副本可为正本的复印件。采用电子招</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标</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投标</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方式</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的除外。</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yellow"/>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3.1</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.2 </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投标函</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封面凡是要求盖投标人章、法定代表人或委托代理人签字或盖章处，投标人必须盖章</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或签字</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采用电子招标投标方式的，投标人必须加盖电子印章。</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3.1</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 投标文件技术标</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暗标</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和经济标封面、正文不得加盖任何反映投标人身份的章。</w:t>
      </w:r>
    </w:p>
    <w:p>
      <w:pPr>
        <w:pageBreakBefore w:val="0"/>
        <w:widowControl w:val="0"/>
        <w:kinsoku/>
        <w:wordWrap/>
        <w:overflowPunct/>
        <w:topLinePunct w:val="0"/>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3.1</w:t>
      </w:r>
      <w:r>
        <w:rPr>
          <w:rFonts w:hint="eastAsia" w:ascii="方正仿宋_GB2312" w:hAnsi="方正仿宋_GB2312" w:eastAsia="方正仿宋_GB2312" w:cs="方正仿宋_GB2312"/>
          <w:color w:val="auto"/>
          <w:sz w:val="32"/>
          <w:szCs w:val="32"/>
          <w:highlight w:val="none"/>
          <w:lang w:val="en-US" w:eastAsia="zh-CN"/>
        </w:rPr>
        <w:t>1.4</w:t>
      </w:r>
      <w:r>
        <w:rPr>
          <w:rFonts w:hint="eastAsia" w:ascii="方正仿宋_GB2312" w:hAnsi="方正仿宋_GB2312" w:eastAsia="方正仿宋_GB2312" w:cs="方正仿宋_GB2312"/>
          <w:color w:val="auto"/>
          <w:sz w:val="32"/>
          <w:szCs w:val="32"/>
          <w:highlight w:val="none"/>
        </w:rPr>
        <w:t xml:space="preserve"> 投标文件正本和副本如有不一致之处，以正本为准</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lang w:val="en-US" w:eastAsia="zh-CN"/>
        </w:rPr>
        <w:t>采用电子招标投标方式的</w:t>
      </w:r>
      <w:r>
        <w:rPr>
          <w:rFonts w:hint="eastAsia" w:ascii="方正仿宋_GB2312" w:hAnsi="方正仿宋_GB2312" w:eastAsia="方正仿宋_GB2312" w:cs="方正仿宋_GB2312"/>
          <w:color w:val="auto"/>
          <w:sz w:val="32"/>
          <w:szCs w:val="32"/>
          <w:highlight w:val="none"/>
        </w:rPr>
        <w:t>除外</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rPr>
        <w:t>。</w:t>
      </w:r>
    </w:p>
    <w:p>
      <w:pPr>
        <w:pageBreakBefore w:val="0"/>
        <w:widowControl w:val="0"/>
        <w:kinsoku/>
        <w:wordWrap/>
        <w:overflowPunct/>
        <w:topLinePunct w:val="0"/>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w:t>
      </w:r>
      <w:r>
        <w:rPr>
          <w:rFonts w:hint="eastAsia" w:ascii="方正仿宋_GB2312" w:hAnsi="方正仿宋_GB2312" w:eastAsia="方正仿宋_GB2312" w:cs="方正仿宋_GB2312"/>
          <w:color w:val="auto"/>
          <w:sz w:val="32"/>
          <w:szCs w:val="32"/>
          <w:highlight w:val="none"/>
        </w:rPr>
        <w:t>1</w:t>
      </w:r>
      <w:r>
        <w:rPr>
          <w:rFonts w:hint="eastAsia" w:ascii="方正仿宋_GB2312" w:hAnsi="方正仿宋_GB2312" w:eastAsia="方正仿宋_GB2312" w:cs="方正仿宋_GB2312"/>
          <w:color w:val="auto"/>
          <w:sz w:val="32"/>
          <w:szCs w:val="32"/>
          <w:highlight w:val="none"/>
          <w:lang w:val="en-US" w:eastAsia="zh-CN"/>
        </w:rPr>
        <w:t>1.5</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全套投标文件应无涂改和行间插字，除非这些删改是根据招标人的指示进行的，或者是投标人造成的必须修改的错误。修改处应加有法定代表人或委托代理人签字或盖章。但投标文件技术标严禁涂改和行间插字</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lang w:val="en-US" w:eastAsia="zh-CN"/>
        </w:rPr>
        <w:t>采用电子招标投标方式的</w:t>
      </w:r>
      <w:r>
        <w:rPr>
          <w:rFonts w:hint="eastAsia" w:ascii="方正仿宋_GB2312" w:hAnsi="方正仿宋_GB2312" w:eastAsia="方正仿宋_GB2312" w:cs="方正仿宋_GB2312"/>
          <w:color w:val="auto"/>
          <w:sz w:val="32"/>
          <w:szCs w:val="32"/>
          <w:highlight w:val="none"/>
        </w:rPr>
        <w:t>除外</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rPr>
        <w:t>。</w:t>
      </w:r>
    </w:p>
    <w:p>
      <w:pPr>
        <w:pageBreakBefore w:val="0"/>
        <w:kinsoku/>
        <w:bidi w:val="0"/>
        <w:spacing w:line="440" w:lineRule="exact"/>
        <w:ind w:firstLine="0" w:firstLineChars="0"/>
        <w:outlineLvl w:val="1"/>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pPr>
      <w:bookmarkStart w:id="286" w:name="_Toc508286095"/>
      <w:bookmarkStart w:id="287" w:name="_Toc16997"/>
      <w:bookmarkStart w:id="288" w:name="_Toc389065169"/>
      <w:bookmarkStart w:id="289" w:name="_Toc12166"/>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4 投标</w:t>
      </w:r>
      <w:bookmarkEnd w:id="286"/>
      <w:bookmarkEnd w:id="287"/>
      <w:bookmarkEnd w:id="288"/>
      <w:bookmarkEnd w:id="289"/>
    </w:p>
    <w:p>
      <w:pPr>
        <w:pageBreakBefore w:val="0"/>
        <w:kinsoku/>
        <w:wordWrap/>
        <w:overflowPunct/>
        <w:topLinePunct w:val="0"/>
        <w:autoSpaceDE/>
        <w:autoSpaceDN/>
        <w:bidi w:val="0"/>
        <w:adjustRightInd/>
        <w:snapToGrid/>
        <w:spacing w:line="440" w:lineRule="exact"/>
        <w:ind w:firstLine="643" w:firstLineChars="200"/>
        <w:textAlignment w:val="auto"/>
        <w:outlineLvl w:val="2"/>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pPr>
      <w:bookmarkStart w:id="290" w:name="_Toc508286096"/>
      <w:bookmarkStart w:id="291" w:name="_Toc389065170"/>
      <w:bookmarkStart w:id="292" w:name="_Toc3678"/>
      <w:bookmarkStart w:id="293" w:name="_Toc30023"/>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 xml:space="preserve">4.1 </w:t>
      </w:r>
      <w:bookmarkEnd w:id="290"/>
      <w:bookmarkEnd w:id="291"/>
      <w:r>
        <w:rPr>
          <w:rFonts w:hint="eastAsia" w:ascii="方正仿宋_GB2312" w:hAnsi="方正仿宋_GB2312" w:eastAsia="方正仿宋_GB2312" w:cs="方正仿宋_GB2312"/>
          <w:b/>
          <w:bCs/>
          <w:color w:val="000000" w:themeColor="text1"/>
          <w:sz w:val="32"/>
          <w:szCs w:val="32"/>
          <w:highlight w:val="none"/>
          <w14:textFill>
            <w14:solidFill>
              <w14:schemeClr w14:val="tx1"/>
            </w14:solidFill>
          </w14:textFill>
        </w:rPr>
        <w:t>投标文件的密封和标记</w:t>
      </w:r>
      <w:bookmarkEnd w:id="292"/>
      <w:bookmarkEnd w:id="293"/>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pPr>
      <w:bookmarkStart w:id="294" w:name="_Toc18367"/>
      <w:bookmarkStart w:id="295" w:name="_Toc29397"/>
      <w:bookmarkStart w:id="296" w:name="_Toc1577"/>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4.1.1 采用</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非</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电子招</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标</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投标</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方式</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的，投标文件应进行包装、加贴封条，并在封套的封口处加盖投标人单位章。</w:t>
      </w:r>
      <w:bookmarkEnd w:id="294"/>
      <w:bookmarkEnd w:id="295"/>
      <w:bookmarkEnd w:id="296"/>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采用电子招</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标</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投标</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方式</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的，投标文件应当加密。</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pPr>
      <w:bookmarkStart w:id="297" w:name="_Toc19654"/>
      <w:bookmarkStart w:id="298" w:name="_Toc18228"/>
      <w:bookmarkStart w:id="299" w:name="_Toc32558"/>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4.1.2 采用</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非</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电子招</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标</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投标</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方式</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的，投标文件封套上应写明的内容见投标人须知前附表。</w:t>
      </w:r>
      <w:bookmarkEnd w:id="297"/>
      <w:bookmarkEnd w:id="298"/>
      <w:bookmarkEnd w:id="299"/>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采用电子招</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标</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投标</w:t>
      </w:r>
      <w:r>
        <w:rPr>
          <w:rFonts w:hint="eastAsia" w:ascii="方正仿宋_GB2312" w:hAnsi="方正仿宋_GB2312" w:eastAsia="方正仿宋_GB2312" w:cs="方正仿宋_GB2312"/>
          <w:b w:val="0"/>
          <w:bCs w:val="0"/>
          <w:color w:val="000000" w:themeColor="text1"/>
          <w:sz w:val="32"/>
          <w:szCs w:val="32"/>
          <w:highlight w:val="none"/>
          <w:lang w:val="en-US" w:eastAsia="zh-CN"/>
          <w14:textFill>
            <w14:solidFill>
              <w14:schemeClr w14:val="tx1"/>
            </w14:solidFill>
          </w14:textFill>
        </w:rPr>
        <w:t>方式</w:t>
      </w:r>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的，电子投标文件要求见投标人须知前附表。</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pPr>
      <w:bookmarkStart w:id="300" w:name="_Toc3455"/>
      <w:bookmarkStart w:id="301" w:name="_Toc11592"/>
      <w:bookmarkStart w:id="302" w:name="_Toc20675"/>
      <w:r>
        <w:rPr>
          <w:rFonts w:hint="eastAsia" w:ascii="方正仿宋_GB2312" w:hAnsi="方正仿宋_GB2312" w:eastAsia="方正仿宋_GB2312" w:cs="方正仿宋_GB2312"/>
          <w:b w:val="0"/>
          <w:bCs w:val="0"/>
          <w:color w:val="000000" w:themeColor="text1"/>
          <w:sz w:val="32"/>
          <w:szCs w:val="32"/>
          <w:highlight w:val="none"/>
          <w14:textFill>
            <w14:solidFill>
              <w14:schemeClr w14:val="tx1"/>
            </w14:solidFill>
          </w14:textFill>
        </w:rPr>
        <w:t>4.1.3 未按本章第4.1.1项或第4.1.2项要求密封、加写标记或加密的投标文件，招标人不予受理。</w:t>
      </w:r>
      <w:bookmarkEnd w:id="300"/>
      <w:bookmarkEnd w:id="301"/>
      <w:bookmarkEnd w:id="302"/>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03" w:name="_Toc5223"/>
      <w:bookmarkStart w:id="304" w:name="_Toc28406"/>
      <w:bookmarkStart w:id="305" w:name="_Toc29016"/>
      <w:bookmarkStart w:id="306" w:name="_Toc6002"/>
      <w:r>
        <w:rPr>
          <w:rFonts w:hint="eastAsia" w:ascii="方正仿宋_GB2312" w:hAnsi="方正仿宋_GB2312" w:eastAsia="方正仿宋_GB2312" w:cs="方正仿宋_GB2312"/>
          <w:sz w:val="32"/>
          <w:szCs w:val="32"/>
        </w:rPr>
        <w:t>4.2投标文件的递交</w:t>
      </w:r>
      <w:bookmarkEnd w:id="303"/>
      <w:bookmarkEnd w:id="304"/>
      <w:bookmarkEnd w:id="305"/>
      <w:bookmarkEnd w:id="306"/>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307" w:name="_Toc389065171"/>
      <w:bookmarkStart w:id="308" w:name="_Toc508286097"/>
      <w:r>
        <w:rPr>
          <w:rFonts w:hint="eastAsia" w:ascii="方正仿宋_GB2312" w:hAnsi="方正仿宋_GB2312" w:eastAsia="方正仿宋_GB2312" w:cs="方正仿宋_GB2312"/>
          <w:color w:val="000000" w:themeColor="text1"/>
          <w:sz w:val="32"/>
          <w:szCs w:val="32"/>
          <w14:textFill>
            <w14:solidFill>
              <w14:schemeClr w14:val="tx1"/>
            </w14:solidFill>
          </w14:textFill>
        </w:rPr>
        <w:t>4.2.1投标人必须按投标人须知前附表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第2.2.2项</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规定</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的投标截止时间前</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将投标文件递交至指定开标地点</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或</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（电子招标投标交易平台及地址）</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逾期递交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的投标文件，</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将予以拒收</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4.2.2 除投标人须知前附表另有规定外，投标人所递交的投标文件不予退还。</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4.2.</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3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招标人事先约定延长投标截止时间的，招标人与投标人以前的投标截止期方面的全部权利、责任和义务，将适用延长至新的投标截止期。</w:t>
      </w:r>
    </w:p>
    <w:bookmarkEnd w:id="307"/>
    <w:bookmarkEnd w:id="308"/>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09" w:name="_Toc389065172"/>
      <w:bookmarkStart w:id="310" w:name="_Toc508286098"/>
      <w:bookmarkStart w:id="311" w:name="_Toc19065"/>
      <w:bookmarkStart w:id="312" w:name="_Toc29730"/>
      <w:bookmarkStart w:id="313" w:name="_Toc18580"/>
      <w:bookmarkStart w:id="314" w:name="_Toc4408"/>
      <w:r>
        <w:rPr>
          <w:rFonts w:hint="eastAsia" w:ascii="方正仿宋_GB2312" w:hAnsi="方正仿宋_GB2312" w:eastAsia="方正仿宋_GB2312" w:cs="方正仿宋_GB2312"/>
          <w:sz w:val="32"/>
          <w:szCs w:val="32"/>
        </w:rPr>
        <w:t>4.3 投标文件的修改与撤回</w:t>
      </w:r>
      <w:bookmarkEnd w:id="309"/>
      <w:bookmarkEnd w:id="310"/>
      <w:bookmarkEnd w:id="311"/>
      <w:bookmarkEnd w:id="312"/>
      <w:bookmarkEnd w:id="313"/>
      <w:bookmarkEnd w:id="314"/>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在投标人须知前附表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第2.2.2项</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规定的投标截止时间前，投标人可以修改或撤回</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已递交的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投标文件。</w:t>
      </w:r>
    </w:p>
    <w:p>
      <w:pPr>
        <w:pStyle w:val="3"/>
        <w:pageBreakBefore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32"/>
          <w:szCs w:val="32"/>
        </w:rPr>
      </w:pPr>
      <w:bookmarkStart w:id="315" w:name="_Toc1609"/>
      <w:bookmarkStart w:id="316" w:name="_Toc24706"/>
      <w:bookmarkStart w:id="317" w:name="_Toc389065173"/>
      <w:bookmarkStart w:id="318" w:name="_Toc23703"/>
      <w:bookmarkStart w:id="319" w:name="_Toc28980"/>
      <w:bookmarkStart w:id="320" w:name="_Toc508286099"/>
      <w:r>
        <w:rPr>
          <w:rFonts w:hint="eastAsia" w:ascii="方正仿宋_GB2312" w:hAnsi="方正仿宋_GB2312" w:eastAsia="方正仿宋_GB2312" w:cs="方正仿宋_GB2312"/>
          <w:sz w:val="32"/>
          <w:szCs w:val="32"/>
        </w:rPr>
        <w:t>5 开标</w:t>
      </w:r>
      <w:bookmarkEnd w:id="315"/>
      <w:bookmarkEnd w:id="316"/>
      <w:bookmarkEnd w:id="317"/>
      <w:bookmarkEnd w:id="318"/>
      <w:bookmarkEnd w:id="319"/>
      <w:bookmarkEnd w:id="320"/>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21" w:name="_Toc6984"/>
      <w:bookmarkStart w:id="322" w:name="_Toc15988"/>
      <w:bookmarkStart w:id="323" w:name="_Toc508286100"/>
      <w:bookmarkStart w:id="324" w:name="_Toc20965"/>
      <w:bookmarkStart w:id="325" w:name="_Toc389065174"/>
      <w:bookmarkStart w:id="326" w:name="_Toc6081"/>
      <w:r>
        <w:rPr>
          <w:rFonts w:hint="eastAsia" w:ascii="方正仿宋_GB2312" w:hAnsi="方正仿宋_GB2312" w:eastAsia="方正仿宋_GB2312" w:cs="方正仿宋_GB2312"/>
          <w:sz w:val="32"/>
          <w:szCs w:val="32"/>
        </w:rPr>
        <w:t>5.1 开标时间、地点</w:t>
      </w:r>
      <w:bookmarkEnd w:id="321"/>
      <w:bookmarkEnd w:id="322"/>
      <w:bookmarkEnd w:id="323"/>
      <w:bookmarkEnd w:id="324"/>
      <w:bookmarkEnd w:id="325"/>
      <w:bookmarkEnd w:id="326"/>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5.1.1 采用电子招标投标方式的，为不见面开标，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招标人</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应</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在投标人须知前附表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第5.1项</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规定的时间</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通过</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（电子招标投标交易平台名称及地址）</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准时在线参加开标。</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5.1.1 采用非电子招标投标方式的，开标地点：</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27" w:name="_Toc13327"/>
      <w:bookmarkStart w:id="328" w:name="_Toc22727"/>
      <w:bookmarkStart w:id="329" w:name="_Toc508286101"/>
      <w:bookmarkStart w:id="330" w:name="_Toc389065175"/>
      <w:bookmarkStart w:id="331" w:name="_Toc1362"/>
      <w:bookmarkStart w:id="332" w:name="_Toc28827"/>
      <w:r>
        <w:rPr>
          <w:rFonts w:hint="eastAsia" w:ascii="方正仿宋_GB2312" w:hAnsi="方正仿宋_GB2312" w:eastAsia="方正仿宋_GB2312" w:cs="方正仿宋_GB2312"/>
          <w:sz w:val="32"/>
          <w:szCs w:val="32"/>
        </w:rPr>
        <w:t>5.2 开标程序</w:t>
      </w:r>
      <w:bookmarkEnd w:id="327"/>
      <w:bookmarkEnd w:id="328"/>
      <w:bookmarkEnd w:id="329"/>
      <w:bookmarkEnd w:id="330"/>
      <w:bookmarkEnd w:id="331"/>
      <w:bookmarkEnd w:id="332"/>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bookmarkStart w:id="333" w:name="_Toc389065176"/>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5.2.1 </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招标人按下列程序进行开标：</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宣布开标纪律；</w:t>
      </w:r>
    </w:p>
    <w:p>
      <w:pPr>
        <w:pStyle w:val="133"/>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sz w:val="32"/>
          <w:szCs w:val="32"/>
        </w:rPr>
        <w:t>公布在投标截止时间前递交投标文件的投标人名称；</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公布开标人、监督人等有关人员姓名；</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公布投标人名单；</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334" w:name="_Toc508286102"/>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由投标人代表按照按照投标人须知前附表规定检查投标文件的密封情况</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采取电子招标投标的除外</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6</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按照投标人须知前附表的规定确定并宣布投标文件开标顺序</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采取电子招标投标的除外</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7</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采用电子招标投标方式的，</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投标人通过电子招标投标交易平台对已递交的电子投标文件进行解密，当众开标，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公布投标人名称、项目名称、投标保证金的递交情况、投标报价、质量目标、工期及其他内容，并记录在案；</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采用非电子招标投标方式的，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按照宣布的开标顺序当众开标，公布投标人名称、项目名称、投标保证金的递交情况、投标报价、质量目标、工期及其他内容，并记录在案；</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8</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投标人、招标人代表、监督人、记录人等有关人员在开标记录上确认；</w:t>
      </w:r>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9</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开标结束。</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35" w:name="_Toc17577"/>
      <w:bookmarkStart w:id="336" w:name="_Toc5790"/>
      <w:bookmarkStart w:id="337" w:name="_Toc1283"/>
      <w:bookmarkStart w:id="338" w:name="_Toc14596"/>
      <w:r>
        <w:rPr>
          <w:rFonts w:hint="eastAsia" w:ascii="方正仿宋_GB2312" w:hAnsi="方正仿宋_GB2312" w:eastAsia="方正仿宋_GB2312" w:cs="方正仿宋_GB2312"/>
          <w:sz w:val="32"/>
          <w:szCs w:val="32"/>
        </w:rPr>
        <w:t>5.3</w:t>
      </w:r>
      <w:bookmarkEnd w:id="333"/>
      <w:bookmarkEnd w:id="334"/>
      <w:bookmarkStart w:id="339" w:name="_Toc389065177"/>
      <w:bookmarkStart w:id="340" w:name="_Toc508286103"/>
      <w:r>
        <w:rPr>
          <w:rFonts w:hint="eastAsia" w:ascii="方正仿宋_GB2312" w:hAnsi="方正仿宋_GB2312" w:eastAsia="方正仿宋_GB2312" w:cs="方正仿宋_GB2312"/>
          <w:sz w:val="32"/>
          <w:szCs w:val="32"/>
        </w:rPr>
        <w:t>开标异议</w:t>
      </w:r>
      <w:bookmarkEnd w:id="335"/>
      <w:bookmarkEnd w:id="336"/>
      <w:bookmarkEnd w:id="337"/>
      <w:bookmarkEnd w:id="338"/>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投标人对开标有异议的，应当在开标</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提出，招标人当场作出答复，并</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做好记录</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。逾期</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开标结束后</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未提出的，均视为对开标结果无异议。</w:t>
      </w:r>
    </w:p>
    <w:p>
      <w:pPr>
        <w:pStyle w:val="3"/>
        <w:pageBreakBefore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32"/>
          <w:szCs w:val="32"/>
        </w:rPr>
      </w:pPr>
      <w:bookmarkStart w:id="341" w:name="_Toc26518"/>
      <w:bookmarkStart w:id="342" w:name="_Toc25630"/>
      <w:bookmarkStart w:id="343" w:name="_Toc6269"/>
      <w:bookmarkStart w:id="344" w:name="_Toc11124"/>
      <w:r>
        <w:rPr>
          <w:rFonts w:hint="eastAsia" w:ascii="方正仿宋_GB2312" w:hAnsi="方正仿宋_GB2312" w:eastAsia="方正仿宋_GB2312" w:cs="方正仿宋_GB2312"/>
          <w:sz w:val="32"/>
          <w:szCs w:val="32"/>
        </w:rPr>
        <w:t>6 评标</w:t>
      </w:r>
      <w:bookmarkEnd w:id="339"/>
      <w:bookmarkEnd w:id="340"/>
      <w:bookmarkEnd w:id="341"/>
      <w:bookmarkEnd w:id="342"/>
      <w:bookmarkEnd w:id="343"/>
      <w:bookmarkEnd w:id="344"/>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45" w:name="_Toc508286104"/>
      <w:bookmarkStart w:id="346" w:name="_Toc25012"/>
      <w:bookmarkStart w:id="347" w:name="_Toc17661"/>
      <w:bookmarkStart w:id="348" w:name="_Toc4560"/>
      <w:bookmarkStart w:id="349" w:name="_Toc7738"/>
      <w:bookmarkStart w:id="350" w:name="_Toc389065178"/>
      <w:r>
        <w:rPr>
          <w:rFonts w:hint="eastAsia" w:ascii="方正仿宋_GB2312" w:hAnsi="方正仿宋_GB2312" w:eastAsia="方正仿宋_GB2312" w:cs="方正仿宋_GB2312"/>
          <w:sz w:val="32"/>
          <w:szCs w:val="32"/>
        </w:rPr>
        <w:t>6.1 评标委员会</w:t>
      </w:r>
      <w:bookmarkEnd w:id="345"/>
      <w:bookmarkEnd w:id="346"/>
      <w:bookmarkEnd w:id="347"/>
      <w:bookmarkEnd w:id="348"/>
      <w:bookmarkEnd w:id="349"/>
      <w:bookmarkEnd w:id="350"/>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6.1.1 评标由招标人依法组建的评标委员会负责。评标委员会由招标人代表和有关方面的专家组成。评标委员会成员人数以及</w:t>
      </w:r>
      <w:r>
        <w:rPr>
          <w:rFonts w:hint="eastAsia" w:ascii="方正仿宋_GB2312" w:hAnsi="方正仿宋_GB2312" w:eastAsia="方正仿宋_GB2312" w:cs="方正仿宋_GB2312"/>
          <w:color w:val="auto"/>
          <w:sz w:val="32"/>
          <w:szCs w:val="32"/>
          <w:lang w:val="en-US" w:eastAsia="zh-CN"/>
        </w:rPr>
        <w:t>分类</w:t>
      </w:r>
      <w:r>
        <w:rPr>
          <w:rFonts w:hint="eastAsia" w:ascii="方正仿宋_GB2312" w:hAnsi="方正仿宋_GB2312" w:eastAsia="方正仿宋_GB2312" w:cs="方正仿宋_GB2312"/>
          <w:color w:val="auto"/>
          <w:sz w:val="32"/>
          <w:szCs w:val="32"/>
        </w:rPr>
        <w:t>见投标人须知前附表。</w:t>
      </w:r>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6.1.2 评标委员会成员有下列情形之一的，应当回避：</w:t>
      </w:r>
      <w:bookmarkStart w:id="351" w:name="_Toc389065179"/>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（1）投标人或投标人的主要负责人的近亲属；</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（2）项目主管部门或者行政监督部门的人员；</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（3）与投标人有经济利益关系，可能影响对投标公正评审的；</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（4）曾因在招标、评标以及其他与招标投标有关活动中从事违法行为而受过行政处罚或刑事处罚的</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）被主管部门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暂停或禁止</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参加评标或者取消担任评标委员会成员资格</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的</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6</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）与投标人有其他利害关系。</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52" w:name="_Toc508286105"/>
      <w:bookmarkStart w:id="353" w:name="_Toc9343"/>
      <w:bookmarkStart w:id="354" w:name="_Toc23778"/>
      <w:bookmarkStart w:id="355" w:name="_Toc13041"/>
      <w:bookmarkStart w:id="356" w:name="_Toc18124"/>
      <w:r>
        <w:rPr>
          <w:rFonts w:hint="eastAsia" w:ascii="方正仿宋_GB2312" w:hAnsi="方正仿宋_GB2312" w:eastAsia="方正仿宋_GB2312" w:cs="方正仿宋_GB2312"/>
          <w:sz w:val="32"/>
          <w:szCs w:val="32"/>
        </w:rPr>
        <w:t>6.2 评标原则</w:t>
      </w:r>
      <w:bookmarkEnd w:id="351"/>
      <w:bookmarkEnd w:id="352"/>
      <w:bookmarkEnd w:id="353"/>
      <w:bookmarkEnd w:id="354"/>
      <w:bookmarkEnd w:id="355"/>
      <w:bookmarkEnd w:id="356"/>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评标活动遵循公平、公正、科学和择优的原则。</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57" w:name="_Toc389065180"/>
      <w:bookmarkStart w:id="358" w:name="_Toc1655"/>
      <w:bookmarkStart w:id="359" w:name="_Toc508286106"/>
      <w:bookmarkStart w:id="360" w:name="_Toc9630"/>
      <w:bookmarkStart w:id="361" w:name="_Toc24208"/>
      <w:bookmarkStart w:id="362" w:name="_Toc11869"/>
      <w:r>
        <w:rPr>
          <w:rFonts w:hint="eastAsia" w:ascii="方正仿宋_GB2312" w:hAnsi="方正仿宋_GB2312" w:eastAsia="方正仿宋_GB2312" w:cs="方正仿宋_GB2312"/>
          <w:sz w:val="32"/>
          <w:szCs w:val="32"/>
        </w:rPr>
        <w:t>6.3 评标</w:t>
      </w:r>
      <w:bookmarkEnd w:id="357"/>
      <w:bookmarkEnd w:id="358"/>
      <w:bookmarkEnd w:id="359"/>
      <w:bookmarkEnd w:id="360"/>
      <w:bookmarkEnd w:id="361"/>
      <w:bookmarkEnd w:id="362"/>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评标委员会在投标人须知前附表规定的时间，按照第三章“评标办法”规定的方法、评审因素、标准和程序对投标文件进行评审。第三章“评标办法”没有规定的方法、评审因素和标准，不作为评标依据。</w:t>
      </w:r>
      <w:bookmarkStart w:id="363" w:name="_Toc389065184"/>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highlight w:val="none"/>
        </w:rPr>
      </w:pPr>
      <w:bookmarkStart w:id="364" w:name="_Toc389065183"/>
      <w:bookmarkStart w:id="365" w:name="_Toc6552"/>
      <w:bookmarkStart w:id="366" w:name="_Toc16273"/>
      <w:bookmarkStart w:id="367" w:name="_Toc18864"/>
      <w:bookmarkStart w:id="368" w:name="_Toc4948"/>
      <w:bookmarkStart w:id="369" w:name="_Toc508286107"/>
      <w:bookmarkStart w:id="370" w:name="_Toc508286108"/>
      <w:bookmarkStart w:id="371" w:name="_Toc20209"/>
      <w:r>
        <w:rPr>
          <w:rFonts w:hint="eastAsia" w:ascii="方正仿宋_GB2312" w:hAnsi="方正仿宋_GB2312" w:eastAsia="方正仿宋_GB2312" w:cs="方正仿宋_GB2312"/>
          <w:sz w:val="32"/>
          <w:szCs w:val="32"/>
          <w:highlight w:val="none"/>
        </w:rPr>
        <w:t>6.4 评标结果公示</w:t>
      </w:r>
      <w:bookmarkEnd w:id="364"/>
      <w:bookmarkEnd w:id="365"/>
      <w:bookmarkEnd w:id="366"/>
      <w:bookmarkEnd w:id="367"/>
      <w:bookmarkEnd w:id="368"/>
      <w:bookmarkEnd w:id="369"/>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6.4.1招标人在收到评标报告之日起3日内在本招标项目招标公告发布的同一媒介发布评标结果公示，公示期不少于3日。</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6.4.</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2</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采用“评定分离”</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方式</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的，定标候选人数量见“投标人须知前附表”；评标结果（定标候选人）公示期间，因</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质疑或投诉导致定标候选人少于招标文件规定的数量时，招标人继续定标还是组织原评标委员会补充推荐定标候选人的具体要求见“投标人须知前附表”。定标候选人少于三个或者所有投标被否决的，依法重新组织招标。</w:t>
      </w:r>
    </w:p>
    <w:p>
      <w:pPr>
        <w:pStyle w:val="3"/>
        <w:pageBreakBefore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32"/>
          <w:szCs w:val="32"/>
        </w:rPr>
      </w:pPr>
      <w:bookmarkStart w:id="372" w:name="_Toc24878"/>
      <w:bookmarkStart w:id="373" w:name="_Toc31881"/>
      <w:bookmarkStart w:id="374" w:name="_Toc17796"/>
      <w:r>
        <w:rPr>
          <w:rFonts w:hint="eastAsia" w:ascii="方正仿宋_GB2312" w:hAnsi="方正仿宋_GB2312" w:eastAsia="方正仿宋_GB2312" w:cs="方正仿宋_GB2312"/>
          <w:sz w:val="32"/>
          <w:szCs w:val="32"/>
        </w:rPr>
        <w:t>7 合同授予</w:t>
      </w:r>
      <w:bookmarkEnd w:id="363"/>
      <w:bookmarkEnd w:id="370"/>
      <w:bookmarkEnd w:id="371"/>
      <w:bookmarkEnd w:id="372"/>
      <w:bookmarkEnd w:id="373"/>
      <w:bookmarkEnd w:id="374"/>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75" w:name="_Toc508286109"/>
      <w:bookmarkStart w:id="376" w:name="_Toc14880"/>
      <w:bookmarkStart w:id="377" w:name="_Toc1731"/>
      <w:bookmarkStart w:id="378" w:name="_Toc389065185"/>
      <w:bookmarkStart w:id="379" w:name="_Toc4870"/>
      <w:bookmarkStart w:id="380" w:name="_Toc18382"/>
      <w:r>
        <w:rPr>
          <w:rFonts w:hint="eastAsia" w:ascii="方正仿宋_GB2312" w:hAnsi="方正仿宋_GB2312" w:eastAsia="方正仿宋_GB2312" w:cs="方正仿宋_GB2312"/>
          <w:sz w:val="32"/>
          <w:szCs w:val="32"/>
        </w:rPr>
        <w:t>7.1 定标方式</w:t>
      </w:r>
      <w:bookmarkEnd w:id="375"/>
      <w:bookmarkEnd w:id="376"/>
      <w:bookmarkEnd w:id="377"/>
      <w:bookmarkEnd w:id="378"/>
      <w:bookmarkEnd w:id="379"/>
      <w:bookmarkEnd w:id="380"/>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7.1.1 除“投标人须知前附表”规定评标委员会直接确定中标人外，招标人依据评标委员会推荐的中标候选人确定中标人，评标委员会推荐中标候选人的人数见“投标人须知前附表”。</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国有资金占控股或者主导地位的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7.1.</w:t>
      </w:r>
      <w:r>
        <w:rPr>
          <w:rFonts w:hint="eastAsia" w:ascii="方正仿宋_GB2312" w:hAnsi="方正仿宋_GB2312" w:eastAsia="方正仿宋_GB2312" w:cs="方正仿宋_GB2312"/>
          <w:color w:val="auto"/>
          <w:sz w:val="32"/>
          <w:szCs w:val="32"/>
          <w:lang w:val="en-US" w:eastAsia="zh-CN"/>
        </w:rPr>
        <w:t>2</w:t>
      </w:r>
      <w:r>
        <w:rPr>
          <w:rFonts w:hint="eastAsia" w:ascii="方正仿宋_GB2312" w:hAnsi="方正仿宋_GB2312" w:eastAsia="方正仿宋_GB2312" w:cs="方正仿宋_GB2312"/>
          <w:color w:val="auto"/>
          <w:sz w:val="32"/>
          <w:szCs w:val="32"/>
        </w:rPr>
        <w:t xml:space="preserve"> 采用“评定分离”</w:t>
      </w:r>
      <w:r>
        <w:rPr>
          <w:rFonts w:hint="eastAsia" w:ascii="方正仿宋_GB2312" w:hAnsi="方正仿宋_GB2312" w:eastAsia="方正仿宋_GB2312" w:cs="方正仿宋_GB2312"/>
          <w:color w:val="auto"/>
          <w:sz w:val="32"/>
          <w:szCs w:val="32"/>
          <w:lang w:val="en-US" w:eastAsia="zh-CN"/>
        </w:rPr>
        <w:t>方式</w:t>
      </w:r>
      <w:r>
        <w:rPr>
          <w:rFonts w:hint="eastAsia" w:ascii="方正仿宋_GB2312" w:hAnsi="方正仿宋_GB2312" w:eastAsia="方正仿宋_GB2312" w:cs="方正仿宋_GB2312"/>
          <w:color w:val="auto"/>
          <w:sz w:val="32"/>
          <w:szCs w:val="32"/>
        </w:rPr>
        <w:t>的，招标人</w:t>
      </w:r>
      <w:r>
        <w:rPr>
          <w:rFonts w:hint="eastAsia" w:ascii="方正仿宋_GB2312" w:hAnsi="方正仿宋_GB2312" w:eastAsia="方正仿宋_GB2312" w:cs="方正仿宋_GB2312"/>
          <w:color w:val="auto"/>
          <w:sz w:val="32"/>
          <w:szCs w:val="32"/>
          <w:lang w:val="en-US" w:eastAsia="zh-CN"/>
        </w:rPr>
        <w:t>可参</w:t>
      </w:r>
      <w:r>
        <w:rPr>
          <w:rFonts w:hint="eastAsia" w:ascii="方正仿宋_GB2312" w:hAnsi="方正仿宋_GB2312" w:eastAsia="方正仿宋_GB2312" w:cs="方正仿宋_GB2312"/>
          <w:color w:val="auto"/>
          <w:sz w:val="32"/>
          <w:szCs w:val="32"/>
        </w:rPr>
        <w:t>照《</w:t>
      </w:r>
      <w:r>
        <w:rPr>
          <w:rFonts w:hint="eastAsia" w:ascii="方正仿宋_GB2312" w:hAnsi="方正仿宋_GB2312" w:eastAsia="方正仿宋_GB2312" w:cs="方正仿宋_GB2312"/>
          <w:color w:val="auto"/>
          <w:sz w:val="32"/>
          <w:szCs w:val="32"/>
          <w:lang w:val="en-US" w:eastAsia="zh-CN"/>
        </w:rPr>
        <w:t>新疆维吾尔自治区</w:t>
      </w:r>
      <w:r>
        <w:rPr>
          <w:rFonts w:hint="eastAsia" w:ascii="方正仿宋_GB2312" w:hAnsi="方正仿宋_GB2312" w:eastAsia="方正仿宋_GB2312" w:cs="方正仿宋_GB2312"/>
          <w:color w:val="auto"/>
          <w:sz w:val="32"/>
          <w:szCs w:val="32"/>
        </w:rPr>
        <w:t>自治区房屋建筑和市政基础设施工程建设项目招标“评定分离”</w:t>
      </w:r>
      <w:r>
        <w:rPr>
          <w:rFonts w:hint="eastAsia" w:ascii="方正仿宋_GB2312" w:hAnsi="方正仿宋_GB2312" w:eastAsia="方正仿宋_GB2312" w:cs="方正仿宋_GB2312"/>
          <w:color w:val="auto"/>
          <w:sz w:val="32"/>
          <w:szCs w:val="32"/>
          <w:lang w:val="en-US" w:eastAsia="zh-CN"/>
        </w:rPr>
        <w:t>操作</w:t>
      </w:r>
      <w:r>
        <w:rPr>
          <w:rFonts w:hint="eastAsia" w:ascii="方正仿宋_GB2312" w:hAnsi="方正仿宋_GB2312" w:eastAsia="方正仿宋_GB2312" w:cs="方正仿宋_GB2312"/>
          <w:color w:val="auto"/>
          <w:sz w:val="32"/>
          <w:szCs w:val="32"/>
        </w:rPr>
        <w:t>指导规则</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lang w:val="en-US" w:eastAsia="zh-CN"/>
        </w:rPr>
        <w:t>试行</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rPr>
        <w:t>》</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lang w:val="en-US" w:eastAsia="zh-CN"/>
        </w:rPr>
        <w:t>以下简称“</w:t>
      </w:r>
      <w:r>
        <w:rPr>
          <w:rFonts w:hint="eastAsia" w:ascii="方正仿宋_GB2312" w:hAnsi="方正仿宋_GB2312" w:eastAsia="方正仿宋_GB2312" w:cs="方正仿宋_GB2312"/>
          <w:color w:val="auto"/>
          <w:sz w:val="32"/>
          <w:szCs w:val="32"/>
        </w:rPr>
        <w:t>评定分离操作导则</w:t>
      </w:r>
      <w:r>
        <w:rPr>
          <w:rFonts w:hint="eastAsia" w:ascii="方正仿宋_GB2312" w:hAnsi="方正仿宋_GB2312" w:eastAsia="方正仿宋_GB2312" w:cs="方正仿宋_GB2312"/>
          <w:color w:val="auto"/>
          <w:sz w:val="32"/>
          <w:szCs w:val="32"/>
          <w:lang w:val="en-US" w:eastAsia="zh-CN"/>
        </w:rPr>
        <w:t>”</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rPr>
        <w:t>制定定标方案，</w:t>
      </w:r>
      <w:r>
        <w:rPr>
          <w:rFonts w:hint="eastAsia" w:ascii="方正仿宋_GB2312" w:hAnsi="方正仿宋_GB2312" w:eastAsia="方正仿宋_GB2312" w:cs="方正仿宋_GB2312"/>
          <w:color w:val="auto"/>
          <w:sz w:val="32"/>
          <w:szCs w:val="32"/>
          <w:highlight w:val="none"/>
        </w:rPr>
        <w:t>具体定标方案见本章</w:t>
      </w:r>
      <w:r>
        <w:rPr>
          <w:rFonts w:hint="eastAsia" w:ascii="方正仿宋_GB2312" w:hAnsi="方正仿宋_GB2312" w:eastAsia="方正仿宋_GB2312" w:cs="方正仿宋_GB2312"/>
          <w:color w:val="auto"/>
          <w:sz w:val="32"/>
          <w:szCs w:val="32"/>
          <w:highlight w:val="none"/>
          <w:lang w:val="en-US" w:eastAsia="zh-CN"/>
        </w:rPr>
        <w:t>附件</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rPr>
        <w:t>其中定标方法见“投标人须知前附表”。定标程序应当符合《评定分离操作导则》相关规定，定标委员会按照招标文件规定的定标方法</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lang w:val="en-US" w:eastAsia="zh-CN"/>
        </w:rPr>
        <w:t>定标标准</w:t>
      </w:r>
      <w:r>
        <w:rPr>
          <w:rFonts w:hint="eastAsia" w:ascii="方正仿宋_GB2312" w:hAnsi="方正仿宋_GB2312" w:eastAsia="方正仿宋_GB2312" w:cs="方正仿宋_GB2312"/>
          <w:color w:val="auto"/>
          <w:sz w:val="32"/>
          <w:szCs w:val="32"/>
        </w:rPr>
        <w:t>，在评标委员会推荐的定标候选人中择优确定中标人，并向招标人提交定标报告。</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81" w:name="_Toc389065186"/>
      <w:bookmarkStart w:id="382" w:name="_Toc29475"/>
      <w:bookmarkStart w:id="383" w:name="_Toc22634"/>
      <w:bookmarkStart w:id="384" w:name="_Toc4476"/>
      <w:bookmarkStart w:id="385" w:name="_Toc16757"/>
      <w:bookmarkStart w:id="386" w:name="_Toc508286110"/>
      <w:r>
        <w:rPr>
          <w:rFonts w:hint="eastAsia" w:ascii="方正仿宋_GB2312" w:hAnsi="方正仿宋_GB2312" w:eastAsia="方正仿宋_GB2312" w:cs="方正仿宋_GB2312"/>
          <w:sz w:val="32"/>
          <w:szCs w:val="32"/>
        </w:rPr>
        <w:t>7.2 中标通知</w:t>
      </w:r>
      <w:bookmarkEnd w:id="381"/>
      <w:r>
        <w:rPr>
          <w:rFonts w:hint="eastAsia" w:ascii="方正仿宋_GB2312" w:hAnsi="方正仿宋_GB2312" w:eastAsia="方正仿宋_GB2312" w:cs="方正仿宋_GB2312"/>
          <w:sz w:val="32"/>
          <w:szCs w:val="32"/>
          <w:lang w:val="en-US" w:eastAsia="zh-CN"/>
        </w:rPr>
        <w:t>书</w:t>
      </w:r>
      <w:r>
        <w:rPr>
          <w:rFonts w:hint="eastAsia" w:ascii="方正仿宋_GB2312" w:hAnsi="方正仿宋_GB2312" w:eastAsia="方正仿宋_GB2312" w:cs="方正仿宋_GB2312"/>
          <w:sz w:val="32"/>
          <w:szCs w:val="32"/>
        </w:rPr>
        <w:t>及中标结果公告</w:t>
      </w:r>
      <w:bookmarkEnd w:id="382"/>
      <w:bookmarkEnd w:id="383"/>
      <w:bookmarkEnd w:id="384"/>
      <w:bookmarkEnd w:id="385"/>
      <w:bookmarkEnd w:id="386"/>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7.2.1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在投标人须知前附表第3.3.1款规定的投标有效期内，</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中标结果公示期满无异议或投诉的</w:t>
      </w:r>
      <w:r>
        <w:rPr>
          <w:rFonts w:hint="eastAsia" w:ascii="方正仿宋_GB2312" w:hAnsi="方正仿宋_GB2312" w:eastAsia="方正仿宋_GB2312" w:cs="方正仿宋_GB2312"/>
          <w:color w:val="auto"/>
          <w:sz w:val="32"/>
          <w:szCs w:val="32"/>
        </w:rPr>
        <w:t>，招标人应在5日内向中标人发出中标通知书。</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同时在招标公告</w:t>
      </w:r>
      <w:r>
        <w:rPr>
          <w:rFonts w:hint="eastAsia" w:ascii="方正仿宋_GB2312" w:hAnsi="方正仿宋_GB2312" w:eastAsia="方正仿宋_GB2312" w:cs="方正仿宋_GB2312"/>
          <w:color w:val="auto"/>
          <w:sz w:val="32"/>
          <w:szCs w:val="32"/>
        </w:rPr>
        <w:t>发布的同一媒介发出中标结果公告，将中标结果通知未中标的投标人。</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auto"/>
          <w:sz w:val="32"/>
          <w:szCs w:val="32"/>
        </w:rPr>
      </w:pPr>
      <w:r>
        <w:rPr>
          <w:rFonts w:hint="eastAsia" w:ascii="方正仿宋_GB2312" w:hAnsi="方正仿宋_GB2312" w:eastAsia="方正仿宋_GB2312" w:cs="方正仿宋_GB2312"/>
          <w:color w:val="auto"/>
          <w:sz w:val="32"/>
          <w:szCs w:val="32"/>
        </w:rPr>
        <w:t>7.2.</w:t>
      </w:r>
      <w:r>
        <w:rPr>
          <w:rFonts w:hint="eastAsia" w:ascii="方正仿宋_GB2312" w:hAnsi="方正仿宋_GB2312" w:eastAsia="方正仿宋_GB2312" w:cs="方正仿宋_GB2312"/>
          <w:color w:val="auto"/>
          <w:sz w:val="32"/>
          <w:szCs w:val="32"/>
          <w:lang w:val="en-US" w:eastAsia="zh-CN"/>
        </w:rPr>
        <w:t>2</w:t>
      </w:r>
      <w:r>
        <w:rPr>
          <w:rFonts w:hint="eastAsia" w:ascii="方正仿宋_GB2312" w:hAnsi="方正仿宋_GB2312" w:eastAsia="方正仿宋_GB2312" w:cs="方正仿宋_GB2312"/>
          <w:color w:val="auto"/>
          <w:sz w:val="32"/>
          <w:szCs w:val="32"/>
        </w:rPr>
        <w:t>采用“评定分离”</w:t>
      </w:r>
      <w:r>
        <w:rPr>
          <w:rFonts w:hint="eastAsia" w:ascii="方正仿宋_GB2312" w:hAnsi="方正仿宋_GB2312" w:eastAsia="方正仿宋_GB2312" w:cs="方正仿宋_GB2312"/>
          <w:color w:val="auto"/>
          <w:sz w:val="32"/>
          <w:szCs w:val="32"/>
          <w:lang w:val="en-US" w:eastAsia="zh-CN"/>
        </w:rPr>
        <w:t>方式</w:t>
      </w:r>
      <w:r>
        <w:rPr>
          <w:rFonts w:hint="eastAsia" w:ascii="方正仿宋_GB2312" w:hAnsi="方正仿宋_GB2312" w:eastAsia="方正仿宋_GB2312" w:cs="方正仿宋_GB2312"/>
          <w:color w:val="auto"/>
          <w:sz w:val="32"/>
          <w:szCs w:val="32"/>
        </w:rPr>
        <w:t>的，</w:t>
      </w:r>
      <w:r>
        <w:rPr>
          <w:rFonts w:hint="eastAsia" w:ascii="方正仿宋_GB2312" w:hAnsi="方正仿宋_GB2312" w:eastAsia="方正仿宋_GB2312" w:cs="方正仿宋_GB2312"/>
          <w:color w:val="auto"/>
          <w:sz w:val="32"/>
          <w:szCs w:val="32"/>
          <w:lang w:val="en-US" w:eastAsia="zh-CN"/>
        </w:rPr>
        <w:t>招标人应当在定标工作完成后的3日内，对定标结果（中标候选人）进行公示，公示期不得少于3日。公示内容包括：拟中标人、评标时间、定标时间、定标方法、投标价格、拟中标人得票情况（采用票决法）、定标理由（采用集体议事法时）等内容。</w:t>
      </w:r>
      <w:r>
        <w:rPr>
          <w:rFonts w:hint="eastAsia" w:ascii="方正仿宋_GB2312" w:hAnsi="方正仿宋_GB2312" w:eastAsia="方正仿宋_GB2312" w:cs="方正仿宋_GB2312"/>
          <w:color w:val="auto"/>
          <w:sz w:val="32"/>
          <w:szCs w:val="32"/>
        </w:rPr>
        <w:t>时间、定标方法、定标理由（采用集体议事法时）、拟中标人等内容。</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中标候选人公示期满无异议的，</w:t>
      </w:r>
      <w:r>
        <w:rPr>
          <w:rFonts w:hint="eastAsia" w:ascii="方正仿宋_GB2312" w:hAnsi="方正仿宋_GB2312" w:eastAsia="方正仿宋_GB2312" w:cs="方正仿宋_GB2312"/>
          <w:color w:val="auto"/>
          <w:sz w:val="32"/>
          <w:szCs w:val="32"/>
        </w:rPr>
        <w:t>招标人应在5日内向中标人发出中标通知书。</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同时在招标公告</w:t>
      </w:r>
      <w:r>
        <w:rPr>
          <w:rFonts w:hint="eastAsia" w:ascii="方正仿宋_GB2312" w:hAnsi="方正仿宋_GB2312" w:eastAsia="方正仿宋_GB2312" w:cs="方正仿宋_GB2312"/>
          <w:color w:val="auto"/>
          <w:sz w:val="32"/>
          <w:szCs w:val="32"/>
        </w:rPr>
        <w:t>发布的同一媒介发出中标结果公告，将中标结果通知未中标的投标人。</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lang w:val="en-US" w:eastAsia="zh-CN"/>
        </w:rPr>
      </w:pPr>
      <w:bookmarkStart w:id="387" w:name="_Toc9319"/>
      <w:bookmarkStart w:id="388" w:name="_Toc508286111"/>
      <w:bookmarkStart w:id="389" w:name="_Toc389065187"/>
      <w:bookmarkStart w:id="390" w:name="_Toc916"/>
      <w:bookmarkStart w:id="391" w:name="_Toc41"/>
      <w:bookmarkStart w:id="392" w:name="_Toc10172"/>
      <w:r>
        <w:rPr>
          <w:rFonts w:hint="eastAsia" w:ascii="方正仿宋_GB2312" w:hAnsi="方正仿宋_GB2312" w:eastAsia="方正仿宋_GB2312" w:cs="方正仿宋_GB2312"/>
          <w:sz w:val="32"/>
          <w:szCs w:val="32"/>
        </w:rPr>
        <w:t>7.3 履约</w:t>
      </w:r>
      <w:bookmarkEnd w:id="387"/>
      <w:bookmarkEnd w:id="388"/>
      <w:bookmarkEnd w:id="389"/>
      <w:r>
        <w:rPr>
          <w:rFonts w:hint="eastAsia" w:ascii="方正仿宋_GB2312" w:hAnsi="方正仿宋_GB2312" w:eastAsia="方正仿宋_GB2312" w:cs="方正仿宋_GB2312"/>
          <w:sz w:val="32"/>
          <w:szCs w:val="32"/>
          <w:lang w:val="en-US" w:eastAsia="zh-CN"/>
        </w:rPr>
        <w:t>担保及工程款支付担保</w:t>
      </w:r>
      <w:bookmarkEnd w:id="390"/>
      <w:bookmarkEnd w:id="391"/>
      <w:bookmarkEnd w:id="392"/>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7.3.1 在签订合同前，中标人应按“投标人须知前附表”规定的金额、担保形式和招标文件第四章“合同条款及格式”规定的履约担保格式向招标人提交履约保证金。联合体中标的，其履约担保由牵头人递交，并应符合投标人须知前附表规定的金额、担保形式和招标文件第四章“合同条款及格式”规定的履约担保格式要求。</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7.3.2 中标人不能按本章第7.3.1项要求提交履约保证金的，视为放弃中标，其投标保证金不予退还，给招标人造成的损失超过投标保证金数额的，中标人还应当对超过部分予以赔偿。</w:t>
      </w:r>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7.3.3 招标人应当向中标人提供工程款支付担保.</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393" w:name="_Toc14511"/>
      <w:bookmarkStart w:id="394" w:name="_Toc24538"/>
      <w:bookmarkStart w:id="395" w:name="_Toc389065188"/>
      <w:bookmarkStart w:id="396" w:name="_Toc1840"/>
      <w:bookmarkStart w:id="397" w:name="_Toc18144"/>
      <w:bookmarkStart w:id="398" w:name="_Toc508286112"/>
      <w:r>
        <w:rPr>
          <w:rFonts w:hint="eastAsia" w:ascii="方正仿宋_GB2312" w:hAnsi="方正仿宋_GB2312" w:eastAsia="方正仿宋_GB2312" w:cs="方正仿宋_GB2312"/>
          <w:sz w:val="32"/>
          <w:szCs w:val="32"/>
        </w:rPr>
        <w:t>7.4 签订合同</w:t>
      </w:r>
      <w:bookmarkEnd w:id="393"/>
      <w:bookmarkEnd w:id="394"/>
      <w:bookmarkEnd w:id="395"/>
      <w:bookmarkEnd w:id="396"/>
      <w:bookmarkEnd w:id="397"/>
      <w:bookmarkEnd w:id="398"/>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399" w:name="_Toc389065189"/>
      <w:r>
        <w:rPr>
          <w:rFonts w:hint="eastAsia" w:ascii="方正仿宋_GB2312" w:hAnsi="方正仿宋_GB2312" w:eastAsia="方正仿宋_GB2312" w:cs="方正仿宋_GB2312"/>
          <w:color w:val="000000" w:themeColor="text1"/>
          <w:sz w:val="32"/>
          <w:szCs w:val="32"/>
          <w14:textFill>
            <w14:solidFill>
              <w14:schemeClr w14:val="tx1"/>
            </w14:solidFill>
          </w14:textFill>
        </w:rPr>
        <w:t>7.4.1 招标人和中标人应当在投标有效期内以及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7.4.2 发出中标通知书后，招标人无正当理由拒签合同的，招标人向中标人退还投标保证金，给中标人造成损失的，还应当赔偿损失。</w:t>
      </w:r>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7.4.3 联合体中标的，联合体各方应当共同与招标人签订合同，就中标项目向招标人承担连带责任。</w:t>
      </w:r>
      <w:bookmarkEnd w:id="399"/>
      <w:bookmarkStart w:id="400" w:name="_Toc32269"/>
      <w:bookmarkStart w:id="401" w:name="_Toc389065192"/>
      <w:bookmarkStart w:id="402" w:name="_Toc508286113"/>
    </w:p>
    <w:p>
      <w:pPr>
        <w:pageBreakBefore w:val="0"/>
        <w:kinsoku/>
        <w:wordWrap/>
        <w:overflowPunct/>
        <w:topLinePunct w:val="0"/>
        <w:autoSpaceDE/>
        <w:autoSpaceDN/>
        <w:bidi w:val="0"/>
        <w:adjustRightInd/>
        <w:snapToGrid/>
        <w:spacing w:line="440" w:lineRule="exact"/>
        <w:textAlignment w:val="auto"/>
        <w:outlineLvl w:val="1"/>
        <w:rPr>
          <w:rFonts w:hint="eastAsia" w:ascii="方正仿宋_GB2312" w:hAnsi="方正仿宋_GB2312" w:eastAsia="方正仿宋_GB2312" w:cs="方正仿宋_GB2312"/>
          <w:b/>
          <w:bCs/>
          <w:kern w:val="2"/>
          <w:sz w:val="32"/>
          <w:szCs w:val="32"/>
          <w:lang w:val="en-US" w:eastAsia="zh-CN" w:bidi="ar-SA"/>
        </w:rPr>
      </w:pPr>
      <w:bookmarkStart w:id="403" w:name="_Toc615"/>
      <w:r>
        <w:rPr>
          <w:rFonts w:hint="eastAsia" w:ascii="方正仿宋_GB2312" w:hAnsi="方正仿宋_GB2312" w:eastAsia="方正仿宋_GB2312" w:cs="方正仿宋_GB2312"/>
          <w:b/>
          <w:bCs/>
          <w:kern w:val="2"/>
          <w:sz w:val="32"/>
          <w:szCs w:val="32"/>
          <w:lang w:val="en-US" w:eastAsia="zh-CN" w:bidi="ar-SA"/>
        </w:rPr>
        <w:t>8 重新招标</w:t>
      </w:r>
      <w:bookmarkEnd w:id="400"/>
      <w:bookmarkEnd w:id="403"/>
    </w:p>
    <w:p>
      <w:pPr>
        <w:pageBreakBefore w:val="0"/>
        <w:kinsoku/>
        <w:wordWrap/>
        <w:overflowPunct/>
        <w:topLinePunct w:val="0"/>
        <w:autoSpaceDE/>
        <w:autoSpaceDN/>
        <w:bidi w:val="0"/>
        <w:adjustRightInd/>
        <w:snapToGrid/>
        <w:spacing w:line="440" w:lineRule="exact"/>
        <w:ind w:firstLine="640" w:firstLineChars="200"/>
        <w:textAlignment w:val="auto"/>
        <w:outlineLvl w:val="2"/>
        <w:rPr>
          <w:rFonts w:hint="eastAsia" w:ascii="方正仿宋_GB2312" w:hAnsi="方正仿宋_GB2312" w:eastAsia="方正仿宋_GB2312" w:cs="方正仿宋_GB2312"/>
          <w:sz w:val="32"/>
          <w:szCs w:val="32"/>
        </w:rPr>
      </w:pPr>
      <w:bookmarkStart w:id="404" w:name="_Toc300678042"/>
      <w:bookmarkStart w:id="405" w:name="_Toc5134"/>
      <w:bookmarkStart w:id="406" w:name="_Toc9858"/>
      <w:bookmarkStart w:id="407" w:name="_Toc15540"/>
      <w:r>
        <w:rPr>
          <w:rFonts w:hint="eastAsia" w:ascii="方正仿宋_GB2312" w:hAnsi="方正仿宋_GB2312" w:eastAsia="方正仿宋_GB2312" w:cs="方正仿宋_GB2312"/>
          <w:sz w:val="32"/>
          <w:szCs w:val="32"/>
        </w:rPr>
        <w:t>8.1 重新招标</w:t>
      </w:r>
      <w:bookmarkEnd w:id="404"/>
      <w:bookmarkEnd w:id="405"/>
      <w:bookmarkEnd w:id="406"/>
      <w:bookmarkEnd w:id="407"/>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bookmarkStart w:id="408" w:name="_Toc12543"/>
      <w:bookmarkStart w:id="409" w:name="_Toc17913"/>
      <w:bookmarkStart w:id="410" w:name="_Toc19511"/>
      <w:bookmarkStart w:id="411" w:name="_Toc1514"/>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有下列情形之一的，招标人将重新招标：</w:t>
      </w:r>
      <w:bookmarkEnd w:id="408"/>
      <w:bookmarkEnd w:id="409"/>
      <w:bookmarkEnd w:id="410"/>
      <w:bookmarkEnd w:id="411"/>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bookmarkStart w:id="412" w:name="_Toc20440"/>
      <w:bookmarkStart w:id="413" w:name="_Toc22030"/>
      <w:bookmarkStart w:id="414" w:name="_Toc29845"/>
      <w:bookmarkStart w:id="415" w:name="_Toc1763"/>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b w:val="0"/>
          <w:bCs w:val="0"/>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）获取资格预审文件或者招标文件的潜在投标人少于 3 个的；</w:t>
      </w:r>
      <w:bookmarkEnd w:id="412"/>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bookmarkStart w:id="416" w:name="_Toc20323"/>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（2）投标截止时间止，投标人少于</w:t>
      </w:r>
      <w:r>
        <w:rPr>
          <w:rFonts w:hint="eastAsia" w:ascii="方正仿宋_GB2312" w:hAnsi="方正仿宋_GB2312" w:eastAsia="方正仿宋_GB2312" w:cs="方正仿宋_GB2312"/>
          <w:b w:val="0"/>
          <w:bCs w:val="0"/>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个的；</w:t>
      </w:r>
      <w:bookmarkEnd w:id="416"/>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bookmarkStart w:id="417" w:name="_Toc3774"/>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（3）通过资格预审的申请人少于</w:t>
      </w:r>
      <w:r>
        <w:rPr>
          <w:rFonts w:hint="eastAsia" w:ascii="方正仿宋_GB2312" w:hAnsi="方正仿宋_GB2312" w:eastAsia="方正仿宋_GB2312" w:cs="方正仿宋_GB2312"/>
          <w:b w:val="0"/>
          <w:bCs w:val="0"/>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个的；</w:t>
      </w:r>
      <w:bookmarkEnd w:id="417"/>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bookmarkStart w:id="418" w:name="_Toc5737"/>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（4）经评标委员会评审，所有投标文件均被否决的；</w:t>
      </w:r>
      <w:bookmarkEnd w:id="418"/>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bookmarkStart w:id="419" w:name="_Toc28454"/>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（5）经评标委员会评审后有效投标家数不足</w:t>
      </w:r>
      <w:r>
        <w:rPr>
          <w:rFonts w:hint="eastAsia" w:ascii="方正仿宋_GB2312" w:hAnsi="方正仿宋_GB2312" w:eastAsia="方正仿宋_GB2312" w:cs="方正仿宋_GB2312"/>
          <w:b w:val="0"/>
          <w:bCs w:val="0"/>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个使得投标明显缺乏竞争的。</w:t>
      </w:r>
      <w:bookmarkEnd w:id="419"/>
    </w:p>
    <w:bookmarkEnd w:id="413"/>
    <w:bookmarkEnd w:id="414"/>
    <w:bookmarkEnd w:id="415"/>
    <w:p>
      <w:pPr>
        <w:pStyle w:val="3"/>
        <w:pageBreakBefore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32"/>
          <w:szCs w:val="32"/>
        </w:rPr>
      </w:pPr>
      <w:bookmarkStart w:id="420" w:name="_Toc4838"/>
      <w:bookmarkStart w:id="421" w:name="_Toc21732"/>
      <w:bookmarkStart w:id="422" w:name="_Toc26127"/>
      <w:bookmarkStart w:id="423" w:name="_Toc23720"/>
      <w:r>
        <w:rPr>
          <w:rFonts w:hint="eastAsia" w:ascii="方正仿宋_GB2312" w:hAnsi="方正仿宋_GB2312" w:eastAsia="方正仿宋_GB2312" w:cs="方正仿宋_GB2312"/>
          <w:sz w:val="32"/>
          <w:szCs w:val="32"/>
        </w:rPr>
        <w:t>9纪律和监督</w:t>
      </w:r>
      <w:bookmarkEnd w:id="401"/>
      <w:bookmarkEnd w:id="402"/>
      <w:bookmarkEnd w:id="420"/>
      <w:bookmarkEnd w:id="421"/>
      <w:bookmarkEnd w:id="422"/>
      <w:bookmarkEnd w:id="423"/>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424" w:name="_Toc389065193"/>
      <w:bookmarkStart w:id="425" w:name="_Toc12659"/>
      <w:bookmarkStart w:id="426" w:name="_Toc508286114"/>
      <w:bookmarkStart w:id="427" w:name="_Toc26159"/>
      <w:bookmarkStart w:id="428" w:name="_Toc19443"/>
      <w:bookmarkStart w:id="429" w:name="_Toc26468"/>
      <w:r>
        <w:rPr>
          <w:rFonts w:hint="eastAsia" w:ascii="方正仿宋_GB2312" w:hAnsi="方正仿宋_GB2312" w:eastAsia="方正仿宋_GB2312" w:cs="方正仿宋_GB2312"/>
          <w:sz w:val="32"/>
          <w:szCs w:val="32"/>
        </w:rPr>
        <w:t>9.1 对招标人的纪律要求</w:t>
      </w:r>
      <w:bookmarkEnd w:id="424"/>
      <w:bookmarkEnd w:id="425"/>
      <w:bookmarkEnd w:id="426"/>
      <w:bookmarkEnd w:id="427"/>
      <w:bookmarkEnd w:id="428"/>
      <w:bookmarkEnd w:id="429"/>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招标人不得泄漏招标投标活动中应当保密的情况和资料，不得与投标人串通损害国家利益、社会公共利益或者他人合法权益。</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430" w:name="_Toc10559"/>
      <w:bookmarkStart w:id="431" w:name="_Toc24937"/>
      <w:bookmarkStart w:id="432" w:name="_Toc30871"/>
      <w:bookmarkStart w:id="433" w:name="_Toc508286115"/>
      <w:bookmarkStart w:id="434" w:name="_Toc5991"/>
      <w:r>
        <w:rPr>
          <w:rFonts w:hint="eastAsia" w:ascii="方正仿宋_GB2312" w:hAnsi="方正仿宋_GB2312" w:eastAsia="方正仿宋_GB2312" w:cs="方正仿宋_GB2312"/>
          <w:sz w:val="32"/>
          <w:szCs w:val="32"/>
        </w:rPr>
        <w:t>9.2 对投标人的纪律要求</w:t>
      </w:r>
      <w:bookmarkEnd w:id="430"/>
      <w:bookmarkEnd w:id="431"/>
      <w:bookmarkEnd w:id="432"/>
      <w:bookmarkEnd w:id="433"/>
      <w:bookmarkEnd w:id="434"/>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435" w:name="_Toc31920"/>
      <w:bookmarkStart w:id="436" w:name="_Toc3704"/>
      <w:bookmarkStart w:id="437" w:name="_Toc389065194"/>
      <w:bookmarkStart w:id="438" w:name="_Toc508286116"/>
      <w:bookmarkStart w:id="439" w:name="_Toc15453"/>
      <w:bookmarkStart w:id="440" w:name="_Toc15829"/>
      <w:r>
        <w:rPr>
          <w:rFonts w:hint="eastAsia" w:ascii="方正仿宋_GB2312" w:hAnsi="方正仿宋_GB2312" w:eastAsia="方正仿宋_GB2312" w:cs="方正仿宋_GB2312"/>
          <w:sz w:val="32"/>
          <w:szCs w:val="32"/>
        </w:rPr>
        <w:t>9.3 对评标委员会成员的纪律要求</w:t>
      </w:r>
      <w:bookmarkEnd w:id="435"/>
      <w:bookmarkEnd w:id="436"/>
      <w:bookmarkEnd w:id="437"/>
      <w:bookmarkEnd w:id="438"/>
      <w:bookmarkEnd w:id="439"/>
      <w:bookmarkEnd w:id="440"/>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不得随意废标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441" w:name="_Toc389065195"/>
      <w:bookmarkStart w:id="442" w:name="_Toc6728"/>
      <w:bookmarkStart w:id="443" w:name="_Toc18131"/>
      <w:bookmarkStart w:id="444" w:name="_Toc508286117"/>
      <w:bookmarkStart w:id="445" w:name="_Toc9544"/>
      <w:bookmarkStart w:id="446" w:name="_Toc27308"/>
      <w:r>
        <w:rPr>
          <w:rFonts w:hint="eastAsia" w:ascii="方正仿宋_GB2312" w:hAnsi="方正仿宋_GB2312" w:eastAsia="方正仿宋_GB2312" w:cs="方正仿宋_GB2312"/>
          <w:sz w:val="32"/>
          <w:szCs w:val="32"/>
        </w:rPr>
        <w:t>9.4 对与评标活动有关的工作人员的纪律要求</w:t>
      </w:r>
      <w:bookmarkEnd w:id="441"/>
      <w:bookmarkEnd w:id="442"/>
      <w:bookmarkEnd w:id="443"/>
      <w:bookmarkEnd w:id="444"/>
      <w:bookmarkEnd w:id="445"/>
      <w:bookmarkEnd w:id="446"/>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Start w:id="447" w:name="_Toc389065196"/>
    </w:p>
    <w:p>
      <w:pPr>
        <w:pStyle w:val="4"/>
        <w:pageBreakBefore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sz w:val="32"/>
          <w:szCs w:val="32"/>
        </w:rPr>
      </w:pPr>
      <w:bookmarkStart w:id="448" w:name="_Toc31828"/>
      <w:bookmarkStart w:id="449" w:name="_Toc11958"/>
      <w:bookmarkStart w:id="450" w:name="_Toc508286118"/>
      <w:bookmarkStart w:id="451" w:name="_Toc22589"/>
      <w:bookmarkStart w:id="452" w:name="_Toc31799"/>
      <w:r>
        <w:rPr>
          <w:rFonts w:hint="eastAsia" w:ascii="方正仿宋_GB2312" w:hAnsi="方正仿宋_GB2312" w:eastAsia="方正仿宋_GB2312" w:cs="方正仿宋_GB2312"/>
          <w:sz w:val="32"/>
          <w:szCs w:val="32"/>
        </w:rPr>
        <w:t>9.5 异议与投诉</w:t>
      </w:r>
      <w:bookmarkEnd w:id="447"/>
      <w:bookmarkEnd w:id="448"/>
      <w:bookmarkEnd w:id="449"/>
      <w:bookmarkEnd w:id="450"/>
      <w:bookmarkEnd w:id="451"/>
      <w:bookmarkEnd w:id="452"/>
      <w:bookmarkStart w:id="453" w:name="_Toc389065197"/>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bookmarkStart w:id="454" w:name="_Toc15409"/>
      <w:bookmarkStart w:id="455" w:name="_Toc22241"/>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9.5.1</w:t>
      </w:r>
      <w:bookmarkEnd w:id="453"/>
      <w:bookmarkEnd w:id="454"/>
      <w:bookmarkStart w:id="456" w:name="_Toc508286119"/>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投标人或者其他利害关系人就下列事项投诉的，应当按照相关规定向招标人提出异议：</w:t>
      </w:r>
      <w:bookmarkEnd w:id="455"/>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）认为招标文件不符合相关法律法规规范性文件规定，应当在投标截止时间10日前向招标人提出异议；</w:t>
      </w:r>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）认为开标活动不符合相关法律法规规范性文件规定的，应当在开标</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时</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提出异议；</w:t>
      </w:r>
    </w:p>
    <w:p>
      <w:pPr>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）对评标结果有异议的，在中标候选人公示期以书面形式向招标人提出；</w:t>
      </w:r>
    </w:p>
    <w:p>
      <w:pPr>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投标人或利害关系人不满意招标人的答复或者认为招标人处理不当的，可以向本项目的招标投标行政监督部门投诉。</w:t>
      </w:r>
    </w:p>
    <w:p>
      <w:pPr>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9.5.2投标人或者其他利害关系人认为本次招标活动违反法律法规规范性文件规定的，可以在知道或者应当知道之日起10日内向本项目的招标投标行政监督部门投诉。</w:t>
      </w:r>
      <w:bookmarkStart w:id="457" w:name="_Toc9739"/>
      <w:bookmarkStart w:id="458" w:name="_Toc23383"/>
    </w:p>
    <w:p>
      <w:pPr>
        <w:pageBreakBefore w:val="0"/>
        <w:widowControl/>
        <w:kinsoku/>
        <w:wordWrap/>
        <w:overflowPunct/>
        <w:topLinePunct w:val="0"/>
        <w:autoSpaceDE/>
        <w:autoSpaceDN/>
        <w:bidi w:val="0"/>
        <w:adjustRightInd/>
        <w:snapToGrid/>
        <w:spacing w:line="440" w:lineRule="exact"/>
        <w:jc w:val="left"/>
        <w:textAlignment w:val="auto"/>
        <w:outlineLvl w:val="1"/>
        <w:rPr>
          <w:rFonts w:hint="eastAsia" w:ascii="方正仿宋_GB2312" w:hAnsi="方正仿宋_GB2312" w:eastAsia="方正仿宋_GB2312" w:cs="方正仿宋_GB2312"/>
          <w:b/>
          <w:bCs/>
          <w:sz w:val="32"/>
          <w:szCs w:val="32"/>
        </w:rPr>
      </w:pPr>
      <w:bookmarkStart w:id="459" w:name="_Toc9192"/>
      <w:r>
        <w:rPr>
          <w:rFonts w:hint="eastAsia" w:ascii="方正仿宋_GB2312" w:hAnsi="方正仿宋_GB2312" w:eastAsia="方正仿宋_GB2312" w:cs="方正仿宋_GB2312"/>
          <w:b/>
          <w:bCs/>
          <w:sz w:val="32"/>
          <w:szCs w:val="32"/>
        </w:rPr>
        <w:t xml:space="preserve">10 </w:t>
      </w:r>
      <w:bookmarkEnd w:id="456"/>
      <w:bookmarkEnd w:id="457"/>
      <w:r>
        <w:rPr>
          <w:rFonts w:hint="eastAsia" w:ascii="方正仿宋_GB2312" w:hAnsi="方正仿宋_GB2312" w:eastAsia="方正仿宋_GB2312" w:cs="方正仿宋_GB2312"/>
          <w:b/>
          <w:bCs/>
          <w:sz w:val="32"/>
          <w:szCs w:val="32"/>
          <w:lang w:val="en-US" w:eastAsia="zh-CN"/>
        </w:rPr>
        <w:t>需要补充的其他内容</w:t>
      </w:r>
      <w:bookmarkEnd w:id="458"/>
      <w:bookmarkEnd w:id="459"/>
    </w:p>
    <w:p>
      <w:pPr>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招标人补充的具体其他内容见“投标人须知前附表”。</w:t>
      </w:r>
    </w:p>
    <w:p>
      <w:pPr>
        <w:pageBreakBefore w:val="0"/>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br w:type="page"/>
      </w:r>
    </w:p>
    <w:p>
      <w:pPr>
        <w:pageBreakBefore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附件：</w:t>
      </w:r>
    </w:p>
    <w:p>
      <w:pPr>
        <w:pageBreakBefore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定标方案</w:t>
      </w:r>
    </w:p>
    <w:p>
      <w:pPr>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方正仿宋_GB2312" w:hAnsi="方正仿宋_GB2312" w:eastAsia="方正仿宋_GB2312" w:cs="方正仿宋_GB2312"/>
          <w:color w:val="auto"/>
          <w:sz w:val="32"/>
          <w:szCs w:val="32"/>
          <w:lang w:val="en-US" w:eastAsia="zh-CN"/>
        </w:rPr>
      </w:pPr>
    </w:p>
    <w:p>
      <w:pPr>
        <w:pStyle w:val="15"/>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采取“评定分离”方式的项目，招标人可参照《新疆维吾尔自治区自治区房屋建筑和市政基础设施工程建设项目招标“评定分离”操作指导规则（试行）》（以下简称“评定分离操作导则”）制定定标方案，内容包括但不限于定标委员会的组建、定标方法、定标因素、定标标准、定标会的相关规定、考察质询等内容，具体格式自拟。</w:t>
      </w:r>
    </w:p>
    <w:p>
      <w:pPr>
        <w:pageBreakBefore w:val="0"/>
        <w:kinsoku/>
        <w:bidi w:val="0"/>
        <w:spacing w:line="440" w:lineRule="exact"/>
        <w:ind w:firstLine="0" w:firstLineChars="0"/>
        <w:jc w:val="both"/>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p>
    <w:bookmarkEnd w:id="0"/>
    <w:p>
      <w:pPr>
        <w:pageBreakBefore w:val="0"/>
        <w:widowControl/>
        <w:kinsoku/>
        <w:bidi w:val="0"/>
        <w:spacing w:line="440" w:lineRule="exact"/>
        <w:ind w:firstLine="0" w:firstLineChars="0"/>
        <w:jc w:val="center"/>
        <w:outlineLvl w:val="0"/>
        <w:rPr>
          <w:rFonts w:hint="eastAsia" w:ascii="方正仿宋_GB2312" w:hAnsi="方正仿宋_GB2312" w:eastAsia="方正仿宋_GB2312" w:cs="方正仿宋_GB2312"/>
          <w:b/>
          <w:bCs/>
          <w:color w:val="000000"/>
          <w:sz w:val="32"/>
          <w:szCs w:val="32"/>
        </w:rPr>
      </w:pPr>
      <w:bookmarkStart w:id="460" w:name="_Toc13781"/>
      <w:bookmarkStart w:id="461" w:name="_Toc508286121"/>
      <w:bookmarkStart w:id="462" w:name="_Toc247085758"/>
      <w:bookmarkStart w:id="463" w:name="_Toc475027990"/>
      <w:bookmarkStart w:id="464" w:name="_Toc179632618"/>
      <w:bookmarkStart w:id="465" w:name="_Toc508282858"/>
      <w:bookmarkStart w:id="466" w:name="_Toc354417665"/>
      <w:bookmarkStart w:id="467" w:name="_Toc246996986"/>
      <w:bookmarkStart w:id="468" w:name="_Toc144974567"/>
      <w:bookmarkStart w:id="469" w:name="_Toc152042377"/>
      <w:bookmarkStart w:id="470" w:name="_Toc152045600"/>
      <w:bookmarkStart w:id="471" w:name="_Toc508286123"/>
      <w:bookmarkStart w:id="472" w:name="_Toc15859"/>
      <w:bookmarkStart w:id="473" w:name="_Toc246996243"/>
      <w:bookmarkStart w:id="474" w:name="_Toc55569959"/>
      <w:bookmarkStart w:id="475" w:name="_Toc12197"/>
      <w:r>
        <w:rPr>
          <w:rFonts w:hint="eastAsia" w:ascii="方正仿宋_GB2312" w:hAnsi="方正仿宋_GB2312" w:eastAsia="方正仿宋_GB2312" w:cs="方正仿宋_GB2312"/>
          <w:b/>
          <w:bCs/>
          <w:kern w:val="2"/>
          <w:sz w:val="32"/>
          <w:szCs w:val="32"/>
          <w:lang w:val="en-US" w:eastAsia="zh-CN" w:bidi="ar-SA"/>
        </w:rPr>
        <w:t>第三章  评标办法</w:t>
      </w:r>
      <w:bookmarkEnd w:id="460"/>
    </w:p>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bookmarkStart w:id="476" w:name="_Toc508286138"/>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评标方法包括综合评估法、经评审的最低投标价法、定性评审法。采用综合评估法评标的，以能够最大限度地满足招标文件中规定的各项条件的投标为中标标准。采用经评审的最低投标价法评标的，以能够满足招标文件的实质性要求，经评审投标价格最低，但不低于成本的投标为中标标准。招标文件中标的、数量、质量、价款、履行期限、履行地点和方式、违约责任和解决争议方法属于招标文件的实质性要求。采用定性评审法评标的，是以满足招标文件公布的符合性条件为基准，筛选资格条件合格的潜在投标人。并对其质量安全技术措施、工期管控、造价管控等方面提出合理化建议，以不排序的形式推荐至招标人。由招标人组建的定标委员会，根据招标文件公布的定标方法确定中标人。</w:t>
      </w:r>
    </w:p>
    <w:p>
      <w:pPr>
        <w:keepNext w:val="0"/>
        <w:keepLines w:val="0"/>
        <w:pageBreakBefore w:val="0"/>
        <w:kinsoku/>
        <w:wordWrap/>
        <w:overflowPunct/>
        <w:topLinePunct w:val="0"/>
        <w:autoSpaceDE/>
        <w:autoSpaceDN/>
        <w:bidi w:val="0"/>
        <w:adjustRightInd/>
        <w:snapToGrid/>
        <w:spacing w:line="440" w:lineRule="exact"/>
        <w:textAlignment w:val="auto"/>
        <w:outlineLvl w:val="1"/>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bookmarkStart w:id="477" w:name="_Toc19249"/>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一、 综合评估法</w:t>
      </w:r>
      <w:bookmarkEnd w:id="477"/>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outlineLvl w:val="2"/>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bookmarkStart w:id="478" w:name="_Toc2722"/>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（一）初步评审</w:t>
      </w:r>
      <w:bookmarkEnd w:id="478"/>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按照《新疆维吾尔自治区房屋建筑和市政基础设施工程施工评标办法（试行）》（以下简称“办法”）第十八条至第二十条及形式、资格和重大偏差评审标准（附表1-1、1-2、1-3）规定，对投标文件进行评审，对不符合相关规定和要求的投标文件予以否决。</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采取资格预审的，按照办法第六条至第七条以及相关评审表格和招标文件的规定进行评审。</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outlineLvl w:val="2"/>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bookmarkStart w:id="479" w:name="_Toc27375"/>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（二）详细评审</w:t>
      </w:r>
      <w:bookmarkEnd w:id="479"/>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通过初步评审的投标人进入详细评审，评审程序如下：</w:t>
      </w:r>
    </w:p>
    <w:p>
      <w:pPr>
        <w:pStyle w:val="12"/>
        <w:keepNext w:val="0"/>
        <w:keepLines w:val="0"/>
        <w:pageBreakBefore w:val="0"/>
        <w:numPr>
          <w:ilvl w:val="0"/>
          <w:numId w:val="0"/>
        </w:numPr>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1、商务标评审</w:t>
      </w:r>
    </w:p>
    <w:p>
      <w:pPr>
        <w:pStyle w:val="12"/>
        <w:keepNext w:val="0"/>
        <w:keepLines w:val="0"/>
        <w:pageBreakBefore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按照办法商务标评审标准（附表1-4）的规定进行评审。</w:t>
      </w:r>
    </w:p>
    <w:p>
      <w:pPr>
        <w:pStyle w:val="12"/>
        <w:keepNext w:val="0"/>
        <w:keepLines w:val="0"/>
        <w:pageBreakBefore w:val="0"/>
        <w:numPr>
          <w:ilvl w:val="0"/>
          <w:numId w:val="0"/>
        </w:numPr>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2、技术标评审</w:t>
      </w:r>
    </w:p>
    <w:p>
      <w:pPr>
        <w:pStyle w:val="12"/>
        <w:keepNext w:val="0"/>
        <w:keepLines w:val="0"/>
        <w:pageBreakBefore w:val="0"/>
        <w:kinsoku/>
        <w:wordWrap/>
        <w:overflowPunct/>
        <w:topLinePunct w:val="0"/>
        <w:autoSpaceDE/>
        <w:autoSpaceDN/>
        <w:bidi w:val="0"/>
        <w:adjustRightInd/>
        <w:snapToGrid/>
        <w:spacing w:line="440" w:lineRule="exact"/>
        <w:ind w:left="0" w:leftChars="0"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2.1 技术标评审由评标委员会按照办法第二十一条及技术标评审标准（附表1-5、1-6）的规定进行评审。</w:t>
      </w:r>
    </w:p>
    <w:p>
      <w:pPr>
        <w:pStyle w:val="12"/>
        <w:keepNext w:val="0"/>
        <w:keepLines w:val="0"/>
        <w:pageBreakBefore w:val="0"/>
        <w:kinsoku/>
        <w:wordWrap/>
        <w:overflowPunct/>
        <w:topLinePunct w:val="0"/>
        <w:autoSpaceDE/>
        <w:autoSpaceDN/>
        <w:bidi w:val="0"/>
        <w:adjustRightInd/>
        <w:snapToGrid/>
        <w:spacing w:line="440" w:lineRule="exact"/>
        <w:ind w:left="0" w:leftChars="0"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2.2 施工总承包招标控制价超过5000万元（含）以上、专业承包招标控制价超过1500万元（含）以上的项目，技术标可以采用合格制评审，也可以采用计分制评审的方式。</w:t>
      </w:r>
    </w:p>
    <w:p>
      <w:pPr>
        <w:pStyle w:val="12"/>
        <w:keepNext w:val="0"/>
        <w:keepLines w:val="0"/>
        <w:pageBreakBefore w:val="0"/>
        <w:kinsoku/>
        <w:wordWrap/>
        <w:overflowPunct/>
        <w:topLinePunct w:val="0"/>
        <w:autoSpaceDE/>
        <w:autoSpaceDN/>
        <w:bidi w:val="0"/>
        <w:adjustRightInd/>
        <w:snapToGrid/>
        <w:spacing w:line="440" w:lineRule="exact"/>
        <w:ind w:left="0" w:leftChars="0"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2.3 施工总承包招标控制价在5000万元以下的、专业承包招标控制价在1500万元以下的项目，技术标原则上采用合格制评审。</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2.4 技术标计分制评审采取暗评方式，合格制评审采取明评方式。</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3、企业诚信评审</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企业信用得分=A÷M×10</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3.1 根据《新疆维吾尔自治区建筑市场信用评价管理办法》规定，A为投标企业在自治区住房城乡建设行业信用信息管理平台公布的信用信息得分（以投标截止时得分为准），M为《新疆维吾尔自治区建筑市场信用评价管理办法》中信用信息评价标准最高分值（其中基本信用信息最高分值80分、良好信用信息最高分值70分，合计150分。）</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4、经济标评审</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4.1 报价修正</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评标委员会对清标中发现投标报价存在算术性错误的，应按以下原则对投标报价进行修正：</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一是当综合单价与工程量（或计算基础金额与费率）的乘积与合价不一致时，以综合单价（或费率）为准修正合价及总价；</w:t>
      </w:r>
    </w:p>
    <w:p>
      <w:pPr>
        <w:pStyle w:val="133"/>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二是当各单项金额相加与其合计金额不一致时，以各单项金额为准修正相应合计金额及总价。</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评标委员会修正后的价格经投标人书面确认后具有约束力，投标报价得分计算以修正后的报价为准（以后所称投标报价均为修正后的报价）。投标人不接受修正价格或修正后价格高于招标控制价的，评标委员会应否决其投标。</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 报价合理性评审</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投标人报价低于合理基准价的，其投标报价不参与评标基准价计算。</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 计算合理基准价（附表1-7）</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合理基准价={招标控制价部分×K1+投标报价部分×（1-K1）}×K2</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K1为合理基准价中招标控制价权重，由招标人在经济标计分评审前，随机抽取确定。K1取值范围0%～50%，以10%为间隔。</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4.2.1.1 招标控制价部分=（招标控制价-招标控制价中的不可竞争费用）×（1-K）+招标控制价中的不可竞争费用</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招标控制价中的不可竞争费用为：暂列金、专业工程暂估价、规费、税金、环境保护费、文明施工费、安全施工费、智慧工地基础配置费用等。</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K为合理基准价中招标控制价可竞争部分的下浮率，由招标人在经济标计分评审前，随机抽取确定。</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K值取值建议：房屋建筑工程0%～5%;单独招标的安装工程和装饰装修工程0%～8%;市政和园林绿化工程0%～10%。以上均以1%为间隔。</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4.2.1.2 投标报价部分=有效投标人少于5家（不含）直接取算术平均值；大于5家（含）时去掉总家数20%高价（四舍五入取整）和总家数20%低价（四舍五入取整）后的取算术平均值。</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4.2.1.3  K2的取值</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4.2.1.3.1 建筑工程K2为0.9；</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4.2.1.3.2 市政公用工程（轨道交通工程除外）K2为0.85；</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4.2.1.3.3 轨道交通工程K2为0.88；</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4.2.1.3.4 单独招标的装饰装修工程K2为0.92；</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4.2.1.3.5单独招标的园林景观绿化工程、仿古建筑工程K2为0.88；</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4.2.1.3.6 单独招标的安装工程K2为0.9。</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4.3 计算评标基准价（附表1-8）</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4.3.1 评标基准价=招标控制价部分×K1+投标报价部分×（1-K1）</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K1为评标基准价中招标控制价权重，由招标人在经济标计分评审前，随机抽取确定。K1取值范围0%～50%，以10%为间隔。</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4.3.1.1 招标控制价部分=（招标控制价-招标控制价中的不可竞争费用）×（1-K）+招标控制价中的不可竞争费用</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K为评标基准价中招标控制价可竞争部分的下浮率，由招标人在经济标计分评审前，随机抽取确定。</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K值取值建议：房屋建筑工程0%～5%;单独招标的安装工程和装饰装修工程0%～8%;市政和园林绿化工程0%～10%。以上均以1%为间隔。</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4.3.1.2 投标报价部分=经报价合理性评审，高于合理基准价相应标准剩余的有效投标人少于5家（不含）直接取算术平均值；大于5家（含）时去掉总家数20%高价（四舍五入取整）和总家数20%低价（四舍五入取整）后的取算术平均值。</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4.4 计算投标报价得分（附表1-9）</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投标报价小于基准价时：投标报价得分=100-（评标基准价-投标报价）÷评标基准价×100×Q</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投标报价大于基准价时：投标报价得分=100-（投标报价-评标基准价）÷评标基准价×100×Q×2</w:t>
      </w:r>
    </w:p>
    <w:p>
      <w:pPr>
        <w:pStyle w:val="12"/>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其中：Q值为投标报价每偏离评标基准价下浮1%的扣分值，由招标人在经济标计分评审前，随机抽取确定，Q取值范围0.5～2，以0.5为间隔。</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640" w:firstLineChars="200"/>
        <w:textAlignment w:val="auto"/>
        <w:outlineLvl w:val="2"/>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bookmarkStart w:id="480" w:name="_Toc22172"/>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（三）汇总评分结果</w:t>
      </w:r>
      <w:bookmarkEnd w:id="480"/>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C=[（J1×E－H）＋J2×G]×80%＋D＋F</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其中：C——评标总得分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D——商务标评审得分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E——技术标评审得分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F——信用评审得分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G——经济标计分评审得分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H——技术标明、暗示扣分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J1、J2——详细评审权重</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2"/>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bookmarkStart w:id="481" w:name="_Toc29839"/>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（四）各项评审因素权重</w:t>
      </w:r>
      <w:bookmarkEnd w:id="481"/>
    </w:p>
    <w:tbl>
      <w:tblPr>
        <w:tblStyle w:val="43"/>
        <w:tblW w:w="92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
        <w:gridCol w:w="1507"/>
        <w:gridCol w:w="2028"/>
        <w:gridCol w:w="2508"/>
        <w:gridCol w:w="22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18" w:type="dxa"/>
            <w:tcBorders>
              <w:top w:val="single" w:color="auto" w:sz="12" w:space="0"/>
              <w:left w:val="nil"/>
              <w:bottom w:val="single" w:color="auto" w:sz="6" w:space="0"/>
              <w:right w:val="single" w:color="auto" w:sz="6" w:space="0"/>
            </w:tcBorders>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bCs/>
                <w:kern w:val="0"/>
                <w:sz w:val="28"/>
                <w:szCs w:val="28"/>
                <w:highlight w:val="none"/>
              </w:rPr>
            </w:pPr>
            <w:r>
              <w:rPr>
                <w:rFonts w:hint="eastAsia" w:ascii="方正仿宋_GB2312" w:hAnsi="方正仿宋_GB2312" w:eastAsia="方正仿宋_GB2312" w:cs="方正仿宋_GB2312"/>
                <w:b/>
                <w:bCs/>
                <w:kern w:val="0"/>
                <w:sz w:val="28"/>
                <w:szCs w:val="28"/>
                <w:highlight w:val="none"/>
              </w:rPr>
              <w:t>序号</w:t>
            </w:r>
          </w:p>
        </w:tc>
        <w:tc>
          <w:tcPr>
            <w:tcW w:w="3535" w:type="dxa"/>
            <w:gridSpan w:val="2"/>
            <w:tcBorders>
              <w:top w:val="single" w:color="auto" w:sz="12" w:space="0"/>
              <w:left w:val="single" w:color="auto" w:sz="6" w:space="0"/>
              <w:bottom w:val="single" w:color="auto" w:sz="6" w:space="0"/>
              <w:right w:val="single" w:color="auto" w:sz="6" w:space="0"/>
            </w:tcBorders>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bCs/>
                <w:kern w:val="0"/>
                <w:sz w:val="28"/>
                <w:szCs w:val="28"/>
                <w:highlight w:val="none"/>
              </w:rPr>
            </w:pPr>
            <w:r>
              <w:rPr>
                <w:rFonts w:hint="eastAsia" w:ascii="方正仿宋_GB2312" w:hAnsi="方正仿宋_GB2312" w:eastAsia="方正仿宋_GB2312" w:cs="方正仿宋_GB2312"/>
                <w:b/>
                <w:bCs/>
                <w:kern w:val="0"/>
                <w:sz w:val="28"/>
                <w:szCs w:val="28"/>
                <w:highlight w:val="none"/>
              </w:rPr>
              <w:t>评审因素</w:t>
            </w:r>
          </w:p>
        </w:tc>
        <w:tc>
          <w:tcPr>
            <w:tcW w:w="2508" w:type="dxa"/>
            <w:tcBorders>
              <w:top w:val="single" w:color="auto" w:sz="12" w:space="0"/>
              <w:left w:val="single" w:color="auto" w:sz="6" w:space="0"/>
              <w:bottom w:val="single" w:color="auto" w:sz="6" w:space="0"/>
              <w:right w:val="nil"/>
            </w:tcBorders>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bCs/>
                <w:kern w:val="0"/>
                <w:sz w:val="28"/>
                <w:szCs w:val="28"/>
                <w:highlight w:val="none"/>
              </w:rPr>
            </w:pPr>
            <w:r>
              <w:rPr>
                <w:rFonts w:hint="eastAsia" w:ascii="方正仿宋_GB2312" w:hAnsi="方正仿宋_GB2312" w:eastAsia="方正仿宋_GB2312" w:cs="方正仿宋_GB2312"/>
                <w:b/>
                <w:bCs/>
                <w:kern w:val="0"/>
                <w:sz w:val="28"/>
                <w:szCs w:val="28"/>
                <w:highlight w:val="none"/>
              </w:rPr>
              <w:t>详细评审权重</w:t>
            </w:r>
          </w:p>
        </w:tc>
        <w:tc>
          <w:tcPr>
            <w:tcW w:w="2256" w:type="dxa"/>
            <w:tcBorders>
              <w:top w:val="single" w:color="auto" w:sz="12" w:space="0"/>
              <w:left w:val="single" w:color="auto" w:sz="6" w:space="0"/>
              <w:bottom w:val="single" w:color="auto" w:sz="6" w:space="0"/>
              <w:right w:val="nil"/>
            </w:tcBorders>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bCs/>
                <w:kern w:val="0"/>
                <w:sz w:val="28"/>
                <w:szCs w:val="28"/>
                <w:highlight w:val="none"/>
              </w:rPr>
            </w:pPr>
            <w:r>
              <w:rPr>
                <w:rFonts w:hint="eastAsia" w:ascii="方正仿宋_GB2312" w:hAnsi="方正仿宋_GB2312" w:eastAsia="方正仿宋_GB2312" w:cs="方正仿宋_GB2312"/>
                <w:b/>
                <w:bCs/>
                <w:kern w:val="0"/>
                <w:sz w:val="28"/>
                <w:szCs w:val="28"/>
                <w:highlight w:val="none"/>
              </w:rPr>
              <w:t>计分权重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18" w:type="dxa"/>
            <w:vMerge w:val="restart"/>
            <w:tcBorders>
              <w:top w:val="single" w:color="auto" w:sz="6" w:space="0"/>
              <w:left w:val="nil"/>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w:t>
            </w:r>
          </w:p>
        </w:tc>
        <w:tc>
          <w:tcPr>
            <w:tcW w:w="1507" w:type="dxa"/>
            <w:vMerge w:val="restart"/>
            <w:tcBorders>
              <w:top w:val="single" w:color="auto" w:sz="6" w:space="0"/>
              <w:left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技术标（</w:t>
            </w:r>
            <w:r>
              <w:rPr>
                <w:rFonts w:hint="eastAsia" w:ascii="方正仿宋_GB2312" w:hAnsi="方正仿宋_GB2312" w:eastAsia="方正仿宋_GB2312" w:cs="方正仿宋_GB2312"/>
                <w:sz w:val="28"/>
                <w:szCs w:val="28"/>
                <w:highlight w:val="none"/>
                <w:lang w:val="en-US" w:eastAsia="zh-CN"/>
              </w:rPr>
              <w:t>E</w:t>
            </w:r>
            <w:r>
              <w:rPr>
                <w:rFonts w:hint="eastAsia" w:ascii="方正仿宋_GB2312" w:hAnsi="方正仿宋_GB2312" w:eastAsia="方正仿宋_GB2312" w:cs="方正仿宋_GB2312"/>
                <w:sz w:val="28"/>
                <w:szCs w:val="28"/>
                <w:highlight w:val="none"/>
              </w:rPr>
              <w:t>）</w:t>
            </w:r>
          </w:p>
        </w:tc>
        <w:tc>
          <w:tcPr>
            <w:tcW w:w="2028" w:type="dxa"/>
            <w:tcBorders>
              <w:top w:val="single" w:color="auto" w:sz="6" w:space="0"/>
              <w:left w:val="single" w:color="auto" w:sz="6" w:space="0"/>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计分制</w:t>
            </w:r>
          </w:p>
        </w:tc>
        <w:tc>
          <w:tcPr>
            <w:tcW w:w="2508" w:type="dxa"/>
            <w:tcBorders>
              <w:top w:val="single" w:color="auto" w:sz="6" w:space="0"/>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kern w:val="2"/>
                <w:sz w:val="28"/>
                <w:szCs w:val="28"/>
                <w:highlight w:val="none"/>
                <w:lang w:val="en-US" w:eastAsia="zh-CN" w:bidi="ar-SA"/>
              </w:rPr>
              <w:t>J</w:t>
            </w:r>
            <w:r>
              <w:rPr>
                <w:rFonts w:hint="eastAsia" w:ascii="方正仿宋_GB2312" w:hAnsi="方正仿宋_GB2312" w:eastAsia="方正仿宋_GB2312" w:cs="方正仿宋_GB2312"/>
                <w:color w:val="auto"/>
                <w:kern w:val="2"/>
                <w:sz w:val="28"/>
                <w:szCs w:val="28"/>
                <w:highlight w:val="none"/>
                <w:vertAlign w:val="subscript"/>
                <w:lang w:val="en-US" w:eastAsia="zh-CN" w:bidi="ar-SA"/>
              </w:rPr>
              <w:t>1</w:t>
            </w:r>
            <w:r>
              <w:rPr>
                <w:rFonts w:hint="eastAsia" w:ascii="方正仿宋_GB2312" w:hAnsi="方正仿宋_GB2312" w:eastAsia="方正仿宋_GB2312" w:cs="方正仿宋_GB2312"/>
                <w:color w:val="auto"/>
                <w:sz w:val="28"/>
                <w:szCs w:val="28"/>
                <w:highlight w:val="none"/>
              </w:rPr>
              <w:t>≤30%</w:t>
            </w:r>
          </w:p>
        </w:tc>
        <w:tc>
          <w:tcPr>
            <w:tcW w:w="2256" w:type="dxa"/>
            <w:vMerge w:val="restart"/>
            <w:tcBorders>
              <w:top w:val="single" w:color="auto" w:sz="6" w:space="0"/>
              <w:left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8</w:t>
            </w:r>
            <w:r>
              <w:rPr>
                <w:rFonts w:hint="eastAsia" w:ascii="方正仿宋_GB2312" w:hAnsi="方正仿宋_GB2312" w:eastAsia="方正仿宋_GB2312" w:cs="方正仿宋_GB2312"/>
                <w:sz w:val="28"/>
                <w:szCs w:val="28"/>
                <w:highlight w:val="none"/>
                <w:lang w:val="en-US" w:eastAsia="zh-CN"/>
              </w:rPr>
              <w:t>0</w:t>
            </w:r>
            <w:r>
              <w:rPr>
                <w:rFonts w:hint="eastAsia" w:ascii="方正仿宋_GB2312" w:hAnsi="方正仿宋_GB2312" w:eastAsia="方正仿宋_GB2312" w:cs="方正仿宋_GB2312"/>
                <w:sz w:val="28"/>
                <w:szCs w:val="2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18" w:type="dxa"/>
            <w:vMerge w:val="continue"/>
            <w:tcBorders>
              <w:left w:val="nil"/>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p>
        </w:tc>
        <w:tc>
          <w:tcPr>
            <w:tcW w:w="1507" w:type="dxa"/>
            <w:vMerge w:val="continue"/>
            <w:tcBorders>
              <w:left w:val="single" w:color="auto" w:sz="6" w:space="0"/>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p>
        </w:tc>
        <w:tc>
          <w:tcPr>
            <w:tcW w:w="2028" w:type="dxa"/>
            <w:tcBorders>
              <w:top w:val="single" w:color="auto" w:sz="6" w:space="0"/>
              <w:left w:val="single" w:color="auto" w:sz="6" w:space="0"/>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合格制</w:t>
            </w:r>
          </w:p>
        </w:tc>
        <w:tc>
          <w:tcPr>
            <w:tcW w:w="2508" w:type="dxa"/>
            <w:tcBorders>
              <w:top w:val="single" w:color="auto" w:sz="6" w:space="0"/>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kern w:val="2"/>
                <w:sz w:val="28"/>
                <w:szCs w:val="28"/>
                <w:highlight w:val="none"/>
                <w:lang w:val="en-US" w:eastAsia="zh-CN" w:bidi="ar-SA"/>
              </w:rPr>
              <w:t>J</w:t>
            </w:r>
            <w:r>
              <w:rPr>
                <w:rFonts w:hint="eastAsia" w:ascii="方正仿宋_GB2312" w:hAnsi="方正仿宋_GB2312" w:eastAsia="方正仿宋_GB2312" w:cs="方正仿宋_GB2312"/>
                <w:color w:val="auto"/>
                <w:kern w:val="2"/>
                <w:sz w:val="28"/>
                <w:szCs w:val="28"/>
                <w:highlight w:val="none"/>
                <w:vertAlign w:val="subscript"/>
                <w:lang w:val="en-US" w:eastAsia="zh-CN" w:bidi="ar-SA"/>
              </w:rPr>
              <w:t>1</w:t>
            </w:r>
            <w:r>
              <w:rPr>
                <w:rFonts w:hint="eastAsia" w:ascii="方正仿宋_GB2312" w:hAnsi="方正仿宋_GB2312" w:eastAsia="方正仿宋_GB2312" w:cs="方正仿宋_GB2312"/>
                <w:color w:val="auto"/>
                <w:sz w:val="28"/>
                <w:szCs w:val="28"/>
                <w:highlight w:val="none"/>
              </w:rPr>
              <w:t>=0</w:t>
            </w:r>
          </w:p>
        </w:tc>
        <w:tc>
          <w:tcPr>
            <w:tcW w:w="2256" w:type="dxa"/>
            <w:vMerge w:val="continue"/>
            <w:tcBorders>
              <w:left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18" w:type="dxa"/>
            <w:vMerge w:val="restart"/>
            <w:tcBorders>
              <w:top w:val="single" w:color="auto" w:sz="6" w:space="0"/>
              <w:left w:val="nil"/>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w:t>
            </w:r>
          </w:p>
        </w:tc>
        <w:tc>
          <w:tcPr>
            <w:tcW w:w="1507" w:type="dxa"/>
            <w:vMerge w:val="restart"/>
            <w:tcBorders>
              <w:top w:val="single" w:color="auto" w:sz="6" w:space="0"/>
              <w:left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经济标计分</w:t>
            </w:r>
            <w:r>
              <w:rPr>
                <w:rFonts w:hint="eastAsia" w:ascii="方正仿宋_GB2312" w:hAnsi="方正仿宋_GB2312" w:eastAsia="方正仿宋_GB2312" w:cs="方正仿宋_GB2312"/>
                <w:sz w:val="28"/>
                <w:szCs w:val="28"/>
                <w:highlight w:val="none"/>
              </w:rPr>
              <w:t>评审(</w:t>
            </w:r>
            <w:r>
              <w:rPr>
                <w:rFonts w:hint="eastAsia" w:ascii="方正仿宋_GB2312" w:hAnsi="方正仿宋_GB2312" w:eastAsia="方正仿宋_GB2312" w:cs="方正仿宋_GB2312"/>
                <w:sz w:val="28"/>
                <w:szCs w:val="28"/>
                <w:highlight w:val="none"/>
                <w:lang w:val="en-US" w:eastAsia="zh-CN"/>
              </w:rPr>
              <w:t>G</w:t>
            </w:r>
            <w:r>
              <w:rPr>
                <w:rFonts w:hint="eastAsia" w:ascii="方正仿宋_GB2312" w:hAnsi="方正仿宋_GB2312" w:eastAsia="方正仿宋_GB2312" w:cs="方正仿宋_GB2312"/>
                <w:sz w:val="28"/>
                <w:szCs w:val="28"/>
                <w:highlight w:val="none"/>
              </w:rPr>
              <w:t>)</w:t>
            </w:r>
          </w:p>
        </w:tc>
        <w:tc>
          <w:tcPr>
            <w:tcW w:w="2028" w:type="dxa"/>
            <w:tcBorders>
              <w:top w:val="single" w:color="auto" w:sz="6" w:space="0"/>
              <w:left w:val="single" w:color="auto" w:sz="6" w:space="0"/>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技术标</w:t>
            </w:r>
            <w:r>
              <w:rPr>
                <w:rFonts w:hint="eastAsia" w:ascii="方正仿宋_GB2312" w:hAnsi="方正仿宋_GB2312" w:eastAsia="方正仿宋_GB2312" w:cs="方正仿宋_GB2312"/>
                <w:sz w:val="28"/>
                <w:szCs w:val="28"/>
                <w:highlight w:val="none"/>
                <w:lang w:val="en-US" w:eastAsia="zh-CN"/>
              </w:rPr>
              <w:t>评审</w:t>
            </w:r>
            <w:r>
              <w:rPr>
                <w:rFonts w:hint="eastAsia" w:ascii="方正仿宋_GB2312" w:hAnsi="方正仿宋_GB2312" w:eastAsia="方正仿宋_GB2312" w:cs="方正仿宋_GB2312"/>
                <w:sz w:val="28"/>
                <w:szCs w:val="28"/>
                <w:highlight w:val="none"/>
              </w:rPr>
              <w:t>采用计分制</w:t>
            </w:r>
            <w:r>
              <w:rPr>
                <w:rFonts w:hint="eastAsia" w:ascii="方正仿宋_GB2312" w:hAnsi="方正仿宋_GB2312" w:eastAsia="方正仿宋_GB2312" w:cs="方正仿宋_GB2312"/>
                <w:sz w:val="28"/>
                <w:szCs w:val="28"/>
                <w:highlight w:val="none"/>
                <w:lang w:val="en-US" w:eastAsia="zh-CN"/>
              </w:rPr>
              <w:t>的</w:t>
            </w:r>
          </w:p>
        </w:tc>
        <w:tc>
          <w:tcPr>
            <w:tcW w:w="2508" w:type="dxa"/>
            <w:tcBorders>
              <w:top w:val="single" w:color="auto" w:sz="6" w:space="0"/>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kern w:val="2"/>
                <w:sz w:val="28"/>
                <w:szCs w:val="28"/>
                <w:highlight w:val="none"/>
                <w:lang w:val="en-US" w:eastAsia="zh-CN" w:bidi="ar-SA"/>
              </w:rPr>
              <w:t>J</w:t>
            </w:r>
            <w:r>
              <w:rPr>
                <w:rFonts w:hint="eastAsia" w:ascii="方正仿宋_GB2312" w:hAnsi="方正仿宋_GB2312" w:eastAsia="方正仿宋_GB2312" w:cs="方正仿宋_GB2312"/>
                <w:color w:val="auto"/>
                <w:kern w:val="2"/>
                <w:sz w:val="28"/>
                <w:szCs w:val="28"/>
                <w:highlight w:val="none"/>
                <w:vertAlign w:val="subscript"/>
                <w:lang w:val="en-US" w:eastAsia="zh-CN" w:bidi="ar-SA"/>
              </w:rPr>
              <w:t>2</w:t>
            </w:r>
            <w:r>
              <w:rPr>
                <w:rFonts w:hint="eastAsia" w:ascii="方正仿宋_GB2312" w:hAnsi="方正仿宋_GB2312" w:eastAsia="方正仿宋_GB2312" w:cs="方正仿宋_GB2312"/>
                <w:color w:val="auto"/>
                <w:sz w:val="28"/>
                <w:szCs w:val="28"/>
                <w:highlight w:val="none"/>
              </w:rPr>
              <w:t>≥70%</w:t>
            </w:r>
          </w:p>
        </w:tc>
        <w:tc>
          <w:tcPr>
            <w:tcW w:w="2256" w:type="dxa"/>
            <w:vMerge w:val="continue"/>
            <w:tcBorders>
              <w:left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18" w:type="dxa"/>
            <w:vMerge w:val="continue"/>
            <w:tcBorders>
              <w:left w:val="nil"/>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p>
        </w:tc>
        <w:tc>
          <w:tcPr>
            <w:tcW w:w="1507" w:type="dxa"/>
            <w:vMerge w:val="continue"/>
            <w:tcBorders>
              <w:left w:val="single" w:color="auto" w:sz="6" w:space="0"/>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p>
        </w:tc>
        <w:tc>
          <w:tcPr>
            <w:tcW w:w="2028" w:type="dxa"/>
            <w:tcBorders>
              <w:top w:val="single" w:color="auto" w:sz="6" w:space="0"/>
              <w:left w:val="single" w:color="auto" w:sz="6" w:space="0"/>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lang w:val="en-US" w:eastAsia="zh-CN"/>
              </w:rPr>
            </w:pPr>
            <w:r>
              <w:rPr>
                <w:rFonts w:hint="eastAsia" w:ascii="方正仿宋_GB2312" w:hAnsi="方正仿宋_GB2312" w:eastAsia="方正仿宋_GB2312" w:cs="方正仿宋_GB2312"/>
                <w:sz w:val="28"/>
                <w:szCs w:val="28"/>
                <w:highlight w:val="none"/>
              </w:rPr>
              <w:t>技术标</w:t>
            </w:r>
            <w:r>
              <w:rPr>
                <w:rFonts w:hint="eastAsia" w:ascii="方正仿宋_GB2312" w:hAnsi="方正仿宋_GB2312" w:eastAsia="方正仿宋_GB2312" w:cs="方正仿宋_GB2312"/>
                <w:sz w:val="28"/>
                <w:szCs w:val="28"/>
                <w:highlight w:val="none"/>
                <w:lang w:val="en-US" w:eastAsia="zh-CN"/>
              </w:rPr>
              <w:t>评审</w:t>
            </w:r>
            <w:r>
              <w:rPr>
                <w:rFonts w:hint="eastAsia" w:ascii="方正仿宋_GB2312" w:hAnsi="方正仿宋_GB2312" w:eastAsia="方正仿宋_GB2312" w:cs="方正仿宋_GB2312"/>
                <w:sz w:val="28"/>
                <w:szCs w:val="28"/>
                <w:highlight w:val="none"/>
              </w:rPr>
              <w:t>采用合格制</w:t>
            </w:r>
            <w:r>
              <w:rPr>
                <w:rFonts w:hint="eastAsia" w:ascii="方正仿宋_GB2312" w:hAnsi="方正仿宋_GB2312" w:eastAsia="方正仿宋_GB2312" w:cs="方正仿宋_GB2312"/>
                <w:sz w:val="28"/>
                <w:szCs w:val="28"/>
                <w:highlight w:val="none"/>
                <w:lang w:val="en-US" w:eastAsia="zh-CN"/>
              </w:rPr>
              <w:t>的</w:t>
            </w:r>
          </w:p>
        </w:tc>
        <w:tc>
          <w:tcPr>
            <w:tcW w:w="2508" w:type="dxa"/>
            <w:tcBorders>
              <w:top w:val="single" w:color="auto" w:sz="6" w:space="0"/>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auto"/>
                <w:sz w:val="28"/>
                <w:szCs w:val="28"/>
                <w:highlight w:val="none"/>
              </w:rPr>
            </w:pPr>
            <w:r>
              <w:rPr>
                <w:rFonts w:hint="eastAsia" w:ascii="方正仿宋_GB2312" w:hAnsi="方正仿宋_GB2312" w:eastAsia="方正仿宋_GB2312" w:cs="方正仿宋_GB2312"/>
                <w:color w:val="auto"/>
                <w:kern w:val="2"/>
                <w:sz w:val="28"/>
                <w:szCs w:val="28"/>
                <w:highlight w:val="none"/>
                <w:lang w:val="en-US" w:eastAsia="zh-CN" w:bidi="ar-SA"/>
              </w:rPr>
              <w:t>J</w:t>
            </w:r>
            <w:r>
              <w:rPr>
                <w:rFonts w:hint="eastAsia" w:ascii="方正仿宋_GB2312" w:hAnsi="方正仿宋_GB2312" w:eastAsia="方正仿宋_GB2312" w:cs="方正仿宋_GB2312"/>
                <w:color w:val="auto"/>
                <w:kern w:val="2"/>
                <w:sz w:val="28"/>
                <w:szCs w:val="28"/>
                <w:highlight w:val="none"/>
                <w:vertAlign w:val="subscript"/>
                <w:lang w:val="en-US" w:eastAsia="zh-CN" w:bidi="ar-SA"/>
              </w:rPr>
              <w:t>2</w:t>
            </w:r>
            <w:r>
              <w:rPr>
                <w:rFonts w:hint="eastAsia" w:ascii="方正仿宋_GB2312" w:hAnsi="方正仿宋_GB2312" w:eastAsia="方正仿宋_GB2312" w:cs="方正仿宋_GB2312"/>
                <w:color w:val="auto"/>
                <w:sz w:val="28"/>
                <w:szCs w:val="28"/>
                <w:highlight w:val="none"/>
              </w:rPr>
              <w:t>=100%</w:t>
            </w:r>
          </w:p>
        </w:tc>
        <w:tc>
          <w:tcPr>
            <w:tcW w:w="2256" w:type="dxa"/>
            <w:vMerge w:val="continue"/>
            <w:tcBorders>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18" w:type="dxa"/>
            <w:tcBorders>
              <w:top w:val="single" w:color="auto" w:sz="6" w:space="0"/>
              <w:left w:val="nil"/>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3</w:t>
            </w:r>
          </w:p>
        </w:tc>
        <w:tc>
          <w:tcPr>
            <w:tcW w:w="3535" w:type="dxa"/>
            <w:gridSpan w:val="2"/>
            <w:tcBorders>
              <w:top w:val="single" w:color="auto" w:sz="6" w:space="0"/>
              <w:left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商务评审(</w:t>
            </w:r>
            <w:r>
              <w:rPr>
                <w:rFonts w:hint="eastAsia" w:ascii="方正仿宋_GB2312" w:hAnsi="方正仿宋_GB2312" w:eastAsia="方正仿宋_GB2312" w:cs="方正仿宋_GB2312"/>
                <w:sz w:val="28"/>
                <w:szCs w:val="28"/>
                <w:highlight w:val="none"/>
                <w:lang w:val="en-US" w:eastAsia="zh-CN"/>
              </w:rPr>
              <w:t>D</w:t>
            </w:r>
            <w:r>
              <w:rPr>
                <w:rFonts w:hint="eastAsia" w:ascii="方正仿宋_GB2312" w:hAnsi="方正仿宋_GB2312" w:eastAsia="方正仿宋_GB2312" w:cs="方正仿宋_GB2312"/>
                <w:sz w:val="28"/>
                <w:szCs w:val="28"/>
                <w:highlight w:val="none"/>
              </w:rPr>
              <w:t>)</w:t>
            </w:r>
          </w:p>
        </w:tc>
        <w:tc>
          <w:tcPr>
            <w:tcW w:w="2508" w:type="dxa"/>
            <w:tcBorders>
              <w:top w:val="single" w:color="auto" w:sz="6" w:space="0"/>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10</w:t>
            </w:r>
            <w:r>
              <w:rPr>
                <w:rFonts w:hint="eastAsia" w:ascii="方正仿宋_GB2312" w:hAnsi="方正仿宋_GB2312" w:eastAsia="方正仿宋_GB2312" w:cs="方正仿宋_GB2312"/>
                <w:sz w:val="28"/>
                <w:szCs w:val="28"/>
                <w:highlight w:val="none"/>
              </w:rPr>
              <w:t>分（固定分值）</w:t>
            </w:r>
          </w:p>
        </w:tc>
        <w:tc>
          <w:tcPr>
            <w:tcW w:w="2256" w:type="dxa"/>
            <w:tcBorders>
              <w:top w:val="single" w:color="auto" w:sz="6" w:space="0"/>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val="en-US" w:eastAsia="zh-CN"/>
              </w:rPr>
              <w:t>10</w:t>
            </w:r>
            <w:r>
              <w:rPr>
                <w:rFonts w:hint="eastAsia" w:ascii="方正仿宋_GB2312" w:hAnsi="方正仿宋_GB2312" w:eastAsia="方正仿宋_GB2312" w:cs="方正仿宋_GB2312"/>
                <w:sz w:val="28"/>
                <w:szCs w:val="28"/>
                <w:highlight w:val="none"/>
              </w:rPr>
              <w:t>分（固定分值）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18" w:type="dxa"/>
            <w:tcBorders>
              <w:top w:val="single" w:color="auto" w:sz="6" w:space="0"/>
              <w:left w:val="nil"/>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w:t>
            </w:r>
          </w:p>
        </w:tc>
        <w:tc>
          <w:tcPr>
            <w:tcW w:w="3535" w:type="dxa"/>
            <w:gridSpan w:val="2"/>
            <w:tcBorders>
              <w:top w:val="single" w:color="auto" w:sz="6" w:space="0"/>
              <w:left w:val="single" w:color="auto" w:sz="6" w:space="0"/>
              <w:bottom w:val="single" w:color="auto" w:sz="6" w:space="0"/>
              <w:right w:val="single" w:color="auto" w:sz="6" w:space="0"/>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信用评审(</w:t>
            </w:r>
            <w:r>
              <w:rPr>
                <w:rFonts w:hint="eastAsia" w:ascii="方正仿宋_GB2312" w:hAnsi="方正仿宋_GB2312" w:eastAsia="方正仿宋_GB2312" w:cs="方正仿宋_GB2312"/>
                <w:sz w:val="28"/>
                <w:szCs w:val="28"/>
                <w:highlight w:val="none"/>
                <w:lang w:val="en-US" w:eastAsia="zh-CN"/>
              </w:rPr>
              <w:t>F</w:t>
            </w:r>
            <w:r>
              <w:rPr>
                <w:rFonts w:hint="eastAsia" w:ascii="方正仿宋_GB2312" w:hAnsi="方正仿宋_GB2312" w:eastAsia="方正仿宋_GB2312" w:cs="方正仿宋_GB2312"/>
                <w:sz w:val="28"/>
                <w:szCs w:val="28"/>
                <w:highlight w:val="none"/>
              </w:rPr>
              <w:t>)</w:t>
            </w:r>
          </w:p>
        </w:tc>
        <w:tc>
          <w:tcPr>
            <w:tcW w:w="2508" w:type="dxa"/>
            <w:tcBorders>
              <w:top w:val="single" w:color="auto" w:sz="6" w:space="0"/>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10分（固定分值）</w:t>
            </w:r>
          </w:p>
        </w:tc>
        <w:tc>
          <w:tcPr>
            <w:tcW w:w="2256" w:type="dxa"/>
            <w:tcBorders>
              <w:top w:val="single" w:color="auto" w:sz="6" w:space="0"/>
              <w:left w:val="single" w:color="auto" w:sz="6" w:space="0"/>
              <w:bottom w:val="single" w:color="auto" w:sz="6" w:space="0"/>
              <w:right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10分（固定分值）</w:t>
            </w:r>
          </w:p>
        </w:tc>
      </w:tr>
    </w:tbl>
    <w:p>
      <w:pPr>
        <w:pStyle w:val="12"/>
        <w:keepNext w:val="0"/>
        <w:keepLines w:val="0"/>
        <w:pageBreakBefore w:val="0"/>
        <w:widowControl/>
        <w:kinsoku/>
        <w:wordWrap/>
        <w:overflowPunct/>
        <w:topLinePunct w:val="0"/>
        <w:autoSpaceDE/>
        <w:autoSpaceDN/>
        <w:bidi w:val="0"/>
        <w:adjustRightInd/>
        <w:snapToGrid/>
        <w:spacing w:line="440" w:lineRule="exact"/>
        <w:ind w:firstLine="640" w:firstLineChars="200"/>
        <w:textAlignment w:val="auto"/>
        <w:outlineLvl w:val="2"/>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bookmarkStart w:id="482" w:name="_Toc9143"/>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（五）推荐中标候选人</w:t>
      </w:r>
      <w:bookmarkEnd w:id="482"/>
    </w:p>
    <w:p>
      <w:pPr>
        <w:pStyle w:val="12"/>
        <w:keepNext w:val="0"/>
        <w:keepLines w:val="0"/>
        <w:pageBreakBefore w:val="0"/>
        <w:widowControl/>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按照评标总得分从高至低确定投标人排序。当出现二个或二个以上投标人评标总得分相同时，由评标委员会按照其投标报价由低至高进行排序。根据招标文件的要求，推荐不超过3个有排序的中标候选人，招标人按照中标候选人的排序确定中标人。</w:t>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附表1-1</w:t>
      </w:r>
    </w:p>
    <w:tbl>
      <w:tblPr>
        <w:tblStyle w:val="43"/>
        <w:tblW w:w="8395" w:type="dxa"/>
        <w:tblInd w:w="0" w:type="dxa"/>
        <w:tblLayout w:type="fixed"/>
        <w:tblCellMar>
          <w:top w:w="0" w:type="dxa"/>
          <w:left w:w="0" w:type="dxa"/>
          <w:bottom w:w="0" w:type="dxa"/>
          <w:right w:w="0" w:type="dxa"/>
        </w:tblCellMar>
      </w:tblPr>
      <w:tblGrid>
        <w:gridCol w:w="772"/>
        <w:gridCol w:w="6084"/>
        <w:gridCol w:w="769"/>
        <w:gridCol w:w="770"/>
      </w:tblGrid>
      <w:tr>
        <w:tblPrEx>
          <w:tblCellMar>
            <w:top w:w="0" w:type="dxa"/>
            <w:left w:w="0" w:type="dxa"/>
            <w:bottom w:w="0" w:type="dxa"/>
            <w:right w:w="0" w:type="dxa"/>
          </w:tblCellMar>
        </w:tblPrEx>
        <w:trPr>
          <w:trHeight w:val="1044" w:hRule="atLeast"/>
        </w:trPr>
        <w:tc>
          <w:tcPr>
            <w:tcW w:w="8395" w:type="dxa"/>
            <w:gridSpan w:val="4"/>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lang w:eastAsia="zh-CN"/>
              </w:rPr>
            </w:pPr>
            <w:r>
              <w:rPr>
                <w:rFonts w:hint="eastAsia" w:ascii="方正仿宋_GB2312" w:hAnsi="方正仿宋_GB2312" w:eastAsia="方正仿宋_GB2312" w:cs="方正仿宋_GB2312"/>
                <w:b/>
                <w:color w:val="000000"/>
                <w:kern w:val="0"/>
                <w:sz w:val="28"/>
                <w:szCs w:val="28"/>
                <w:highlight w:val="none"/>
                <w:lang w:bidi="ar"/>
              </w:rPr>
              <w:t>形式评审</w:t>
            </w:r>
            <w:r>
              <w:rPr>
                <w:rFonts w:hint="eastAsia" w:ascii="方正仿宋_GB2312" w:hAnsi="方正仿宋_GB2312" w:eastAsia="方正仿宋_GB2312" w:cs="方正仿宋_GB2312"/>
                <w:b/>
                <w:color w:val="000000"/>
                <w:kern w:val="0"/>
                <w:sz w:val="28"/>
                <w:szCs w:val="28"/>
                <w:highlight w:val="none"/>
                <w:lang w:val="en-US" w:eastAsia="zh-CN" w:bidi="ar"/>
              </w:rPr>
              <w:t>标准</w:t>
            </w:r>
          </w:p>
        </w:tc>
      </w:tr>
      <w:tr>
        <w:tblPrEx>
          <w:tblCellMar>
            <w:top w:w="0" w:type="dxa"/>
            <w:left w:w="0" w:type="dxa"/>
            <w:bottom w:w="0" w:type="dxa"/>
            <w:right w:w="0" w:type="dxa"/>
          </w:tblCellMar>
        </w:tblPrEx>
        <w:trPr>
          <w:trHeight w:val="489" w:hRule="atLeast"/>
        </w:trPr>
        <w:tc>
          <w:tcPr>
            <w:tcW w:w="6856" w:type="dxa"/>
            <w:gridSpan w:val="2"/>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bCs/>
                <w:color w:val="000000"/>
                <w:kern w:val="0"/>
                <w:sz w:val="28"/>
                <w:szCs w:val="28"/>
                <w:highlight w:val="none"/>
                <w:lang w:bidi="ar"/>
              </w:rPr>
              <w:t>项目名称：</w:t>
            </w:r>
          </w:p>
        </w:tc>
        <w:tc>
          <w:tcPr>
            <w:tcW w:w="769"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28"/>
                <w:szCs w:val="28"/>
                <w:highlight w:val="none"/>
              </w:rPr>
            </w:pPr>
          </w:p>
        </w:tc>
        <w:tc>
          <w:tcPr>
            <w:tcW w:w="770"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28"/>
                <w:szCs w:val="28"/>
                <w:highlight w:val="none"/>
              </w:rPr>
            </w:pPr>
          </w:p>
        </w:tc>
      </w:tr>
      <w:tr>
        <w:tblPrEx>
          <w:tblCellMar>
            <w:top w:w="0" w:type="dxa"/>
            <w:left w:w="0" w:type="dxa"/>
            <w:bottom w:w="0" w:type="dxa"/>
            <w:right w:w="0" w:type="dxa"/>
          </w:tblCellMar>
        </w:tblPrEx>
        <w:trPr>
          <w:trHeight w:val="312" w:hRule="atLeast"/>
        </w:trPr>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序号</w:t>
            </w:r>
          </w:p>
        </w:tc>
        <w:tc>
          <w:tcPr>
            <w:tcW w:w="60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评审内容</w:t>
            </w:r>
          </w:p>
        </w:tc>
        <w:tc>
          <w:tcPr>
            <w:tcW w:w="153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评审意见</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（是否通过）</w:t>
            </w:r>
          </w:p>
        </w:tc>
      </w:tr>
      <w:tr>
        <w:tblPrEx>
          <w:tblCellMar>
            <w:top w:w="0" w:type="dxa"/>
            <w:left w:w="0" w:type="dxa"/>
            <w:bottom w:w="0" w:type="dxa"/>
            <w:right w:w="0" w:type="dxa"/>
          </w:tblCellMar>
        </w:tblPrEx>
        <w:trPr>
          <w:trHeight w:val="312"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p>
        </w:tc>
        <w:tc>
          <w:tcPr>
            <w:tcW w:w="6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p>
        </w:tc>
        <w:tc>
          <w:tcPr>
            <w:tcW w:w="153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p>
        </w:tc>
      </w:tr>
      <w:tr>
        <w:tblPrEx>
          <w:tblCellMar>
            <w:top w:w="0" w:type="dxa"/>
            <w:left w:w="0" w:type="dxa"/>
            <w:bottom w:w="0" w:type="dxa"/>
            <w:right w:w="0" w:type="dxa"/>
          </w:tblCellMar>
        </w:tblPrEx>
        <w:trPr>
          <w:trHeight w:val="270" w:hRule="atLeast"/>
        </w:trPr>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p>
        </w:tc>
        <w:tc>
          <w:tcPr>
            <w:tcW w:w="60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是</w:t>
            </w: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否</w:t>
            </w:r>
          </w:p>
        </w:tc>
      </w:tr>
      <w:tr>
        <w:tblPrEx>
          <w:tblCellMar>
            <w:top w:w="0" w:type="dxa"/>
            <w:left w:w="0" w:type="dxa"/>
            <w:bottom w:w="0" w:type="dxa"/>
            <w:right w:w="0" w:type="dxa"/>
          </w:tblCellMar>
        </w:tblPrEx>
        <w:trPr>
          <w:trHeight w:val="11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1</w:t>
            </w:r>
          </w:p>
        </w:tc>
        <w:tc>
          <w:tcPr>
            <w:tcW w:w="6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rPr>
              <w:t>未按照招标文件要求提供投标担保，或者所提供的投标担保有瑕疵的；</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67"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2</w:t>
            </w:r>
          </w:p>
        </w:tc>
        <w:tc>
          <w:tcPr>
            <w:tcW w:w="6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rPr>
              <w:t>项目负责人不是投标人注册执业人员的；</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82"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3</w:t>
            </w:r>
          </w:p>
        </w:tc>
        <w:tc>
          <w:tcPr>
            <w:tcW w:w="6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rPr>
              <w:t>投标文件指定位置没有投标单位法定代表人或其授权代表签字（章）和加盖投标单位公章的；</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4</w:t>
            </w:r>
          </w:p>
        </w:tc>
        <w:tc>
          <w:tcPr>
            <w:tcW w:w="6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rPr>
              <w:t>组成一个联合体投标，未提交联合体各方签订的共同投标协议的；</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5</w:t>
            </w:r>
          </w:p>
        </w:tc>
        <w:tc>
          <w:tcPr>
            <w:tcW w:w="6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rPr>
              <w:t>投标文件载明的技术规格、技术标准、货物包装方式、检验标准和方法等，不符合招标文件要求的；</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6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top"/>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bidi="ar"/>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800" w:hRule="atLeast"/>
        </w:trPr>
        <w:tc>
          <w:tcPr>
            <w:tcW w:w="68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top"/>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结论：是否通过评审</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附表1-2</w:t>
      </w:r>
    </w:p>
    <w:tbl>
      <w:tblPr>
        <w:tblStyle w:val="43"/>
        <w:tblW w:w="8319" w:type="dxa"/>
        <w:tblInd w:w="0" w:type="dxa"/>
        <w:tblLayout w:type="fixed"/>
        <w:tblCellMar>
          <w:top w:w="0" w:type="dxa"/>
          <w:left w:w="0" w:type="dxa"/>
          <w:bottom w:w="0" w:type="dxa"/>
          <w:right w:w="0" w:type="dxa"/>
        </w:tblCellMar>
      </w:tblPr>
      <w:tblGrid>
        <w:gridCol w:w="678"/>
        <w:gridCol w:w="6197"/>
        <w:gridCol w:w="741"/>
        <w:gridCol w:w="703"/>
      </w:tblGrid>
      <w:tr>
        <w:tblPrEx>
          <w:tblCellMar>
            <w:top w:w="0" w:type="dxa"/>
            <w:left w:w="0" w:type="dxa"/>
            <w:bottom w:w="0" w:type="dxa"/>
            <w:right w:w="0" w:type="dxa"/>
          </w:tblCellMar>
        </w:tblPrEx>
        <w:trPr>
          <w:trHeight w:val="1049" w:hRule="atLeast"/>
        </w:trPr>
        <w:tc>
          <w:tcPr>
            <w:tcW w:w="8319" w:type="dxa"/>
            <w:gridSpan w:val="4"/>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lang w:eastAsia="zh-CN"/>
              </w:rPr>
            </w:pPr>
            <w:r>
              <w:rPr>
                <w:rFonts w:hint="eastAsia" w:ascii="方正仿宋_GB2312" w:hAnsi="方正仿宋_GB2312" w:eastAsia="方正仿宋_GB2312" w:cs="方正仿宋_GB2312"/>
                <w:b/>
                <w:color w:val="000000"/>
                <w:kern w:val="0"/>
                <w:sz w:val="28"/>
                <w:szCs w:val="28"/>
                <w:highlight w:val="none"/>
                <w:lang w:bidi="ar"/>
              </w:rPr>
              <w:t>资格评审</w:t>
            </w:r>
            <w:r>
              <w:rPr>
                <w:rFonts w:hint="eastAsia" w:ascii="方正仿宋_GB2312" w:hAnsi="方正仿宋_GB2312" w:eastAsia="方正仿宋_GB2312" w:cs="方正仿宋_GB2312"/>
                <w:b/>
                <w:color w:val="000000"/>
                <w:kern w:val="0"/>
                <w:sz w:val="28"/>
                <w:szCs w:val="28"/>
                <w:highlight w:val="none"/>
                <w:lang w:val="en-US" w:eastAsia="zh-CN" w:bidi="ar"/>
              </w:rPr>
              <w:t>标准</w:t>
            </w:r>
          </w:p>
        </w:tc>
      </w:tr>
      <w:tr>
        <w:tblPrEx>
          <w:tblCellMar>
            <w:top w:w="0" w:type="dxa"/>
            <w:left w:w="0" w:type="dxa"/>
            <w:bottom w:w="0" w:type="dxa"/>
            <w:right w:w="0" w:type="dxa"/>
          </w:tblCellMar>
        </w:tblPrEx>
        <w:trPr>
          <w:trHeight w:val="405" w:hRule="atLeast"/>
        </w:trPr>
        <w:tc>
          <w:tcPr>
            <w:tcW w:w="6875" w:type="dxa"/>
            <w:gridSpan w:val="2"/>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c>
          <w:tcPr>
            <w:tcW w:w="741"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28"/>
                <w:szCs w:val="28"/>
                <w:highlight w:val="none"/>
              </w:rPr>
            </w:pPr>
          </w:p>
        </w:tc>
        <w:tc>
          <w:tcPr>
            <w:tcW w:w="703"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28"/>
                <w:szCs w:val="28"/>
                <w:highlight w:val="none"/>
              </w:rPr>
            </w:pPr>
          </w:p>
        </w:tc>
      </w:tr>
      <w:tr>
        <w:tblPrEx>
          <w:tblCellMar>
            <w:top w:w="0" w:type="dxa"/>
            <w:left w:w="0" w:type="dxa"/>
            <w:bottom w:w="0" w:type="dxa"/>
            <w:right w:w="0" w:type="dxa"/>
          </w:tblCellMar>
        </w:tblPrEx>
        <w:trPr>
          <w:trHeight w:val="285" w:hRule="atLeast"/>
        </w:trPr>
        <w:tc>
          <w:tcPr>
            <w:tcW w:w="6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序号</w:t>
            </w:r>
          </w:p>
        </w:tc>
        <w:tc>
          <w:tcPr>
            <w:tcW w:w="61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评审内容</w:t>
            </w:r>
          </w:p>
        </w:tc>
        <w:tc>
          <w:tcPr>
            <w:tcW w:w="1444"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评审意见</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（是否通过）</w:t>
            </w:r>
          </w:p>
        </w:tc>
      </w:tr>
      <w:tr>
        <w:tblPrEx>
          <w:tblCellMar>
            <w:top w:w="0" w:type="dxa"/>
            <w:left w:w="0" w:type="dxa"/>
            <w:bottom w:w="0" w:type="dxa"/>
            <w:right w:w="0" w:type="dxa"/>
          </w:tblCellMar>
        </w:tblPrEx>
        <w:trPr>
          <w:trHeight w:val="285"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28"/>
                <w:szCs w:val="28"/>
                <w:highlight w:val="none"/>
              </w:rPr>
            </w:pPr>
          </w:p>
        </w:tc>
        <w:tc>
          <w:tcPr>
            <w:tcW w:w="61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28"/>
                <w:szCs w:val="28"/>
                <w:highlight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是</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否</w:t>
            </w:r>
          </w:p>
        </w:tc>
      </w:tr>
      <w:tr>
        <w:tblPrEx>
          <w:tblCellMar>
            <w:top w:w="0" w:type="dxa"/>
            <w:left w:w="0" w:type="dxa"/>
            <w:bottom w:w="0" w:type="dxa"/>
            <w:right w:w="0" w:type="dxa"/>
          </w:tblCellMar>
        </w:tblPrEx>
        <w:trPr>
          <w:trHeight w:val="312" w:hRule="atLeast"/>
        </w:trPr>
        <w:tc>
          <w:tcPr>
            <w:tcW w:w="6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1</w:t>
            </w:r>
          </w:p>
        </w:tc>
        <w:tc>
          <w:tcPr>
            <w:tcW w:w="61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rPr>
              <w:t>是否</w:t>
            </w:r>
            <w:r>
              <w:rPr>
                <w:rFonts w:hint="eastAsia" w:ascii="方正仿宋_GB2312" w:hAnsi="方正仿宋_GB2312" w:eastAsia="方正仿宋_GB2312" w:cs="方正仿宋_GB2312"/>
                <w:color w:val="000000"/>
                <w:kern w:val="0"/>
                <w:sz w:val="28"/>
                <w:szCs w:val="28"/>
                <w:highlight w:val="none"/>
                <w:lang w:val="en-US" w:eastAsia="zh-CN"/>
              </w:rPr>
              <w:t>提供有效</w:t>
            </w:r>
            <w:r>
              <w:rPr>
                <w:rFonts w:hint="eastAsia" w:ascii="方正仿宋_GB2312" w:hAnsi="方正仿宋_GB2312" w:eastAsia="方正仿宋_GB2312" w:cs="方正仿宋_GB2312"/>
                <w:color w:val="000000"/>
                <w:kern w:val="0"/>
                <w:sz w:val="28"/>
                <w:szCs w:val="28"/>
                <w:highlight w:val="none"/>
              </w:rPr>
              <w:t>的营业执照；</w:t>
            </w:r>
          </w:p>
        </w:tc>
        <w:tc>
          <w:tcPr>
            <w:tcW w:w="74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3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61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both"/>
              <w:rPr>
                <w:rFonts w:hint="eastAsia" w:ascii="方正仿宋_GB2312" w:hAnsi="方正仿宋_GB2312" w:eastAsia="方正仿宋_GB2312" w:cs="方正仿宋_GB2312"/>
                <w:color w:val="000000"/>
                <w:sz w:val="28"/>
                <w:szCs w:val="28"/>
                <w:highlight w:val="none"/>
              </w:rPr>
            </w:pPr>
          </w:p>
        </w:tc>
        <w:tc>
          <w:tcPr>
            <w:tcW w:w="7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11"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2</w:t>
            </w:r>
          </w:p>
        </w:tc>
        <w:tc>
          <w:tcPr>
            <w:tcW w:w="6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top"/>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rPr>
              <w:t>是否</w:t>
            </w:r>
            <w:r>
              <w:rPr>
                <w:rFonts w:hint="eastAsia" w:ascii="方正仿宋_GB2312" w:hAnsi="方正仿宋_GB2312" w:eastAsia="方正仿宋_GB2312" w:cs="方正仿宋_GB2312"/>
                <w:color w:val="000000"/>
                <w:kern w:val="0"/>
                <w:sz w:val="28"/>
                <w:szCs w:val="28"/>
                <w:highlight w:val="none"/>
              </w:rPr>
              <w:t>具备有效的资质证书，且满足招标项目需要的资质等级</w:t>
            </w:r>
            <w:r>
              <w:rPr>
                <w:rFonts w:hint="eastAsia" w:ascii="方正仿宋_GB2312" w:hAnsi="方正仿宋_GB2312" w:eastAsia="方正仿宋_GB2312" w:cs="方正仿宋_GB2312"/>
                <w:color w:val="000000"/>
                <w:kern w:val="0"/>
                <w:sz w:val="28"/>
                <w:szCs w:val="28"/>
                <w:highlight w:val="none"/>
                <w:lang w:eastAsia="zh-CN"/>
              </w:rPr>
              <w:t>；</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856"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3</w:t>
            </w:r>
          </w:p>
        </w:tc>
        <w:tc>
          <w:tcPr>
            <w:tcW w:w="6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rPr>
              <w:t>是否具备</w:t>
            </w:r>
            <w:r>
              <w:rPr>
                <w:rFonts w:hint="eastAsia" w:ascii="方正仿宋_GB2312" w:hAnsi="方正仿宋_GB2312" w:eastAsia="方正仿宋_GB2312" w:cs="方正仿宋_GB2312"/>
                <w:color w:val="000000"/>
                <w:kern w:val="0"/>
                <w:sz w:val="28"/>
                <w:szCs w:val="28"/>
                <w:highlight w:val="none"/>
                <w:lang w:val="en-US" w:eastAsia="zh-CN"/>
              </w:rPr>
              <w:t>有效</w:t>
            </w:r>
            <w:r>
              <w:rPr>
                <w:rFonts w:hint="eastAsia" w:ascii="方正仿宋_GB2312" w:hAnsi="方正仿宋_GB2312" w:eastAsia="方正仿宋_GB2312" w:cs="方正仿宋_GB2312"/>
                <w:color w:val="000000"/>
                <w:kern w:val="0"/>
                <w:sz w:val="28"/>
                <w:szCs w:val="28"/>
                <w:highlight w:val="none"/>
              </w:rPr>
              <w:t>的安全生产许可证；</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880"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4</w:t>
            </w:r>
          </w:p>
        </w:tc>
        <w:tc>
          <w:tcPr>
            <w:tcW w:w="6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rPr>
              <w:t>项目负责人（建造师）条件是否满足招标文件的要求；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871"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5</w:t>
            </w:r>
          </w:p>
        </w:tc>
        <w:tc>
          <w:tcPr>
            <w:tcW w:w="6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rPr>
              <w:t>提供的</w:t>
            </w:r>
            <w:r>
              <w:rPr>
                <w:rFonts w:hint="eastAsia" w:ascii="方正仿宋_GB2312" w:hAnsi="方正仿宋_GB2312" w:eastAsia="方正仿宋_GB2312" w:cs="方正仿宋_GB2312"/>
                <w:color w:val="000000"/>
                <w:kern w:val="0"/>
                <w:sz w:val="28"/>
                <w:szCs w:val="28"/>
                <w:highlight w:val="none"/>
                <w:lang w:val="en-US" w:eastAsia="zh-CN"/>
              </w:rPr>
              <w:t>近年</w:t>
            </w:r>
            <w:r>
              <w:rPr>
                <w:rFonts w:hint="eastAsia" w:ascii="方正仿宋_GB2312" w:hAnsi="方正仿宋_GB2312" w:eastAsia="方正仿宋_GB2312" w:cs="方正仿宋_GB2312"/>
                <w:color w:val="000000"/>
                <w:kern w:val="0"/>
                <w:sz w:val="28"/>
                <w:szCs w:val="28"/>
                <w:highlight w:val="none"/>
              </w:rPr>
              <w:t>财务报表是否满足招标文件的要求；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786"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6</w:t>
            </w:r>
          </w:p>
        </w:tc>
        <w:tc>
          <w:tcPr>
            <w:tcW w:w="6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sz w:val="28"/>
                <w:szCs w:val="28"/>
                <w:highlight w:val="none"/>
                <w:lang w:val="en-US" w:eastAsia="zh-CN"/>
              </w:rPr>
              <w:t>在“信用中国”、“国家企业信用信息公示系统”和“全国建筑市场监管公共服务平台”未被列入严重失信企业、失信被执行人或联合惩戒名单，未被限制市场准入、招投标活动，</w:t>
            </w:r>
            <w:r>
              <w:rPr>
                <w:rFonts w:hint="eastAsia" w:ascii="方正仿宋_GB2312" w:hAnsi="方正仿宋_GB2312" w:eastAsia="方正仿宋_GB2312" w:cs="方正仿宋_GB2312"/>
                <w:sz w:val="28"/>
                <w:szCs w:val="28"/>
                <w:highlight w:val="none"/>
              </w:rPr>
              <w:t>企业信誉是否满足招标文件的要求；</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880"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7</w:t>
            </w:r>
          </w:p>
        </w:tc>
        <w:tc>
          <w:tcPr>
            <w:tcW w:w="6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rPr>
              <w:t>类似项目业绩是否满足招标文件的要求（若有）</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819"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6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873" w:hRule="atLeast"/>
        </w:trPr>
        <w:tc>
          <w:tcPr>
            <w:tcW w:w="68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top"/>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结论：是否通过评审</w:t>
            </w:r>
          </w:p>
        </w:tc>
        <w:tc>
          <w:tcPr>
            <w:tcW w:w="7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726" w:hRule="atLeast"/>
        </w:trPr>
        <w:tc>
          <w:tcPr>
            <w:tcW w:w="6875" w:type="dxa"/>
            <w:gridSpan w:val="2"/>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p>
        </w:tc>
        <w:tc>
          <w:tcPr>
            <w:tcW w:w="741"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03"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28"/>
          <w:szCs w:val="28"/>
          <w:highlight w:val="none"/>
        </w:rPr>
      </w:pPr>
      <w:r>
        <w:rPr>
          <w:rFonts w:hint="eastAsia" w:ascii="方正仿宋_GB2312" w:hAnsi="方正仿宋_GB2312" w:eastAsia="方正仿宋_GB2312" w:cs="方正仿宋_GB2312"/>
          <w:b/>
          <w:bCs/>
          <w:sz w:val="28"/>
          <w:szCs w:val="28"/>
          <w:highlight w:val="none"/>
        </w:rPr>
        <w:t>附表1-3</w:t>
      </w:r>
    </w:p>
    <w:tbl>
      <w:tblPr>
        <w:tblStyle w:val="43"/>
        <w:tblW w:w="8680" w:type="dxa"/>
        <w:tblInd w:w="0" w:type="dxa"/>
        <w:tblLayout w:type="fixed"/>
        <w:tblCellMar>
          <w:top w:w="0" w:type="dxa"/>
          <w:left w:w="0" w:type="dxa"/>
          <w:bottom w:w="0" w:type="dxa"/>
          <w:right w:w="0" w:type="dxa"/>
        </w:tblCellMar>
      </w:tblPr>
      <w:tblGrid>
        <w:gridCol w:w="576"/>
        <w:gridCol w:w="6486"/>
        <w:gridCol w:w="829"/>
        <w:gridCol w:w="789"/>
      </w:tblGrid>
      <w:tr>
        <w:tblPrEx>
          <w:tblCellMar>
            <w:top w:w="0" w:type="dxa"/>
            <w:left w:w="0" w:type="dxa"/>
            <w:bottom w:w="0" w:type="dxa"/>
            <w:right w:w="0" w:type="dxa"/>
          </w:tblCellMar>
        </w:tblPrEx>
        <w:trPr>
          <w:trHeight w:val="145" w:hRule="atLeast"/>
        </w:trPr>
        <w:tc>
          <w:tcPr>
            <w:tcW w:w="8680" w:type="dxa"/>
            <w:gridSpan w:val="4"/>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lang w:eastAsia="zh-CN"/>
              </w:rPr>
            </w:pPr>
            <w:r>
              <w:rPr>
                <w:rFonts w:hint="eastAsia" w:ascii="方正仿宋_GB2312" w:hAnsi="方正仿宋_GB2312" w:eastAsia="方正仿宋_GB2312" w:cs="方正仿宋_GB2312"/>
                <w:b/>
                <w:color w:val="000000"/>
                <w:kern w:val="0"/>
                <w:sz w:val="28"/>
                <w:szCs w:val="28"/>
                <w:highlight w:val="none"/>
                <w:lang w:bidi="ar"/>
              </w:rPr>
              <w:t>重大偏差评审</w:t>
            </w:r>
            <w:r>
              <w:rPr>
                <w:rFonts w:hint="eastAsia" w:ascii="方正仿宋_GB2312" w:hAnsi="方正仿宋_GB2312" w:eastAsia="方正仿宋_GB2312" w:cs="方正仿宋_GB2312"/>
                <w:b/>
                <w:color w:val="000000"/>
                <w:kern w:val="0"/>
                <w:sz w:val="28"/>
                <w:szCs w:val="28"/>
                <w:highlight w:val="none"/>
                <w:lang w:val="en-US" w:eastAsia="zh-CN" w:bidi="ar"/>
              </w:rPr>
              <w:t>标准</w:t>
            </w:r>
          </w:p>
        </w:tc>
      </w:tr>
      <w:tr>
        <w:tblPrEx>
          <w:tblCellMar>
            <w:top w:w="0" w:type="dxa"/>
            <w:left w:w="0" w:type="dxa"/>
            <w:bottom w:w="0" w:type="dxa"/>
            <w:right w:w="0" w:type="dxa"/>
          </w:tblCellMar>
        </w:tblPrEx>
        <w:trPr>
          <w:trHeight w:val="145" w:hRule="atLeast"/>
        </w:trPr>
        <w:tc>
          <w:tcPr>
            <w:tcW w:w="7062" w:type="dxa"/>
            <w:gridSpan w:val="2"/>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c>
          <w:tcPr>
            <w:tcW w:w="829"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27" w:hRule="atLeast"/>
        </w:trPr>
        <w:tc>
          <w:tcPr>
            <w:tcW w:w="576"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序号</w:t>
            </w:r>
          </w:p>
        </w:tc>
        <w:tc>
          <w:tcPr>
            <w:tcW w:w="6486"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评审内容</w:t>
            </w:r>
          </w:p>
        </w:tc>
        <w:tc>
          <w:tcPr>
            <w:tcW w:w="161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评审意见</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（是否通过）</w:t>
            </w:r>
          </w:p>
        </w:tc>
      </w:tr>
      <w:tr>
        <w:tblPrEx>
          <w:tblCellMar>
            <w:top w:w="0" w:type="dxa"/>
            <w:left w:w="0" w:type="dxa"/>
            <w:bottom w:w="0" w:type="dxa"/>
            <w:right w:w="0" w:type="dxa"/>
          </w:tblCellMar>
        </w:tblPrEx>
        <w:trPr>
          <w:trHeight w:val="148" w:hRule="atLeast"/>
        </w:trPr>
        <w:tc>
          <w:tcPr>
            <w:tcW w:w="576"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sz w:val="28"/>
                <w:szCs w:val="28"/>
                <w:highlight w:val="none"/>
              </w:rPr>
            </w:pPr>
          </w:p>
        </w:tc>
        <w:tc>
          <w:tcPr>
            <w:tcW w:w="6486"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sz w:val="28"/>
                <w:szCs w:val="28"/>
                <w:highlight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是</w:t>
            </w:r>
          </w:p>
        </w:tc>
        <w:tc>
          <w:tcPr>
            <w:tcW w:w="789" w:type="dxa"/>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否</w:t>
            </w:r>
          </w:p>
        </w:tc>
      </w:tr>
      <w:tr>
        <w:tblPrEx>
          <w:tblCellMar>
            <w:top w:w="0" w:type="dxa"/>
            <w:left w:w="0" w:type="dxa"/>
            <w:bottom w:w="0" w:type="dxa"/>
            <w:right w:w="0" w:type="dxa"/>
          </w:tblCellMar>
        </w:tblPrEx>
        <w:trPr>
          <w:trHeight w:val="14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1</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投标报价高于招标控制价的；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4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2</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投标文件承诺的工期超过招标文件中工期要求的；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2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3</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联合体各方在同一招标项目以自己名义单独投标的或者参加其他联合体投标的，通过资格预审后增减、更换成员的；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8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4</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同一项目投标人之间有控股、管理关系或法定代表人（单位负责人）为同一人的；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8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5</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单位工程、单项工程的名称或结构与招标文件不一致的；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8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6</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改变招标文件提供工程量清单中的项目编码、项目名称、项目特征、计量单位和工程量的；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2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7</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改动规费、税金及安全文明施工费中“环境保护费、文明施工费、安全施工费”、、“智慧工地基础配置费用”等不可竞争费的计费基础和费率的；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4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8</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改动暂列金、专业工程暂估价的；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4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9</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改动材料、设备等暂估单价的；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8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10</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投标人名称、组织机构与获取招标文件时或资格预审时不符，涉嫌以他人名义投标的；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3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11</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2"/>
              <w:pageBreakBefore w:val="0"/>
              <w:kinsoku/>
              <w:bidi w:val="0"/>
              <w:spacing w:line="440" w:lineRule="exact"/>
              <w:ind w:left="0"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投标人之间或者投标人与招标人之间涉嫌串通投标的；</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12</w:t>
            </w: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42"/>
              <w:pageBreakBefore w:val="0"/>
              <w:kinsoku/>
              <w:bidi w:val="0"/>
              <w:spacing w:line="440" w:lineRule="exact"/>
              <w:ind w:left="0"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不满足招标文件实质性要求的其他情形。</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4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p>
        </w:tc>
        <w:tc>
          <w:tcPr>
            <w:tcW w:w="6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48" w:hRule="atLeast"/>
        </w:trPr>
        <w:tc>
          <w:tcPr>
            <w:tcW w:w="70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bidi="ar"/>
              </w:rPr>
              <w:t>结论：是否通过评审</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附表1-4</w:t>
      </w:r>
    </w:p>
    <w:tbl>
      <w:tblPr>
        <w:tblStyle w:val="43"/>
        <w:tblW w:w="9000" w:type="dxa"/>
        <w:tblInd w:w="-316" w:type="dxa"/>
        <w:tblLayout w:type="fixed"/>
        <w:tblCellMar>
          <w:top w:w="0" w:type="dxa"/>
          <w:left w:w="0" w:type="dxa"/>
          <w:bottom w:w="0" w:type="dxa"/>
          <w:right w:w="0" w:type="dxa"/>
        </w:tblCellMar>
      </w:tblPr>
      <w:tblGrid>
        <w:gridCol w:w="598"/>
        <w:gridCol w:w="1184"/>
        <w:gridCol w:w="1481"/>
        <w:gridCol w:w="4847"/>
        <w:gridCol w:w="890"/>
      </w:tblGrid>
      <w:tr>
        <w:tblPrEx>
          <w:tblCellMar>
            <w:top w:w="0" w:type="dxa"/>
            <w:left w:w="0" w:type="dxa"/>
            <w:bottom w:w="0" w:type="dxa"/>
            <w:right w:w="0" w:type="dxa"/>
          </w:tblCellMar>
        </w:tblPrEx>
        <w:trPr>
          <w:trHeight w:val="741" w:hRule="atLeast"/>
        </w:trPr>
        <w:tc>
          <w:tcPr>
            <w:tcW w:w="9000" w:type="dxa"/>
            <w:gridSpan w:val="5"/>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val="en-US" w:eastAsia="zh-CN" w:bidi="ar"/>
              </w:rPr>
              <w:t>商务标</w:t>
            </w:r>
            <w:r>
              <w:rPr>
                <w:rFonts w:hint="eastAsia" w:ascii="方正仿宋_GB2312" w:hAnsi="方正仿宋_GB2312" w:eastAsia="方正仿宋_GB2312" w:cs="方正仿宋_GB2312"/>
                <w:b/>
                <w:color w:val="000000"/>
                <w:kern w:val="0"/>
                <w:sz w:val="28"/>
                <w:szCs w:val="28"/>
                <w:highlight w:val="none"/>
                <w:lang w:bidi="ar"/>
              </w:rPr>
              <w:t>评审</w:t>
            </w:r>
            <w:r>
              <w:rPr>
                <w:rFonts w:hint="eastAsia" w:ascii="方正仿宋_GB2312" w:hAnsi="方正仿宋_GB2312" w:eastAsia="方正仿宋_GB2312" w:cs="方正仿宋_GB2312"/>
                <w:b/>
                <w:color w:val="000000"/>
                <w:kern w:val="0"/>
                <w:sz w:val="28"/>
                <w:szCs w:val="28"/>
                <w:highlight w:val="none"/>
                <w:lang w:val="en-US" w:eastAsia="zh-CN" w:bidi="ar"/>
              </w:rPr>
              <w:t>标准</w:t>
            </w:r>
          </w:p>
        </w:tc>
      </w:tr>
      <w:tr>
        <w:tblPrEx>
          <w:tblCellMar>
            <w:top w:w="0" w:type="dxa"/>
            <w:left w:w="0" w:type="dxa"/>
            <w:bottom w:w="0" w:type="dxa"/>
            <w:right w:w="0" w:type="dxa"/>
          </w:tblCellMar>
        </w:tblPrEx>
        <w:trPr>
          <w:trHeight w:val="500" w:hRule="atLeast"/>
        </w:trPr>
        <w:tc>
          <w:tcPr>
            <w:tcW w:w="3263" w:type="dxa"/>
            <w:gridSpan w:val="3"/>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c>
          <w:tcPr>
            <w:tcW w:w="4847"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890"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076" w:hRule="atLeast"/>
        </w:trPr>
        <w:tc>
          <w:tcPr>
            <w:tcW w:w="598"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序号</w:t>
            </w:r>
          </w:p>
        </w:tc>
        <w:tc>
          <w:tcPr>
            <w:tcW w:w="2665" w:type="dxa"/>
            <w:gridSpan w:val="2"/>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评审项目及分值</w:t>
            </w:r>
          </w:p>
        </w:tc>
        <w:tc>
          <w:tcPr>
            <w:tcW w:w="4847"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评审标准</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评审</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bidi="ar"/>
              </w:rPr>
            </w:pPr>
            <w:r>
              <w:rPr>
                <w:rFonts w:hint="eastAsia" w:ascii="方正仿宋_GB2312" w:hAnsi="方正仿宋_GB2312" w:eastAsia="方正仿宋_GB2312" w:cs="方正仿宋_GB2312"/>
                <w:b/>
                <w:color w:val="000000"/>
                <w:kern w:val="0"/>
                <w:sz w:val="28"/>
                <w:szCs w:val="28"/>
                <w:highlight w:val="none"/>
                <w:lang w:bidi="ar"/>
              </w:rPr>
              <w:t>计分</w:t>
            </w:r>
          </w:p>
        </w:tc>
      </w:tr>
      <w:tr>
        <w:tblPrEx>
          <w:tblCellMar>
            <w:top w:w="0" w:type="dxa"/>
            <w:left w:w="0" w:type="dxa"/>
            <w:bottom w:w="0" w:type="dxa"/>
            <w:right w:w="0" w:type="dxa"/>
          </w:tblCellMar>
        </w:tblPrEx>
        <w:trPr>
          <w:trHeight w:val="2003" w:hRule="atLeast"/>
        </w:trPr>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w:t>
            </w:r>
          </w:p>
        </w:tc>
        <w:tc>
          <w:tcPr>
            <w:tcW w:w="118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类似工</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程业绩</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（若有）</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（4分）</w:t>
            </w:r>
          </w:p>
        </w:tc>
        <w:tc>
          <w:tcPr>
            <w:tcW w:w="1481"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投标人</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类似业绩或</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项目负责人</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类似业绩</w:t>
            </w:r>
          </w:p>
        </w:tc>
        <w:tc>
          <w:tcPr>
            <w:tcW w:w="4847"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类似业绩每个 分，最高  分。</w:t>
            </w:r>
          </w:p>
        </w:tc>
        <w:tc>
          <w:tcPr>
            <w:tcW w:w="890"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19" w:hRule="atLeast"/>
        </w:trPr>
        <w:tc>
          <w:tcPr>
            <w:tcW w:w="598"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2</w:t>
            </w:r>
          </w:p>
        </w:tc>
        <w:tc>
          <w:tcPr>
            <w:tcW w:w="118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项目管</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理机构</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（3分）</w:t>
            </w:r>
          </w:p>
        </w:tc>
        <w:tc>
          <w:tcPr>
            <w:tcW w:w="63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项目管理机构关键岗位人员（除项目负责人外）具备相关专业中级及以上职称的,每一人得0.2分，最多得1分；</w:t>
            </w:r>
          </w:p>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在满足关键岗位基本配备的基础上，每增加一名关键岗位人员得0.2分，最多得1分。</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both"/>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598"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p>
        </w:tc>
        <w:tc>
          <w:tcPr>
            <w:tcW w:w="118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项目负责人</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职称</w:t>
            </w:r>
          </w:p>
        </w:tc>
        <w:tc>
          <w:tcPr>
            <w:tcW w:w="4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具备相关专业高级及以上职称得1分；</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具备相关专业中级职称得0.5分。</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both"/>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755"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3</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财务状况</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（1分）</w:t>
            </w:r>
          </w:p>
        </w:tc>
        <w:tc>
          <w:tcPr>
            <w:tcW w:w="63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近  年（指   年度、   年度、  年度）经会计师事务所或审计机构审计的财务审计报告，包括资产负债表、现金流量表、损益表和 财务报表附注；评委根据资产负债率、净现金流量、净利润情况打分，具体指标由招标人在招标文件中明确。</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91" w:hRule="atLeast"/>
        </w:trPr>
        <w:tc>
          <w:tcPr>
            <w:tcW w:w="598"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4</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智慧工地</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（2分）</w:t>
            </w:r>
          </w:p>
        </w:tc>
        <w:tc>
          <w:tcPr>
            <w:tcW w:w="6328" w:type="dxa"/>
            <w:gridSpan w:val="2"/>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近2年，接入智慧工地一体化服务平台的，一个项目得0.5分，最多得2分。</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85" w:hRule="atLeast"/>
        </w:trPr>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bidi="ar"/>
              </w:rPr>
              <w:t>……</w:t>
            </w:r>
          </w:p>
        </w:tc>
        <w:tc>
          <w:tcPr>
            <w:tcW w:w="1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p>
        </w:tc>
        <w:tc>
          <w:tcPr>
            <w:tcW w:w="4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8" w:hRule="atLeast"/>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满分</w:t>
            </w:r>
          </w:p>
        </w:tc>
        <w:tc>
          <w:tcPr>
            <w:tcW w:w="14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10分</w:t>
            </w:r>
          </w:p>
        </w:tc>
        <w:tc>
          <w:tcPr>
            <w:tcW w:w="4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备注：</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1.类似业绩的要求执行办法第二十四、二十五条的规定。若招标人不设置业绩评审项目，商务标满分为6分，总分值为96分。</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val="en-US" w:eastAsia="zh-CN"/>
        </w:rPr>
        <w:t>2.</w:t>
      </w:r>
      <w:r>
        <w:rPr>
          <w:rFonts w:hint="eastAsia" w:ascii="方正仿宋_GB2312" w:hAnsi="方正仿宋_GB2312" w:eastAsia="方正仿宋_GB2312" w:cs="方正仿宋_GB2312"/>
          <w:sz w:val="32"/>
          <w:szCs w:val="32"/>
          <w:highlight w:val="none"/>
        </w:rPr>
        <w:t>拟任项目</w:t>
      </w:r>
      <w:r>
        <w:rPr>
          <w:rFonts w:hint="eastAsia" w:ascii="方正仿宋_GB2312" w:hAnsi="方正仿宋_GB2312" w:eastAsia="方正仿宋_GB2312" w:cs="方正仿宋_GB2312"/>
          <w:sz w:val="32"/>
          <w:szCs w:val="32"/>
          <w:highlight w:val="none"/>
          <w:lang w:val="en-US" w:eastAsia="zh-CN"/>
        </w:rPr>
        <w:t>负责人</w:t>
      </w:r>
      <w:r>
        <w:rPr>
          <w:rFonts w:hint="eastAsia" w:ascii="方正仿宋_GB2312" w:hAnsi="方正仿宋_GB2312" w:eastAsia="方正仿宋_GB2312" w:cs="方正仿宋_GB2312"/>
          <w:sz w:val="32"/>
          <w:szCs w:val="32"/>
          <w:highlight w:val="none"/>
        </w:rPr>
        <w:t>在其他项目担任项目</w:t>
      </w:r>
      <w:r>
        <w:rPr>
          <w:rFonts w:hint="eastAsia" w:ascii="方正仿宋_GB2312" w:hAnsi="方正仿宋_GB2312" w:eastAsia="方正仿宋_GB2312" w:cs="方正仿宋_GB2312"/>
          <w:sz w:val="32"/>
          <w:szCs w:val="32"/>
          <w:highlight w:val="none"/>
          <w:lang w:val="en-US" w:eastAsia="zh-CN"/>
        </w:rPr>
        <w:t>负责人</w:t>
      </w:r>
      <w:r>
        <w:rPr>
          <w:rFonts w:hint="eastAsia" w:ascii="方正仿宋_GB2312" w:hAnsi="方正仿宋_GB2312" w:eastAsia="方正仿宋_GB2312" w:cs="方正仿宋_GB2312"/>
          <w:sz w:val="32"/>
          <w:szCs w:val="32"/>
          <w:highlight w:val="none"/>
        </w:rPr>
        <w:t>期间发生过变更撤换且在该项目完成合同约定工作量或合同约定本职工作</w:t>
      </w:r>
      <w:r>
        <w:rPr>
          <w:rFonts w:hint="eastAsia" w:ascii="方正仿宋_GB2312" w:hAnsi="方正仿宋_GB2312" w:eastAsia="方正仿宋_GB2312" w:cs="方正仿宋_GB2312"/>
          <w:sz w:val="32"/>
          <w:szCs w:val="32"/>
          <w:highlight w:val="none"/>
          <w:lang w:val="en-US" w:eastAsia="zh-CN"/>
        </w:rPr>
        <w:t>或竣工验收</w:t>
      </w:r>
      <w:r>
        <w:rPr>
          <w:rFonts w:hint="eastAsia" w:ascii="方正仿宋_GB2312" w:hAnsi="方正仿宋_GB2312" w:eastAsia="方正仿宋_GB2312" w:cs="方正仿宋_GB2312"/>
          <w:sz w:val="32"/>
          <w:szCs w:val="32"/>
          <w:highlight w:val="none"/>
        </w:rPr>
        <w:t>之前，</w:t>
      </w:r>
      <w:r>
        <w:rPr>
          <w:rFonts w:hint="eastAsia" w:ascii="方正仿宋_GB2312" w:hAnsi="方正仿宋_GB2312" w:eastAsia="方正仿宋_GB2312" w:cs="方正仿宋_GB2312"/>
          <w:b w:val="0"/>
          <w:bCs w:val="0"/>
          <w:sz w:val="32"/>
          <w:szCs w:val="32"/>
          <w:highlight w:val="none"/>
        </w:rPr>
        <w:t>参与本项</w:t>
      </w:r>
      <w:r>
        <w:rPr>
          <w:rFonts w:hint="eastAsia" w:ascii="方正仿宋_GB2312" w:hAnsi="方正仿宋_GB2312" w:eastAsia="方正仿宋_GB2312" w:cs="方正仿宋_GB2312"/>
          <w:sz w:val="32"/>
          <w:szCs w:val="32"/>
          <w:highlight w:val="none"/>
        </w:rPr>
        <w:t>目投标的，不对该项目</w:t>
      </w:r>
      <w:r>
        <w:rPr>
          <w:rFonts w:hint="eastAsia" w:ascii="方正仿宋_GB2312" w:hAnsi="方正仿宋_GB2312" w:eastAsia="方正仿宋_GB2312" w:cs="方正仿宋_GB2312"/>
          <w:sz w:val="32"/>
          <w:szCs w:val="32"/>
          <w:highlight w:val="none"/>
          <w:lang w:val="en-US" w:eastAsia="zh-CN"/>
        </w:rPr>
        <w:t>负责人</w:t>
      </w:r>
      <w:r>
        <w:rPr>
          <w:rFonts w:hint="eastAsia" w:ascii="方正仿宋_GB2312" w:hAnsi="方正仿宋_GB2312" w:eastAsia="方正仿宋_GB2312" w:cs="方正仿宋_GB2312"/>
          <w:sz w:val="32"/>
          <w:szCs w:val="32"/>
          <w:highlight w:val="none"/>
        </w:rPr>
        <w:t>的类似工程业绩计分；存在上述情形的，投标人应当在投标文件中如实说明，未如实说明的，</w:t>
      </w:r>
      <w:r>
        <w:rPr>
          <w:rFonts w:hint="eastAsia" w:ascii="方正仿宋_GB2312" w:hAnsi="方正仿宋_GB2312" w:eastAsia="方正仿宋_GB2312" w:cs="方正仿宋_GB2312"/>
          <w:sz w:val="32"/>
          <w:szCs w:val="32"/>
          <w:highlight w:val="none"/>
          <w:lang w:val="en-US" w:eastAsia="zh-CN"/>
        </w:rPr>
        <w:t>按弄虚作假进行处理</w:t>
      </w:r>
      <w:r>
        <w:rPr>
          <w:rFonts w:hint="eastAsia" w:ascii="方正仿宋_GB2312" w:hAnsi="方正仿宋_GB2312" w:eastAsia="方正仿宋_GB2312" w:cs="方正仿宋_GB2312"/>
          <w:sz w:val="32"/>
          <w:szCs w:val="32"/>
          <w:highlight w:val="none"/>
        </w:rPr>
        <w:t>。（适用于：项目</w:t>
      </w:r>
      <w:r>
        <w:rPr>
          <w:rFonts w:hint="eastAsia" w:ascii="方正仿宋_GB2312" w:hAnsi="方正仿宋_GB2312" w:eastAsia="方正仿宋_GB2312" w:cs="方正仿宋_GB2312"/>
          <w:sz w:val="32"/>
          <w:szCs w:val="32"/>
          <w:highlight w:val="none"/>
          <w:lang w:val="en-US" w:eastAsia="zh-CN"/>
        </w:rPr>
        <w:t>负责人</w:t>
      </w:r>
      <w:r>
        <w:rPr>
          <w:rFonts w:hint="eastAsia" w:ascii="方正仿宋_GB2312" w:hAnsi="方正仿宋_GB2312" w:eastAsia="方正仿宋_GB2312" w:cs="方正仿宋_GB2312"/>
          <w:sz w:val="32"/>
          <w:szCs w:val="32"/>
          <w:highlight w:val="none"/>
        </w:rPr>
        <w:t>业绩加分的项目）</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b w:val="0"/>
          <w:bCs w:val="0"/>
          <w:sz w:val="32"/>
          <w:szCs w:val="32"/>
          <w:highlight w:val="none"/>
          <w:lang w:val="en-US" w:eastAsia="zh-CN"/>
        </w:rPr>
      </w:pPr>
      <w:r>
        <w:rPr>
          <w:rFonts w:hint="eastAsia" w:ascii="方正仿宋_GB2312" w:hAnsi="方正仿宋_GB2312" w:eastAsia="方正仿宋_GB2312" w:cs="方正仿宋_GB2312"/>
          <w:sz w:val="32"/>
          <w:szCs w:val="32"/>
          <w:highlight w:val="none"/>
          <w:lang w:val="en-US" w:eastAsia="zh-CN"/>
        </w:rPr>
        <w:t>3.</w:t>
      </w:r>
      <w:r>
        <w:rPr>
          <w:rFonts w:hint="eastAsia" w:ascii="方正仿宋_GB2312" w:hAnsi="方正仿宋_GB2312" w:eastAsia="方正仿宋_GB2312" w:cs="方正仿宋_GB2312"/>
          <w:b w:val="0"/>
          <w:bCs w:val="0"/>
          <w:sz w:val="32"/>
          <w:szCs w:val="32"/>
          <w:highlight w:val="none"/>
          <w:lang w:val="en-US" w:eastAsia="zh-CN"/>
        </w:rPr>
        <w:t>项目管理机构关键岗位人员是指建筑施工企业项目负责人（项目经理）、技术负责人、施工员、质量员、安全员。</w:t>
      </w:r>
    </w:p>
    <w:p>
      <w:pPr>
        <w:pageBreakBefore w:val="0"/>
        <w:kinsoku/>
        <w:bidi w:val="0"/>
        <w:spacing w:line="440" w:lineRule="exact"/>
        <w:ind w:firstLine="0" w:firstLineChars="0"/>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rPr>
          <w:rFonts w:hint="eastAsia" w:ascii="方正仿宋_GB2312" w:hAnsi="方正仿宋_GB2312" w:eastAsia="方正仿宋_GB2312" w:cs="方正仿宋_GB2312"/>
          <w:b/>
          <w:bCs/>
          <w:sz w:val="32"/>
          <w:szCs w:val="32"/>
          <w:highlight w:val="none"/>
        </w:rPr>
      </w:pPr>
    </w:p>
    <w:p>
      <w:pPr>
        <w:pageBreakBefore w:val="0"/>
        <w:kinsoku/>
        <w:bidi w:val="0"/>
        <w:ind w:firstLine="0" w:firstLine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br w:type="page"/>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lang w:eastAsia="zh-CN"/>
        </w:rPr>
      </w:pPr>
      <w:r>
        <w:rPr>
          <w:rFonts w:hint="eastAsia" w:ascii="方正仿宋_GB2312" w:hAnsi="方正仿宋_GB2312" w:eastAsia="方正仿宋_GB2312" w:cs="方正仿宋_GB2312"/>
          <w:b/>
          <w:bCs/>
          <w:sz w:val="32"/>
          <w:szCs w:val="32"/>
          <w:highlight w:val="none"/>
        </w:rPr>
        <w:t>附表1-</w:t>
      </w:r>
      <w:r>
        <w:rPr>
          <w:rFonts w:hint="eastAsia" w:ascii="方正仿宋_GB2312" w:hAnsi="方正仿宋_GB2312" w:eastAsia="方正仿宋_GB2312" w:cs="方正仿宋_GB2312"/>
          <w:b/>
          <w:bCs/>
          <w:sz w:val="32"/>
          <w:szCs w:val="32"/>
          <w:highlight w:val="none"/>
          <w:lang w:val="en-US" w:eastAsia="zh-CN"/>
        </w:rPr>
        <w:t>5</w:t>
      </w:r>
    </w:p>
    <w:tbl>
      <w:tblPr>
        <w:tblStyle w:val="43"/>
        <w:tblpPr w:leftFromText="180" w:rightFromText="180" w:vertAnchor="text" w:horzAnchor="page" w:tblpX="1317" w:tblpY="487"/>
        <w:tblOverlap w:val="never"/>
        <w:tblW w:w="5650" w:type="pct"/>
        <w:tblInd w:w="0" w:type="dxa"/>
        <w:tblLayout w:type="fixed"/>
        <w:tblCellMar>
          <w:top w:w="0" w:type="dxa"/>
          <w:left w:w="0" w:type="dxa"/>
          <w:bottom w:w="0" w:type="dxa"/>
          <w:right w:w="0" w:type="dxa"/>
        </w:tblCellMar>
      </w:tblPr>
      <w:tblGrid>
        <w:gridCol w:w="681"/>
        <w:gridCol w:w="1876"/>
        <w:gridCol w:w="5823"/>
        <w:gridCol w:w="1040"/>
      </w:tblGrid>
      <w:tr>
        <w:tblPrEx>
          <w:tblCellMar>
            <w:top w:w="0" w:type="dxa"/>
            <w:left w:w="0" w:type="dxa"/>
            <w:bottom w:w="0" w:type="dxa"/>
            <w:right w:w="0" w:type="dxa"/>
          </w:tblCellMar>
        </w:tblPrEx>
        <w:trPr>
          <w:trHeight w:val="469" w:hRule="atLeast"/>
        </w:trPr>
        <w:tc>
          <w:tcPr>
            <w:tcW w:w="5000" w:type="pct"/>
            <w:gridSpan w:val="4"/>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lang w:eastAsia="zh-CN"/>
              </w:rPr>
            </w:pPr>
            <w:r>
              <w:rPr>
                <w:rFonts w:hint="eastAsia" w:ascii="方正仿宋_GB2312" w:hAnsi="方正仿宋_GB2312" w:eastAsia="方正仿宋_GB2312" w:cs="方正仿宋_GB2312"/>
                <w:b/>
                <w:color w:val="000000"/>
                <w:kern w:val="0"/>
                <w:sz w:val="28"/>
                <w:szCs w:val="28"/>
                <w:highlight w:val="none"/>
                <w:lang w:bidi="ar"/>
              </w:rPr>
              <w:t>技术标</w:t>
            </w:r>
            <w:r>
              <w:rPr>
                <w:rFonts w:hint="eastAsia" w:ascii="方正仿宋_GB2312" w:hAnsi="方正仿宋_GB2312" w:eastAsia="方正仿宋_GB2312" w:cs="方正仿宋_GB2312"/>
                <w:b/>
                <w:color w:val="000000"/>
                <w:kern w:val="0"/>
                <w:sz w:val="28"/>
                <w:szCs w:val="28"/>
                <w:highlight w:val="none"/>
                <w:lang w:val="en-US" w:eastAsia="zh-CN" w:bidi="ar"/>
              </w:rPr>
              <w:t>评审标准（计分制）</w:t>
            </w:r>
          </w:p>
        </w:tc>
      </w:tr>
      <w:tr>
        <w:tblPrEx>
          <w:tblCellMar>
            <w:top w:w="0" w:type="dxa"/>
            <w:left w:w="0" w:type="dxa"/>
            <w:bottom w:w="0" w:type="dxa"/>
            <w:right w:w="0" w:type="dxa"/>
          </w:tblCellMar>
        </w:tblPrEx>
        <w:trPr>
          <w:trHeight w:val="469" w:hRule="atLeast"/>
        </w:trPr>
        <w:tc>
          <w:tcPr>
            <w:tcW w:w="5000" w:type="pct"/>
            <w:gridSpan w:val="4"/>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r>
      <w:tr>
        <w:tblPrEx>
          <w:tblCellMar>
            <w:top w:w="0" w:type="dxa"/>
            <w:left w:w="0" w:type="dxa"/>
            <w:bottom w:w="0" w:type="dxa"/>
            <w:right w:w="0" w:type="dxa"/>
          </w:tblCellMar>
        </w:tblPrEx>
        <w:trPr>
          <w:trHeight w:val="933"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序号</w:t>
            </w:r>
          </w:p>
        </w:tc>
        <w:tc>
          <w:tcPr>
            <w:tcW w:w="99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评审项目</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评审标准</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分值范围</w:t>
            </w:r>
          </w:p>
        </w:tc>
      </w:tr>
      <w:tr>
        <w:tblPrEx>
          <w:tblCellMar>
            <w:top w:w="0" w:type="dxa"/>
            <w:left w:w="0" w:type="dxa"/>
            <w:bottom w:w="0" w:type="dxa"/>
            <w:right w:w="0" w:type="dxa"/>
          </w:tblCellMar>
        </w:tblPrEx>
        <w:trPr>
          <w:trHeight w:val="1020"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15"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1</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工程概况</w:t>
            </w:r>
          </w:p>
          <w:p>
            <w:pPr>
              <w:pStyle w:val="197"/>
              <w:pageBreakBefore w:val="0"/>
              <w:kinsoku/>
              <w:bidi w:val="0"/>
              <w:spacing w:before="42" w:line="440" w:lineRule="exact"/>
              <w:ind w:left="4"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及特点</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leftChars="0" w:right="0" w:righ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对工程总体概况及特点表述清晰、完整、符合实际</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before="42" w:line="440" w:lineRule="exact"/>
              <w:ind w:left="15"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2-4</w:t>
            </w:r>
          </w:p>
        </w:tc>
      </w:tr>
      <w:tr>
        <w:tblPrEx>
          <w:tblCellMar>
            <w:top w:w="0" w:type="dxa"/>
            <w:left w:w="0" w:type="dxa"/>
            <w:bottom w:w="0" w:type="dxa"/>
            <w:right w:w="0" w:type="dxa"/>
          </w:tblCellMar>
        </w:tblPrEx>
        <w:trPr>
          <w:trHeight w:val="976"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15"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2</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施工准备计划</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leftChars="0" w:right="0" w:righ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施工技术、现场、物资与机械、队伍准备计划充分保证工程需要</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before="42" w:line="440" w:lineRule="exact"/>
              <w:ind w:left="15"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2-4</w:t>
            </w:r>
          </w:p>
        </w:tc>
      </w:tr>
      <w:tr>
        <w:tblPrEx>
          <w:tblCellMar>
            <w:top w:w="0" w:type="dxa"/>
            <w:left w:w="0" w:type="dxa"/>
            <w:bottom w:w="0" w:type="dxa"/>
            <w:right w:w="0" w:type="dxa"/>
          </w:tblCellMar>
        </w:tblPrEx>
        <w:trPr>
          <w:trHeight w:val="3332"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15"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3</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施工方案</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施工方案符合工程实际情况，部署及措施先进、可靠，以提高生产率、缩短工期、提高质量、降低消耗为目标：</w:t>
            </w:r>
          </w:p>
          <w:p>
            <w:pPr>
              <w:pStyle w:val="197"/>
              <w:pageBreakBefore w:val="0"/>
              <w:kinsoku/>
              <w:bidi w:val="0"/>
              <w:spacing w:before="42" w:line="440" w:lineRule="exact"/>
              <w:ind w:left="4"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针对项目的重点、难点分析应透彻，解决方案切实可行；</w:t>
            </w:r>
          </w:p>
          <w:p>
            <w:pPr>
              <w:pStyle w:val="197"/>
              <w:pageBreakBefore w:val="0"/>
              <w:kinsoku/>
              <w:bidi w:val="0"/>
              <w:spacing w:before="4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市政基础设施项目，交通组织规划合理、可行，交通组织措施得力。</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line="440" w:lineRule="exact"/>
              <w:ind w:left="15"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6-11</w:t>
            </w:r>
          </w:p>
        </w:tc>
      </w:tr>
      <w:tr>
        <w:tblPrEx>
          <w:tblCellMar>
            <w:top w:w="0" w:type="dxa"/>
            <w:left w:w="0" w:type="dxa"/>
            <w:bottom w:w="0" w:type="dxa"/>
            <w:right w:w="0" w:type="dxa"/>
          </w:tblCellMar>
        </w:tblPrEx>
        <w:trPr>
          <w:trHeight w:val="966"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4</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施工进度计划</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进度计划应在空间和时间上做合理的统筹安排且符合施工的科学规律</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before="32"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4-8</w:t>
            </w:r>
          </w:p>
        </w:tc>
      </w:tr>
      <w:tr>
        <w:tblPrEx>
          <w:tblCellMar>
            <w:top w:w="0" w:type="dxa"/>
            <w:left w:w="0" w:type="dxa"/>
            <w:bottom w:w="0" w:type="dxa"/>
            <w:right w:w="0" w:type="dxa"/>
          </w:tblCellMar>
        </w:tblPrEx>
        <w:trPr>
          <w:trHeight w:val="1420"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5</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施工平面布置</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施工平面布置应符合工程实际，有针对性、布置合理，满足施工需要，便于施工和管理并符合安全、文明生产要求。</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4-8</w:t>
            </w:r>
          </w:p>
        </w:tc>
      </w:tr>
      <w:tr>
        <w:tblPrEx>
          <w:tblCellMar>
            <w:top w:w="0" w:type="dxa"/>
            <w:left w:w="0" w:type="dxa"/>
            <w:bottom w:w="0" w:type="dxa"/>
            <w:right w:w="0" w:type="dxa"/>
          </w:tblCellMar>
        </w:tblPrEx>
        <w:trPr>
          <w:trHeight w:val="966"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6</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劳动力</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劳动力投入计划与施工部署、施工方法及进度计划能够相互呼应并较好满足施工需要</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4-8</w:t>
            </w:r>
          </w:p>
        </w:tc>
      </w:tr>
      <w:tr>
        <w:tblPrEx>
          <w:tblCellMar>
            <w:top w:w="0" w:type="dxa"/>
            <w:left w:w="0" w:type="dxa"/>
            <w:bottom w:w="0" w:type="dxa"/>
            <w:right w:w="0" w:type="dxa"/>
          </w:tblCellMar>
        </w:tblPrEx>
        <w:trPr>
          <w:trHeight w:val="966"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7</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材料</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材料投入计划与施工部署、施工方法及进度计划能够相互呼应并较好满足施工需要</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4-8</w:t>
            </w:r>
          </w:p>
        </w:tc>
      </w:tr>
      <w:tr>
        <w:tblPrEx>
          <w:tblCellMar>
            <w:top w:w="0" w:type="dxa"/>
            <w:left w:w="0" w:type="dxa"/>
            <w:bottom w:w="0" w:type="dxa"/>
            <w:right w:w="0" w:type="dxa"/>
          </w:tblCellMar>
        </w:tblPrEx>
        <w:trPr>
          <w:trHeight w:val="966"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8</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机械设备</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机械投入计划与施工部署、施工方法及进度计划能够相互呼应并较好满足施工需要</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4-8</w:t>
            </w:r>
          </w:p>
        </w:tc>
      </w:tr>
      <w:tr>
        <w:tblPrEx>
          <w:tblCellMar>
            <w:top w:w="0" w:type="dxa"/>
            <w:left w:w="0" w:type="dxa"/>
            <w:bottom w:w="0" w:type="dxa"/>
            <w:right w:w="0" w:type="dxa"/>
          </w:tblCellMar>
        </w:tblPrEx>
        <w:trPr>
          <w:trHeight w:val="933"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9</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质量保证</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措施和体系</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保证措施应符合科学的施工规律、国家规定的强制性标准并有针对性，同时要符合实际情况，切实可行。质量目标明确，管理机构健全，职责分工明确；管理制度齐全；实施措施全面、有效。</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4-8</w:t>
            </w:r>
          </w:p>
        </w:tc>
      </w:tr>
      <w:tr>
        <w:tblPrEx>
          <w:tblCellMar>
            <w:top w:w="0" w:type="dxa"/>
            <w:left w:w="0" w:type="dxa"/>
            <w:bottom w:w="0" w:type="dxa"/>
            <w:right w:w="0" w:type="dxa"/>
          </w:tblCellMar>
        </w:tblPrEx>
        <w:trPr>
          <w:trHeight w:val="1420"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166" w:leftChars="0" w:right="151"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10</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工期保证</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措施和体系</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总工期及节点工期满足招标文件要求；施工进度计划内容全面，线路清晰、准确、完整，计划编制合理、可行；措施有力、合理、可行。</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4-8</w:t>
            </w:r>
          </w:p>
        </w:tc>
      </w:tr>
      <w:tr>
        <w:tblPrEx>
          <w:tblCellMar>
            <w:top w:w="0" w:type="dxa"/>
            <w:left w:w="0" w:type="dxa"/>
            <w:bottom w:w="0" w:type="dxa"/>
            <w:right w:w="0" w:type="dxa"/>
          </w:tblCellMar>
        </w:tblPrEx>
        <w:trPr>
          <w:trHeight w:val="2360"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166" w:leftChars="0" w:right="151"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11</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安全保证</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措施和体系</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firstLine="0" w:firstLineChars="0"/>
              <w:jc w:val="both"/>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保证措施应符合国家及自治区规定的强制性标准并有针对性，同时要符合实际情况，切实可行。</w:t>
            </w:r>
          </w:p>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安全目标明确，优于招标文件要求；管理机构健全，职责分工明确；管理制度齐全；实施与监控措施全面、有效。</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5-9</w:t>
            </w:r>
          </w:p>
        </w:tc>
      </w:tr>
      <w:tr>
        <w:tblPrEx>
          <w:tblCellMar>
            <w:top w:w="0" w:type="dxa"/>
            <w:left w:w="0" w:type="dxa"/>
            <w:bottom w:w="0" w:type="dxa"/>
            <w:right w:w="0" w:type="dxa"/>
          </w:tblCellMar>
        </w:tblPrEx>
        <w:trPr>
          <w:trHeight w:val="1420"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166" w:leftChars="0" w:right="151"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12</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现场文明</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施工措施</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管理措施目标明确，符合工程实际情况，切实可行；管理机构健全，职责分工明确；管理制度齐全；</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before="32" w:line="440" w:lineRule="exact"/>
              <w:ind w:left="15"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5-9</w:t>
            </w:r>
          </w:p>
        </w:tc>
      </w:tr>
      <w:tr>
        <w:tblPrEx>
          <w:tblCellMar>
            <w:top w:w="0" w:type="dxa"/>
            <w:left w:w="0" w:type="dxa"/>
            <w:bottom w:w="0" w:type="dxa"/>
            <w:right w:w="0" w:type="dxa"/>
          </w:tblCellMar>
        </w:tblPrEx>
        <w:trPr>
          <w:trHeight w:val="999"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151" w:line="440" w:lineRule="exact"/>
              <w:ind w:right="151"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 xml:space="preserve"> 13</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智慧工地</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及防疫措施</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智慧工地系统应用实施方案、防疫措施切实可行。</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before="151" w:line="440" w:lineRule="exact"/>
              <w:ind w:left="159" w:leftChars="0" w:right="144" w:righ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3-7</w:t>
            </w:r>
          </w:p>
        </w:tc>
      </w:tr>
      <w:tr>
        <w:tblPrEx>
          <w:tblCellMar>
            <w:top w:w="0" w:type="dxa"/>
            <w:left w:w="0" w:type="dxa"/>
            <w:bottom w:w="0" w:type="dxa"/>
            <w:right w:w="0" w:type="dxa"/>
          </w:tblCellMar>
        </w:tblPrEx>
        <w:trPr>
          <w:trHeight w:val="1420"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right="182"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 xml:space="preserve"> 14</w:t>
            </w: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BIM技术应用</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（如有）</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BIM技术应用管理体系健全，管理制度、保障措施齐全；BIM应用流程与计划完整、有效；重点工艺节点及施工流程BIM三维模型科学、合理等。</w:t>
            </w: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97"/>
              <w:pageBreakBefore w:val="0"/>
              <w:kinsoku/>
              <w:bidi w:val="0"/>
              <w:spacing w:before="151" w:line="440" w:lineRule="exact"/>
              <w:ind w:left="159" w:leftChars="0" w:right="144"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0-3</w:t>
            </w:r>
          </w:p>
        </w:tc>
      </w:tr>
      <w:tr>
        <w:tblPrEx>
          <w:tblCellMar>
            <w:top w:w="0" w:type="dxa"/>
            <w:left w:w="0" w:type="dxa"/>
            <w:bottom w:w="0" w:type="dxa"/>
            <w:right w:w="0" w:type="dxa"/>
          </w:tblCellMar>
        </w:tblPrEx>
        <w:trPr>
          <w:trHeight w:val="479" w:hRule="atLeast"/>
        </w:trPr>
        <w:tc>
          <w:tcPr>
            <w:tcW w:w="36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p>
        </w:tc>
        <w:tc>
          <w:tcPr>
            <w:tcW w:w="99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w:t>
            </w:r>
          </w:p>
        </w:tc>
        <w:tc>
          <w:tcPr>
            <w:tcW w:w="309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rPr>
            </w:pPr>
          </w:p>
        </w:tc>
        <w:tc>
          <w:tcPr>
            <w:tcW w:w="552"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656" w:hRule="atLeast"/>
        </w:trPr>
        <w:tc>
          <w:tcPr>
            <w:tcW w:w="5000"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numPr>
                <w:ilvl w:val="0"/>
                <w:numId w:val="0"/>
              </w:numPr>
              <w:kinsoku/>
              <w:bidi w:val="0"/>
              <w:spacing w:line="440" w:lineRule="exact"/>
              <w:ind w:firstLine="0" w:firstLineChars="0"/>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1.招标人应根据项目的特点在分值范围内设置各评审项目的具体分值，各项分值之和为100分。</w:t>
            </w:r>
          </w:p>
          <w:p>
            <w:pPr>
              <w:pageBreakBefore w:val="0"/>
              <w:numPr>
                <w:ilvl w:val="0"/>
                <w:numId w:val="0"/>
              </w:numPr>
              <w:kinsoku/>
              <w:bidi w:val="0"/>
              <w:spacing w:line="440" w:lineRule="exact"/>
              <w:ind w:firstLine="0" w:firstLineChars="0"/>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2.评委对各投标人同一评分内容量化打分时，如最高得分与最低得分相差25%（含25%）以上时，应做出合理的解释说明，否则不予计分。</w:t>
            </w:r>
          </w:p>
          <w:p>
            <w:pPr>
              <w:pageBreakBefore w:val="0"/>
              <w:numPr>
                <w:ilvl w:val="0"/>
                <w:numId w:val="0"/>
              </w:numPr>
              <w:kinsoku/>
              <w:bidi w:val="0"/>
              <w:spacing w:line="440" w:lineRule="exact"/>
              <w:ind w:firstLine="0" w:firstLineChars="0"/>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3.技术标评标时凡被评标委员会明确为明示和暗示的，应在技术标总得分（乘完权重后）中扣除：明示扣5分，暗示扣3分。</w:t>
            </w:r>
          </w:p>
          <w:p>
            <w:pPr>
              <w:pageBreakBefore w:val="0"/>
              <w:numPr>
                <w:ilvl w:val="0"/>
                <w:numId w:val="0"/>
              </w:numPr>
              <w:kinsoku/>
              <w:bidi w:val="0"/>
              <w:spacing w:line="440" w:lineRule="exact"/>
              <w:ind w:firstLine="0" w:firstLineChars="0"/>
              <w:rPr>
                <w:rFonts w:hint="eastAsia" w:ascii="方正仿宋_GB2312" w:hAnsi="方正仿宋_GB2312" w:eastAsia="方正仿宋_GB2312" w:cs="方正仿宋_GB2312"/>
                <w:sz w:val="28"/>
                <w:szCs w:val="28"/>
                <w:highlight w:val="none"/>
                <w:lang w:val="en-US"/>
              </w:rPr>
            </w:pPr>
            <w:r>
              <w:rPr>
                <w:rFonts w:hint="eastAsia" w:ascii="方正仿宋_GB2312" w:hAnsi="方正仿宋_GB2312" w:eastAsia="方正仿宋_GB2312" w:cs="方正仿宋_GB2312"/>
                <w:color w:val="000000"/>
                <w:kern w:val="0"/>
                <w:sz w:val="28"/>
                <w:szCs w:val="28"/>
                <w:highlight w:val="none"/>
                <w:lang w:val="en-US" w:eastAsia="zh-CN" w:bidi="ar-SA"/>
              </w:rPr>
              <w:t>4.评委在评审时应严格对照备注中的《技术标评审要素》进行评定，缺一项内容扣0.5分，直至相应的评审项目总分扣完为止。</w:t>
            </w:r>
          </w:p>
        </w:tc>
      </w:tr>
    </w:tbl>
    <w:p>
      <w:pPr>
        <w:pStyle w:val="42"/>
        <w:pageBreakBefore w:val="0"/>
        <w:kinsoku/>
        <w:bidi w:val="0"/>
        <w:spacing w:line="440" w:lineRule="exact"/>
        <w:ind w:left="0" w:leftChars="0" w:firstLine="0" w:firstLineChars="0"/>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备注：技术标评审要素包括以下内容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第一部分 工程概况及特点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1.1 工程概况要素：包括工程名称、规模（总造价，地上、地下层数）、基础、主体结构、工期、建设地点等内容。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1.2 工程特点要素：一是建筑设计，包括新型材料、特殊功能（特殊防火、防水、防辐射、隔音、无菌要求，四代住宅，地缘热等）；二是结构设计，包括钢筋砼、大跨度、高大空间、高强砼、特殊钢材、膜壳结构、复杂异形结构、复杂大曲面结构、预应力结构、再生砼等新型结构材料。三是水电设备，包括非常规设备、运行环境特许要求（粉尘、静电、防爆等）。四是特殊地理环境因素，毗邻地铁等重大地下构筑物、文物景点景区内施工，特许气候地理环境（不同一般冬歇期、严寒、沙漠地区、高海拔地区等）。</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第二部分 施工准备计划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2.1 施工技术准备要素：技术岗位人员配备齐全；工程涉及技术方案措施齐全；工程特点所涉及施工技术齐全、适用可行；技术工具、信息化应用（测量仪器、工作软、硬件应用等）；针对本工程的“四新”技术应用措施符合项目需要。</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2.2 人力资源要素：项目组织机构齐全。组织机构人员资格符合要求。</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2.3 物资、机械要素：分别列表统计所需物资、机械清单；物资品种规格品牌（如有）数量符合设计要求；机械种类、规格、数量基本满足工程所需；有满足工程特点所需特殊（种）机械。</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2.4 劳动力准备计划要素：作业班组工种齐全；劳动力数量满足工程要求；特种作业人员资格及数量满足工程需要；建立农民工工资专项账户。</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第三部分 施工方案</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3.1 基本内容要素：施工方案编制齐全；施工方案编制符合要求；方案符合工程实际，应结合工程特点；引用强制性技术标准不得出现错误，或明显违反国家和自治区有关规定。</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3.2 工期保证要素：总进度计划、平面布置等施工部署合理；分项工程劳动力数量有保证；地库、安装、装饰、外装、室外工程结合工程实际合理穿插；塔吊、电梯等按施工合理安排时间；穿插作业现场布置的调整相呼应。</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3.3 安全保证要素：安全管理目标明确；企业及项目部安全管理体系完善；安全保证措施、方案齐全；安全费用投入有保证；安全管理特点、亮点清晰明确；项目的重点、难点分析透彻，解决方案切实可行；市政基础设施项目，交通组织规划合理、可行，交通组织措施得力。</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3.4 质量保证要素：质量管理目标明确；企业及项目部质量管理体系完善；质量保证措施、方案齐全；质量通病防治措施，底线管理符合项目实际；创优创奖部署、策划符合工程实际；质量创优、亮点做法清晰明确，符合工程实际。</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第四部分 施工进度计划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4.1 基本内容要素：总进度计划编制符合要求；开竣工日期明确，符合招标文件要求；关键线路清晰，合理；分段、分区合理，工序持续时间、流水节拍合理。</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4.2 结合工程实际要素：地库、安装、装饰、外装、室外工程根据工程实际工序穿插合理；主体结构、砌体、安装与装修衔接时间等合理，无违背科学规律的现象；进度计划中分包专业工期明确；与施组部署、方案的时间节点一致。</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第五部分 施工平面布置</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5.1 基本内容要素：根据工程实际，平面图布置齐全；施工区、生活区、办公区划分明确合理，满足需求，场地利用合理；塔吊根据覆盖范围及施工需求布置合理，施工电梯布置合理；围挡形式、高度符合要求；平面图布置有图例、指北针、图纸会签栏；影响施工的毗邻高压、地下、地上管线、构筑物标示明确；机械、料场、加工厂等布置协调合理；水电驳接点，大门位置合理；图纸版面布局合理，文字、线型、分色清晰，美观。</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5.2 特点、亮点要素：说明中机械型号、数量、水电线路材质，敷设方式、围墙形式等说明清晰易懂；场内施工道路规划合理，临时水电走向合理，标示正确。影响施工的毗邻高压、地下、地上管线、构筑物所采取的隔离、保护措施。对分包单位办公、生活及堆料、加工的规划。永临结合、对树木、绿化等需要保留物件的保护。临建满足生活办公需求。花园式施工现场布局合理。</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第六部分 劳动力需用量计划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6.1 基本内容要素：工程所需劳动力工种齐全；对应时间段数量与施工部署、方案呼应一致；劳动力满足施工进度要求；满足工程所需特殊工种。</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6.2 重点、难点要素：工种数人员量与工作量、进度计划匹配；具备工程特殊工艺的工种、工人数量；工人经过专业培训合格，取得相应上岗证书；农民工作业、生活管理措施制度齐全；农民工维权、夜校管理有实效。</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第七部分 材料需用量计划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7.1 基本内容要素：工程所需物资资源品种、规格齐全。对应时间段数量与施工部署、方案呼应一致；现场材料存放、码放合理，有效减小二次运距，提高工效；进场材料验收、计量措施有效。</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7.2 其他要素：满足工程所需特殊、特种材料；现场材料管理制度齐全；成品、半成品、设备存放保护措施得当；大宗材料、区域外购置材料有计划，考虑生产周期、运输周期；响应招标文件品牌要求；对甲供、分包材料的管理得当；产品符合环保、节能要求，未使用国家严禁淘汰的产品。</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第八部分 机械设备需用量计划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8.1 基本内容要素：机械种类、型号满足需要；机械数量、布置满足施工需要；机械验收、维保、操作，司机（司索工）教育培训等制度齐全；机械现场平面布置覆盖区域合理，有效减小人工搬运，提高工效；进场机械验收、计量措施有效。</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8.2 重点、特点要素：特种材料使用的机械满足工程需求；机械进退场计划、管理；特种机械需从区域外购置、租赁有计划，考虑生产周期、运输周期；机械产品符合环保、节能要求，未使用国家严令淘汰的产品。</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第九部分：质量保证措施和体系</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9.1 基本内容要素：质量目标满足招标要求；质量保证体系健全；质量培训教育、检查、考核奖罚制度健全；质量管理人员资格符合要求；引用强制性技术标准不得出现错误，或明显违反国家和自治区有关规定；质量通病防治措施适用工程实际、可行；质量底线管理措施适用工程实际、可行。</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9.2 特点、重点要素：质量目标优于招标要求，创优创奖目标措施清晰可行；“四新”技术应用切合工程实际；结合工程实际的创新点、亮点做法。</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第十部分 工期保证措施和体系</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10.1 基本内容要素：工期目标满足招标文件要求；工期保证体系健全；工期管理、考核奖罚制度健全；人员满足要求，与施组、方案呼应一致；总进度计划符合招标文件要求，关键节点、关键线路清晰。</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10.2 其他要素：分段、流水划分合理，工序穿插衔接紧密，施工周期符合客观规律，无违背科学规律的情况；工期保证措施适用工程实际、可行。</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第十一部分 安全保证措施和体系</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11.1 基本内容要素：安全目标满足招标要求；安全保证体系健全；安全培训教育、管理、考核奖罚制度健全；安全管理人员资格符合要求；遵守国家和自治区有关规定。</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11.2 其他重点要素：安全风险防控和隐患排查“双控”适用工程实际、可行；危大工程管理符合国家和自治区相关规定；文明施工措施、标准化切实可行；安全目标高于招标要求，措施清晰可行；结合工程重点、特点的安全技术保证措施。</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第十二部分 现场文明施工措施</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12.1 基本内容要素：文明施工目标满足或高于招标要求；文明施工体系健全；文明施工培训教育、管理、考核奖罚制度健全；遵守国家和自治区相关规定。</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12.2 其他要素：文明施工措施、标准化切实可行；结合工程实际在文明施工方面的新举措。</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第十三部分 智慧工地及防疫措施</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13.1 智慧工地评审要素：智慧施工要求、目标满足或高于招标要求，且性价比较高；门禁、监控等智慧工地软硬件符合国家和自治区相关规定；智慧施工培训教育、考核总结奖罚制度健全；拟适用智慧化模块符合工程实际。</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13.2 疫情防控评审要素：疫情防控要求、目标符合国家和自治区有关规定；企业、项目疫情防控保证体系健全；疫情防控培训教育、管理、处置制度健全；测温、消杀、专人管理等疫情防控人员配备满足要求；测温、消杀等疫情防控人员配备满足要求；防疫物资计划及分阶段储备符合工程实际，在物资计划中有体现；食堂食品留样、隔离区及现场核酸检测区域符合要求，且在平面布置、临时建筑中有体现。</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第十四部分：BIM技术应用（如有）</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14.1 基本内容要素：BIM技术应用目标满足或高于招标要求，实效性强；BIM人员配置、能力资格符合实际要求；BIM技术应用所需软、硬件满足需求；BIM工作分工明确、切实可行；BIM应用流程与计划完整、有效；重点工艺节点及施工流程BIM三维模型科学、合理。</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right="0" w:rightChars="0" w:firstLine="640" w:firstLineChars="200"/>
        <w:jc w:val="both"/>
        <w:textAlignment w:val="auto"/>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color w:val="000000" w:themeColor="text1"/>
          <w:kern w:val="2"/>
          <w:sz w:val="32"/>
          <w:szCs w:val="32"/>
          <w:lang w:val="en-US" w:eastAsia="zh-CN" w:bidi="ar-SA"/>
          <w14:textFill>
            <w14:solidFill>
              <w14:schemeClr w14:val="tx1"/>
            </w14:solidFill>
          </w14:textFill>
        </w:rPr>
        <w:t>14.2 其他要素：BIM创优创奖规划，符合工程实际；主体结构、安装、装饰工程之间协调配合得当。</w:t>
      </w:r>
    </w:p>
    <w:p>
      <w:pPr>
        <w:pageBreakBefore w:val="0"/>
        <w:kinsoku/>
        <w:bidi w:val="0"/>
        <w:ind w:firstLine="0" w:firstLineChars="0"/>
        <w:rPr>
          <w:rFonts w:hint="eastAsia" w:ascii="方正仿宋_GB2312" w:hAnsi="方正仿宋_GB2312" w:eastAsia="方正仿宋_GB2312" w:cs="方正仿宋_GB2312"/>
          <w:b/>
          <w:bCs/>
          <w:kern w:val="2"/>
          <w:sz w:val="32"/>
          <w:szCs w:val="32"/>
          <w:highlight w:val="none"/>
          <w:lang w:val="en-US" w:eastAsia="zh-CN" w:bidi="ar-SA"/>
        </w:rPr>
      </w:pPr>
      <w:r>
        <w:rPr>
          <w:rFonts w:hint="eastAsia" w:ascii="方正仿宋_GB2312" w:hAnsi="方正仿宋_GB2312" w:eastAsia="方正仿宋_GB2312" w:cs="方正仿宋_GB2312"/>
          <w:b/>
          <w:bCs/>
          <w:kern w:val="2"/>
          <w:sz w:val="32"/>
          <w:szCs w:val="32"/>
          <w:highlight w:val="none"/>
          <w:lang w:val="en-US" w:eastAsia="zh-CN" w:bidi="ar-SA"/>
        </w:rPr>
        <w:br w:type="page"/>
      </w:r>
    </w:p>
    <w:p>
      <w:pPr>
        <w:pStyle w:val="42"/>
        <w:pageBreakBefore w:val="0"/>
        <w:kinsoku/>
        <w:bidi w:val="0"/>
        <w:spacing w:line="440" w:lineRule="exact"/>
        <w:ind w:left="0" w:leftChars="0" w:firstLine="0" w:firstLine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kern w:val="2"/>
          <w:sz w:val="32"/>
          <w:szCs w:val="32"/>
          <w:highlight w:val="none"/>
          <w:lang w:val="en-US" w:eastAsia="zh-CN" w:bidi="ar-SA"/>
        </w:rPr>
        <w:t>附表1-6</w:t>
      </w:r>
    </w:p>
    <w:tbl>
      <w:tblPr>
        <w:tblStyle w:val="43"/>
        <w:tblpPr w:leftFromText="180" w:rightFromText="180" w:vertAnchor="text" w:horzAnchor="page" w:tblpX="1078" w:tblpY="329"/>
        <w:tblOverlap w:val="never"/>
        <w:tblW w:w="9796" w:type="dxa"/>
        <w:tblInd w:w="0" w:type="dxa"/>
        <w:tblLayout w:type="fixed"/>
        <w:tblCellMar>
          <w:top w:w="0" w:type="dxa"/>
          <w:left w:w="0" w:type="dxa"/>
          <w:bottom w:w="0" w:type="dxa"/>
          <w:right w:w="0" w:type="dxa"/>
        </w:tblCellMar>
      </w:tblPr>
      <w:tblGrid>
        <w:gridCol w:w="635"/>
        <w:gridCol w:w="1725"/>
        <w:gridCol w:w="5627"/>
        <w:gridCol w:w="942"/>
        <w:gridCol w:w="867"/>
      </w:tblGrid>
      <w:tr>
        <w:tblPrEx>
          <w:tblCellMar>
            <w:top w:w="0" w:type="dxa"/>
            <w:left w:w="0" w:type="dxa"/>
            <w:bottom w:w="0" w:type="dxa"/>
            <w:right w:w="0" w:type="dxa"/>
          </w:tblCellMar>
        </w:tblPrEx>
        <w:trPr>
          <w:trHeight w:val="510" w:hRule="atLeast"/>
        </w:trPr>
        <w:tc>
          <w:tcPr>
            <w:tcW w:w="9796" w:type="dxa"/>
            <w:gridSpan w:val="5"/>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技术标</w:t>
            </w:r>
            <w:r>
              <w:rPr>
                <w:rFonts w:hint="eastAsia" w:ascii="方正仿宋_GB2312" w:hAnsi="方正仿宋_GB2312" w:eastAsia="方正仿宋_GB2312" w:cs="方正仿宋_GB2312"/>
                <w:b/>
                <w:color w:val="000000"/>
                <w:kern w:val="0"/>
                <w:sz w:val="28"/>
                <w:szCs w:val="28"/>
                <w:highlight w:val="none"/>
                <w:lang w:val="en-US" w:eastAsia="zh-CN" w:bidi="ar"/>
              </w:rPr>
              <w:t>评审标准（合格制）</w:t>
            </w:r>
          </w:p>
        </w:tc>
      </w:tr>
      <w:tr>
        <w:tblPrEx>
          <w:tblCellMar>
            <w:top w:w="0" w:type="dxa"/>
            <w:left w:w="0" w:type="dxa"/>
            <w:bottom w:w="0" w:type="dxa"/>
            <w:right w:w="0" w:type="dxa"/>
          </w:tblCellMar>
        </w:tblPrEx>
        <w:trPr>
          <w:trHeight w:val="405" w:hRule="atLeast"/>
        </w:trPr>
        <w:tc>
          <w:tcPr>
            <w:tcW w:w="9796" w:type="dxa"/>
            <w:gridSpan w:val="5"/>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r>
      <w:tr>
        <w:tblPrEx>
          <w:tblCellMar>
            <w:top w:w="0" w:type="dxa"/>
            <w:left w:w="0" w:type="dxa"/>
            <w:bottom w:w="0" w:type="dxa"/>
            <w:right w:w="0" w:type="dxa"/>
          </w:tblCellMar>
        </w:tblPrEx>
        <w:trPr>
          <w:trHeight w:val="790" w:hRule="atLeast"/>
        </w:trPr>
        <w:tc>
          <w:tcPr>
            <w:tcW w:w="6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序号</w:t>
            </w:r>
          </w:p>
        </w:tc>
        <w:tc>
          <w:tcPr>
            <w:tcW w:w="172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评审项目</w:t>
            </w:r>
          </w:p>
        </w:tc>
        <w:tc>
          <w:tcPr>
            <w:tcW w:w="562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评审标准</w:t>
            </w:r>
          </w:p>
        </w:tc>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评审意见</w:t>
            </w:r>
            <w:r>
              <w:rPr>
                <w:rFonts w:hint="eastAsia" w:ascii="方正仿宋_GB2312" w:hAnsi="方正仿宋_GB2312" w:eastAsia="方正仿宋_GB2312" w:cs="方正仿宋_GB2312"/>
                <w:b/>
                <w:color w:val="000000"/>
                <w:kern w:val="0"/>
                <w:sz w:val="28"/>
                <w:szCs w:val="28"/>
                <w:highlight w:val="none"/>
                <w:lang w:val="en-US" w:eastAsia="zh-CN" w:bidi="ar"/>
              </w:rPr>
              <w:br w:type="textWrapping"/>
            </w:r>
            <w:r>
              <w:rPr>
                <w:rFonts w:hint="eastAsia" w:ascii="方正仿宋_GB2312" w:hAnsi="方正仿宋_GB2312" w:eastAsia="方正仿宋_GB2312" w:cs="方正仿宋_GB2312"/>
                <w:b/>
                <w:color w:val="000000"/>
                <w:kern w:val="0"/>
                <w:sz w:val="28"/>
                <w:szCs w:val="28"/>
                <w:highlight w:val="none"/>
                <w:lang w:val="en-US" w:eastAsia="zh-CN" w:bidi="ar"/>
              </w:rPr>
              <w:t>（是否通过）</w:t>
            </w:r>
          </w:p>
        </w:tc>
      </w:tr>
      <w:tr>
        <w:tblPrEx>
          <w:tblCellMar>
            <w:top w:w="0" w:type="dxa"/>
            <w:left w:w="0" w:type="dxa"/>
            <w:bottom w:w="0" w:type="dxa"/>
            <w:right w:w="0" w:type="dxa"/>
          </w:tblCellMar>
        </w:tblPrEx>
        <w:trPr>
          <w:trHeight w:val="552" w:hRule="atLeast"/>
        </w:trPr>
        <w:tc>
          <w:tcPr>
            <w:tcW w:w="6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p>
        </w:tc>
        <w:tc>
          <w:tcPr>
            <w:tcW w:w="172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p>
        </w:tc>
        <w:tc>
          <w:tcPr>
            <w:tcW w:w="562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通过</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不通过</w:t>
            </w:r>
          </w:p>
        </w:tc>
      </w:tr>
      <w:tr>
        <w:tblPrEx>
          <w:tblCellMar>
            <w:top w:w="0" w:type="dxa"/>
            <w:left w:w="0" w:type="dxa"/>
            <w:bottom w:w="0" w:type="dxa"/>
            <w:right w:w="0" w:type="dxa"/>
          </w:tblCellMar>
        </w:tblPrEx>
        <w:trPr>
          <w:trHeight w:val="41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工程概况</w:t>
            </w:r>
          </w:p>
          <w:p>
            <w:pPr>
              <w:pStyle w:val="197"/>
              <w:pageBreakBefore w:val="0"/>
              <w:kinsoku/>
              <w:bidi w:val="0"/>
              <w:spacing w:before="42" w:line="440" w:lineRule="exact"/>
              <w:ind w:left="4"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及特点</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leftChars="0" w:right="0" w:righ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对工程总体概况及特点表述清晰、完整、符合实际</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1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2</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施工准备计划</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施工技术、现场、物资与机械、队伍准备计划充分保证工程需要</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7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3</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施工方案</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与技术措施</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施工方案符合工程实际情况，部署及措施先进、可靠；针对项目的重点、难点分析应透彻，解决方案切实可行；</w:t>
            </w:r>
          </w:p>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市政基础设施项目，交通组织规划合理、可行，交通组织措施得力。</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79"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4</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施工进度计划</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进度计划应在空间和时间上做合理的统筹安排且符合施工的科学规律</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46"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5</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施工平面布置</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施工平面布置应符合工程实际，有针对性、布置合理，满足施工需要，便于施工和管理并符合安全、文明生产要求。</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6</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劳动力</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劳动力投入计划与施工部署、施工方法及进度计划能够相互呼应并较好满足施工需要</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27"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7</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材料</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材料投入计划与施工部署、施工方法及进度计划能够相互呼应并较好满足施工需要</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71"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8</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机械设备</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机械投入计划与施工部署、施工方法及进度计划能够相互呼应并较好满足施工需要</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49"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9</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质量保证</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措施和体系</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保证措施应符合科学的施工规律、国家规定的强制性标准并有针对性，同时要符合实际情况，切实可行。质量目标明确，管理机构健全，职责分工明确；管理制度齐全；实施措施全面、有效。</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27"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10</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工期保证</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措施和体系</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总工期及节点工期满足招标文件要求；施工进度计划内容全面，线路清晰、准确、完整，计划编制合理、可行；措施有力、合理、可行。</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66"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11</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安全保证</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zh-CN" w:eastAsia="zh-CN" w:bidi="ar-SA"/>
              </w:rPr>
              <w:t>措施和体系</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firstLine="0" w:firstLineChars="0"/>
              <w:jc w:val="both"/>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保证措施应符合国家及自治区规定的强制性标准并有针对性，同时要符合实际情况，切实可行。</w:t>
            </w:r>
          </w:p>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安全目标明确，优于招标文件要求；管理机构健全，职责分工明确；管理制度齐全；实施与监控措施全面、有效。</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12</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现场文明</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zh-CN" w:eastAsia="zh-CN" w:bidi="ar-SA"/>
              </w:rPr>
              <w:t>施工措施</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管理措施目标明确，符合工程实际情况，切实可行；管理机构健全，职责分工明确；管理制度齐全；</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13</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智慧工地</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及防疫措施</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智慧工地系统应用实施方案、防疫措施切实可行。</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14</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BIM技术应用</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（如有）</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BIM技术应用管理体系健全，管理制度、保障措施齐全；BIM应用流程与计划完整、有效；重点工艺节点及施工流程BIM三维模型科学、合理等。</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w:t>
            </w:r>
          </w:p>
        </w:tc>
        <w:tc>
          <w:tcPr>
            <w:tcW w:w="5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79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结论：是否通过评审</w:t>
            </w:r>
          </w:p>
        </w:tc>
        <w:tc>
          <w:tcPr>
            <w:tcW w:w="9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bl>
    <w:p>
      <w:pPr>
        <w:pStyle w:val="42"/>
        <w:pageBreakBefore w:val="0"/>
        <w:kinsoku/>
        <w:bidi w:val="0"/>
        <w:spacing w:line="440" w:lineRule="exact"/>
        <w:ind w:left="0" w:leftChars="0" w:firstLine="0" w:firstLineChars="0"/>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highlight w:val="none"/>
          <w:lang w:eastAsia="zh-CN"/>
        </w:rPr>
      </w:pPr>
      <w:r>
        <w:rPr>
          <w:rFonts w:hint="eastAsia" w:ascii="方正仿宋_GB2312" w:hAnsi="方正仿宋_GB2312" w:eastAsia="方正仿宋_GB2312" w:cs="方正仿宋_GB2312"/>
          <w:b/>
          <w:bCs/>
          <w:sz w:val="32"/>
          <w:szCs w:val="32"/>
          <w:highlight w:val="none"/>
        </w:rPr>
        <w:t>附表1-</w:t>
      </w:r>
      <w:r>
        <w:rPr>
          <w:rFonts w:hint="eastAsia" w:ascii="方正仿宋_GB2312" w:hAnsi="方正仿宋_GB2312" w:eastAsia="方正仿宋_GB2312" w:cs="方正仿宋_GB2312"/>
          <w:b/>
          <w:bCs/>
          <w:sz w:val="32"/>
          <w:szCs w:val="32"/>
          <w:highlight w:val="none"/>
          <w:lang w:val="en-US" w:eastAsia="zh-CN"/>
        </w:rPr>
        <w:t>7</w:t>
      </w:r>
    </w:p>
    <w:tbl>
      <w:tblPr>
        <w:tblStyle w:val="43"/>
        <w:tblW w:w="8660" w:type="dxa"/>
        <w:tblInd w:w="0" w:type="dxa"/>
        <w:tblLayout w:type="fixed"/>
        <w:tblCellMar>
          <w:top w:w="0" w:type="dxa"/>
          <w:left w:w="0" w:type="dxa"/>
          <w:bottom w:w="0" w:type="dxa"/>
          <w:right w:w="0" w:type="dxa"/>
        </w:tblCellMar>
      </w:tblPr>
      <w:tblGrid>
        <w:gridCol w:w="1056"/>
        <w:gridCol w:w="1405"/>
        <w:gridCol w:w="787"/>
        <w:gridCol w:w="1128"/>
        <w:gridCol w:w="1035"/>
        <w:gridCol w:w="119"/>
        <w:gridCol w:w="1118"/>
        <w:gridCol w:w="999"/>
        <w:gridCol w:w="1013"/>
      </w:tblGrid>
      <w:tr>
        <w:tblPrEx>
          <w:tblCellMar>
            <w:top w:w="0" w:type="dxa"/>
            <w:left w:w="0" w:type="dxa"/>
            <w:bottom w:w="0" w:type="dxa"/>
            <w:right w:w="0" w:type="dxa"/>
          </w:tblCellMar>
        </w:tblPrEx>
        <w:trPr>
          <w:trHeight w:val="117" w:hRule="atLeast"/>
        </w:trPr>
        <w:tc>
          <w:tcPr>
            <w:tcW w:w="8660" w:type="dxa"/>
            <w:gridSpan w:val="9"/>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综合评估法经济标</w:t>
            </w:r>
            <w:r>
              <w:rPr>
                <w:rFonts w:hint="eastAsia" w:ascii="方正仿宋_GB2312" w:hAnsi="方正仿宋_GB2312" w:eastAsia="方正仿宋_GB2312" w:cs="方正仿宋_GB2312"/>
                <w:b/>
                <w:color w:val="000000"/>
                <w:kern w:val="0"/>
                <w:sz w:val="28"/>
                <w:szCs w:val="28"/>
                <w:highlight w:val="none"/>
                <w:lang w:eastAsia="zh-CN" w:bidi="ar"/>
              </w:rPr>
              <w:t>—</w:t>
            </w:r>
            <w:r>
              <w:rPr>
                <w:rFonts w:hint="eastAsia" w:ascii="方正仿宋_GB2312" w:hAnsi="方正仿宋_GB2312" w:eastAsia="方正仿宋_GB2312" w:cs="方正仿宋_GB2312"/>
                <w:b/>
                <w:color w:val="000000"/>
                <w:kern w:val="0"/>
                <w:sz w:val="28"/>
                <w:szCs w:val="28"/>
                <w:highlight w:val="none"/>
                <w:lang w:val="en-US" w:eastAsia="zh-CN" w:bidi="ar"/>
              </w:rPr>
              <w:t>合理</w:t>
            </w:r>
            <w:r>
              <w:rPr>
                <w:rFonts w:hint="eastAsia" w:ascii="方正仿宋_GB2312" w:hAnsi="方正仿宋_GB2312" w:eastAsia="方正仿宋_GB2312" w:cs="方正仿宋_GB2312"/>
                <w:b/>
                <w:color w:val="000000"/>
                <w:kern w:val="0"/>
                <w:sz w:val="28"/>
                <w:szCs w:val="28"/>
                <w:highlight w:val="none"/>
                <w:lang w:bidi="ar"/>
              </w:rPr>
              <w:t>基准价计算表</w:t>
            </w:r>
          </w:p>
        </w:tc>
      </w:tr>
      <w:tr>
        <w:tblPrEx>
          <w:tblCellMar>
            <w:top w:w="0" w:type="dxa"/>
            <w:left w:w="0" w:type="dxa"/>
            <w:bottom w:w="0" w:type="dxa"/>
            <w:right w:w="0" w:type="dxa"/>
          </w:tblCellMar>
        </w:tblPrEx>
        <w:trPr>
          <w:trHeight w:val="117" w:hRule="atLeast"/>
        </w:trPr>
        <w:tc>
          <w:tcPr>
            <w:tcW w:w="8660" w:type="dxa"/>
            <w:gridSpan w:val="9"/>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r>
      <w:tr>
        <w:tblPrEx>
          <w:tblCellMar>
            <w:top w:w="0" w:type="dxa"/>
            <w:left w:w="0" w:type="dxa"/>
            <w:bottom w:w="0" w:type="dxa"/>
            <w:right w:w="0" w:type="dxa"/>
          </w:tblCellMar>
        </w:tblPrEx>
        <w:trPr>
          <w:trHeight w:val="119" w:hRule="atLeast"/>
        </w:trPr>
        <w:tc>
          <w:tcPr>
            <w:tcW w:w="8660"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招标控制价部分</w:t>
            </w:r>
          </w:p>
        </w:tc>
      </w:tr>
      <w:tr>
        <w:tblPrEx>
          <w:tblCellMar>
            <w:top w:w="0" w:type="dxa"/>
            <w:left w:w="0" w:type="dxa"/>
            <w:bottom w:w="0" w:type="dxa"/>
            <w:right w:w="0" w:type="dxa"/>
          </w:tblCellMar>
        </w:tblPrEx>
        <w:trPr>
          <w:trHeight w:val="119" w:hRule="atLeast"/>
        </w:trPr>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其中：</w:t>
            </w:r>
          </w:p>
        </w:tc>
        <w:tc>
          <w:tcPr>
            <w:tcW w:w="30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暂列金</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0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bidi="ar"/>
              </w:rPr>
              <w:t>专业工程暂估</w:t>
            </w:r>
            <w:r>
              <w:rPr>
                <w:rFonts w:hint="eastAsia" w:ascii="方正仿宋_GB2312" w:hAnsi="方正仿宋_GB2312" w:eastAsia="方正仿宋_GB2312" w:cs="方正仿宋_GB2312"/>
                <w:color w:val="000000"/>
                <w:kern w:val="0"/>
                <w:sz w:val="28"/>
                <w:szCs w:val="28"/>
                <w:highlight w:val="none"/>
                <w:lang w:val="en-US" w:eastAsia="zh-CN" w:bidi="ar"/>
              </w:rPr>
              <w:t>价</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0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规费</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0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税金</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32" w:hRule="atLeast"/>
        </w:trPr>
        <w:tc>
          <w:tcPr>
            <w:tcW w:w="246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0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环境保护费、文明施工费、安全施工费</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0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智慧工地基础配置费用</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06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32" w:hRule="atLeast"/>
        </w:trPr>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eastAsia="zh-CN" w:bidi="ar"/>
              </w:rPr>
              <w:t>招标</w:t>
            </w:r>
            <w:r>
              <w:rPr>
                <w:rFonts w:hint="eastAsia" w:ascii="方正仿宋_GB2312" w:hAnsi="方正仿宋_GB2312" w:eastAsia="方正仿宋_GB2312" w:cs="方正仿宋_GB2312"/>
                <w:color w:val="000000"/>
                <w:kern w:val="0"/>
                <w:sz w:val="28"/>
                <w:szCs w:val="28"/>
                <w:highlight w:val="none"/>
                <w:lang w:bidi="ar"/>
              </w:rPr>
              <w:t>控制价可竞争部分的下浮率K</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招标控制价部分</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8660"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投标报价部分</w:t>
            </w:r>
          </w:p>
        </w:tc>
      </w:tr>
      <w:tr>
        <w:tblPrEx>
          <w:tblCellMar>
            <w:top w:w="0" w:type="dxa"/>
            <w:left w:w="0" w:type="dxa"/>
            <w:bottom w:w="0" w:type="dxa"/>
            <w:right w:w="0" w:type="dxa"/>
          </w:tblCellMar>
        </w:tblPrEx>
        <w:trPr>
          <w:trHeight w:val="119" w:hRule="atLeast"/>
        </w:trPr>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有效投标人家数</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是否大于5家</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是</w:t>
            </w:r>
            <w:r>
              <w:rPr>
                <w:rFonts w:hint="eastAsia" w:ascii="方正仿宋_GB2312" w:hAnsi="方正仿宋_GB2312" w:eastAsia="方正仿宋_GB2312" w:cs="方正仿宋_GB2312"/>
                <w:color w:val="000000"/>
                <w:sz w:val="28"/>
                <w:szCs w:val="28"/>
                <w:highlight w:val="none"/>
                <w:lang w:eastAsia="zh-CN"/>
              </w:rPr>
              <w:sym w:font="Wingdings" w:char="00A8"/>
            </w:r>
            <w:r>
              <w:rPr>
                <w:rFonts w:hint="eastAsia" w:ascii="方正仿宋_GB2312" w:hAnsi="方正仿宋_GB2312" w:eastAsia="方正仿宋_GB2312" w:cs="方正仿宋_GB2312"/>
                <w:color w:val="000000"/>
                <w:sz w:val="28"/>
                <w:szCs w:val="28"/>
                <w:highlight w:val="none"/>
                <w:lang w:val="en-US" w:eastAsia="zh-CN"/>
              </w:rPr>
              <w:t xml:space="preserve">             </w:t>
            </w:r>
            <w:r>
              <w:rPr>
                <w:rFonts w:hint="eastAsia" w:ascii="方正仿宋_GB2312" w:hAnsi="方正仿宋_GB2312" w:eastAsia="方正仿宋_GB2312" w:cs="方正仿宋_GB2312"/>
                <w:color w:val="000000"/>
                <w:sz w:val="28"/>
                <w:szCs w:val="28"/>
                <w:highlight w:val="none"/>
                <w:lang w:eastAsia="zh-CN"/>
              </w:rPr>
              <w:t>否</w:t>
            </w:r>
            <w:r>
              <w:rPr>
                <w:rFonts w:hint="eastAsia" w:ascii="方正仿宋_GB2312" w:hAnsi="方正仿宋_GB2312" w:eastAsia="方正仿宋_GB2312" w:cs="方正仿宋_GB2312"/>
                <w:color w:val="000000"/>
                <w:sz w:val="28"/>
                <w:szCs w:val="28"/>
                <w:highlight w:val="none"/>
                <w:lang w:eastAsia="zh-CN"/>
              </w:rPr>
              <w:sym w:font="Wingdings" w:char="00A8"/>
            </w:r>
          </w:p>
        </w:tc>
      </w:tr>
      <w:tr>
        <w:tblPrEx>
          <w:tblCellMar>
            <w:top w:w="0" w:type="dxa"/>
            <w:left w:w="0" w:type="dxa"/>
            <w:bottom w:w="0" w:type="dxa"/>
            <w:right w:w="0" w:type="dxa"/>
          </w:tblCellMar>
        </w:tblPrEx>
        <w:trPr>
          <w:trHeight w:val="232" w:hRule="atLeast"/>
        </w:trPr>
        <w:tc>
          <w:tcPr>
            <w:tcW w:w="1056" w:type="dxa"/>
            <w:vMerge w:val="restar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投标报价部分</w:t>
            </w:r>
          </w:p>
        </w:tc>
        <w:tc>
          <w:tcPr>
            <w:tcW w:w="140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少于5家</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（不含）</w:t>
            </w:r>
          </w:p>
        </w:tc>
        <w:tc>
          <w:tcPr>
            <w:tcW w:w="6199" w:type="dxa"/>
            <w:gridSpan w:val="7"/>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32" w:hRule="atLeast"/>
        </w:trPr>
        <w:tc>
          <w:tcPr>
            <w:tcW w:w="1056" w:type="dxa"/>
            <w:vMerge w:val="continue"/>
            <w:tcBorders>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textAlignment w:val="center"/>
              <w:rPr>
                <w:rFonts w:hint="eastAsia" w:ascii="方正仿宋_GB2312" w:hAnsi="方正仿宋_GB2312" w:eastAsia="方正仿宋_GB2312" w:cs="方正仿宋_GB2312"/>
                <w:color w:val="000000"/>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大于5家（含）</w:t>
            </w:r>
          </w:p>
        </w:tc>
        <w:tc>
          <w:tcPr>
            <w:tcW w:w="6199" w:type="dxa"/>
            <w:gridSpan w:val="7"/>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8660"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val="en-US" w:eastAsia="zh-CN" w:bidi="ar"/>
              </w:rPr>
              <w:t>合理</w:t>
            </w:r>
            <w:r>
              <w:rPr>
                <w:rFonts w:hint="eastAsia" w:ascii="方正仿宋_GB2312" w:hAnsi="方正仿宋_GB2312" w:eastAsia="方正仿宋_GB2312" w:cs="方正仿宋_GB2312"/>
                <w:b/>
                <w:color w:val="000000"/>
                <w:kern w:val="0"/>
                <w:sz w:val="28"/>
                <w:szCs w:val="28"/>
                <w:highlight w:val="none"/>
                <w:lang w:bidi="ar"/>
              </w:rPr>
              <w:t>基准价计算</w:t>
            </w:r>
          </w:p>
        </w:tc>
      </w:tr>
      <w:tr>
        <w:tblPrEx>
          <w:tblCellMar>
            <w:top w:w="0" w:type="dxa"/>
            <w:left w:w="0" w:type="dxa"/>
            <w:bottom w:w="0" w:type="dxa"/>
            <w:right w:w="0" w:type="dxa"/>
          </w:tblCellMar>
        </w:tblPrEx>
        <w:trPr>
          <w:trHeight w:val="119" w:hRule="atLeast"/>
        </w:trPr>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招标控制价部分</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19" w:hRule="atLeast"/>
        </w:trPr>
        <w:tc>
          <w:tcPr>
            <w:tcW w:w="246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投标报价部分</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32" w:hRule="atLeast"/>
        </w:trPr>
        <w:tc>
          <w:tcPr>
            <w:tcW w:w="2461" w:type="dxa"/>
            <w:gridSpan w:val="2"/>
            <w:tcBorders>
              <w:top w:val="nil"/>
              <w:left w:val="single" w:color="auto" w:sz="4" w:space="0"/>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评标基准价中</w:t>
            </w:r>
            <w:r>
              <w:rPr>
                <w:rFonts w:hint="eastAsia" w:ascii="方正仿宋_GB2312" w:hAnsi="方正仿宋_GB2312" w:eastAsia="方正仿宋_GB2312" w:cs="方正仿宋_GB2312"/>
                <w:color w:val="000000"/>
                <w:kern w:val="0"/>
                <w:sz w:val="28"/>
                <w:szCs w:val="28"/>
                <w:highlight w:val="none"/>
                <w:lang w:eastAsia="zh-CN" w:bidi="ar"/>
              </w:rPr>
              <w:t>招标</w:t>
            </w:r>
            <w:r>
              <w:rPr>
                <w:rFonts w:hint="eastAsia" w:ascii="方正仿宋_GB2312" w:hAnsi="方正仿宋_GB2312" w:eastAsia="方正仿宋_GB2312" w:cs="方正仿宋_GB2312"/>
                <w:color w:val="000000"/>
                <w:kern w:val="0"/>
                <w:sz w:val="28"/>
                <w:szCs w:val="28"/>
                <w:highlight w:val="none"/>
                <w:lang w:bidi="ar"/>
              </w:rPr>
              <w:t>控制价权重K1</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32" w:hRule="atLeast"/>
        </w:trPr>
        <w:tc>
          <w:tcPr>
            <w:tcW w:w="246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工程类型</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房屋建筑</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市政公用</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轨道交通</w:t>
            </w: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装饰装修</w:t>
            </w:r>
          </w:p>
        </w:tc>
        <w:tc>
          <w:tcPr>
            <w:tcW w:w="9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园林、仿古</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安装</w:t>
            </w:r>
          </w:p>
        </w:tc>
      </w:tr>
      <w:tr>
        <w:tblPrEx>
          <w:tblCellMar>
            <w:top w:w="0" w:type="dxa"/>
            <w:left w:w="0" w:type="dxa"/>
            <w:bottom w:w="0" w:type="dxa"/>
            <w:right w:w="0" w:type="dxa"/>
          </w:tblCellMar>
        </w:tblPrEx>
        <w:trPr>
          <w:trHeight w:val="119" w:hRule="atLeast"/>
        </w:trPr>
        <w:tc>
          <w:tcPr>
            <w:tcW w:w="246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K2</w:t>
            </w:r>
          </w:p>
        </w:tc>
        <w:tc>
          <w:tcPr>
            <w:tcW w:w="7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0.85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0.88</w:t>
            </w:r>
          </w:p>
        </w:tc>
        <w:tc>
          <w:tcPr>
            <w:tcW w:w="123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0.92</w:t>
            </w:r>
          </w:p>
        </w:tc>
        <w:tc>
          <w:tcPr>
            <w:tcW w:w="9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0.88</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0.9</w:t>
            </w:r>
          </w:p>
        </w:tc>
      </w:tr>
      <w:tr>
        <w:tblPrEx>
          <w:tblCellMar>
            <w:top w:w="0" w:type="dxa"/>
            <w:left w:w="0" w:type="dxa"/>
            <w:bottom w:w="0" w:type="dxa"/>
            <w:right w:w="0" w:type="dxa"/>
          </w:tblCellMar>
        </w:tblPrEx>
        <w:trPr>
          <w:trHeight w:val="122" w:hRule="atLeast"/>
        </w:trPr>
        <w:tc>
          <w:tcPr>
            <w:tcW w:w="246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bidi="ar"/>
              </w:rPr>
              <w:t>合理</w:t>
            </w:r>
            <w:r>
              <w:rPr>
                <w:rFonts w:hint="eastAsia" w:ascii="方正仿宋_GB2312" w:hAnsi="方正仿宋_GB2312" w:eastAsia="方正仿宋_GB2312" w:cs="方正仿宋_GB2312"/>
                <w:color w:val="000000"/>
                <w:kern w:val="0"/>
                <w:sz w:val="28"/>
                <w:szCs w:val="28"/>
                <w:highlight w:val="none"/>
                <w:lang w:bidi="ar"/>
              </w:rPr>
              <w:t>基准价</w:t>
            </w:r>
          </w:p>
        </w:tc>
        <w:tc>
          <w:tcPr>
            <w:tcW w:w="619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bl>
    <w:p>
      <w:pPr>
        <w:pageBreakBefore w:val="0"/>
        <w:kinsoku/>
        <w:bidi w:val="0"/>
        <w:ind w:firstLine="0" w:firstLine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highlight w:val="none"/>
          <w:lang w:eastAsia="zh-CN"/>
        </w:rPr>
      </w:pPr>
      <w:r>
        <w:rPr>
          <w:rFonts w:hint="eastAsia" w:ascii="方正仿宋_GB2312" w:hAnsi="方正仿宋_GB2312" w:eastAsia="方正仿宋_GB2312" w:cs="方正仿宋_GB2312"/>
          <w:b/>
          <w:bCs/>
          <w:sz w:val="32"/>
          <w:szCs w:val="32"/>
          <w:highlight w:val="none"/>
        </w:rPr>
        <w:t>附表1-</w:t>
      </w:r>
      <w:r>
        <w:rPr>
          <w:rFonts w:hint="eastAsia" w:ascii="方正仿宋_GB2312" w:hAnsi="方正仿宋_GB2312" w:eastAsia="方正仿宋_GB2312" w:cs="方正仿宋_GB2312"/>
          <w:b/>
          <w:bCs/>
          <w:sz w:val="32"/>
          <w:szCs w:val="32"/>
          <w:highlight w:val="none"/>
          <w:lang w:val="en-US" w:eastAsia="zh-CN"/>
        </w:rPr>
        <w:t>8</w:t>
      </w:r>
    </w:p>
    <w:tbl>
      <w:tblPr>
        <w:tblStyle w:val="43"/>
        <w:tblW w:w="8380" w:type="dxa"/>
        <w:tblInd w:w="0" w:type="dxa"/>
        <w:tblLayout w:type="fixed"/>
        <w:tblCellMar>
          <w:top w:w="0" w:type="dxa"/>
          <w:left w:w="0" w:type="dxa"/>
          <w:bottom w:w="0" w:type="dxa"/>
          <w:right w:w="0" w:type="dxa"/>
        </w:tblCellMar>
      </w:tblPr>
      <w:tblGrid>
        <w:gridCol w:w="1058"/>
        <w:gridCol w:w="2190"/>
        <w:gridCol w:w="2500"/>
        <w:gridCol w:w="2632"/>
      </w:tblGrid>
      <w:tr>
        <w:tblPrEx>
          <w:tblCellMar>
            <w:top w:w="0" w:type="dxa"/>
            <w:left w:w="0" w:type="dxa"/>
            <w:bottom w:w="0" w:type="dxa"/>
            <w:right w:w="0" w:type="dxa"/>
          </w:tblCellMar>
        </w:tblPrEx>
        <w:trPr>
          <w:trHeight w:val="90" w:hRule="atLeast"/>
        </w:trPr>
        <w:tc>
          <w:tcPr>
            <w:tcW w:w="8380" w:type="dxa"/>
            <w:gridSpan w:val="4"/>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综合评估法经济标</w:t>
            </w:r>
            <w:r>
              <w:rPr>
                <w:rFonts w:hint="eastAsia" w:ascii="方正仿宋_GB2312" w:hAnsi="方正仿宋_GB2312" w:eastAsia="方正仿宋_GB2312" w:cs="方正仿宋_GB2312"/>
                <w:b/>
                <w:color w:val="000000"/>
                <w:kern w:val="0"/>
                <w:sz w:val="28"/>
                <w:szCs w:val="28"/>
                <w:highlight w:val="none"/>
                <w:lang w:eastAsia="zh-CN" w:bidi="ar"/>
              </w:rPr>
              <w:t>—评标</w:t>
            </w:r>
            <w:r>
              <w:rPr>
                <w:rFonts w:hint="eastAsia" w:ascii="方正仿宋_GB2312" w:hAnsi="方正仿宋_GB2312" w:eastAsia="方正仿宋_GB2312" w:cs="方正仿宋_GB2312"/>
                <w:b/>
                <w:color w:val="000000"/>
                <w:kern w:val="0"/>
                <w:sz w:val="28"/>
                <w:szCs w:val="28"/>
                <w:highlight w:val="none"/>
                <w:lang w:bidi="ar"/>
              </w:rPr>
              <w:t>基准价计算表</w:t>
            </w:r>
          </w:p>
        </w:tc>
      </w:tr>
      <w:tr>
        <w:tblPrEx>
          <w:tblCellMar>
            <w:top w:w="0" w:type="dxa"/>
            <w:left w:w="0" w:type="dxa"/>
            <w:bottom w:w="0" w:type="dxa"/>
            <w:right w:w="0" w:type="dxa"/>
          </w:tblCellMar>
        </w:tblPrEx>
        <w:trPr>
          <w:trHeight w:val="90" w:hRule="atLeast"/>
        </w:trPr>
        <w:tc>
          <w:tcPr>
            <w:tcW w:w="8380" w:type="dxa"/>
            <w:gridSpan w:val="4"/>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r>
      <w:tr>
        <w:tblPrEx>
          <w:tblCellMar>
            <w:top w:w="0" w:type="dxa"/>
            <w:left w:w="0" w:type="dxa"/>
            <w:bottom w:w="0" w:type="dxa"/>
            <w:right w:w="0" w:type="dxa"/>
          </w:tblCellMar>
        </w:tblPrEx>
        <w:trPr>
          <w:trHeight w:val="90" w:hRule="atLeast"/>
        </w:trPr>
        <w:tc>
          <w:tcPr>
            <w:tcW w:w="838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招标控制价部分</w:t>
            </w:r>
          </w:p>
        </w:tc>
      </w:tr>
      <w:tr>
        <w:tblPrEx>
          <w:tblCellMar>
            <w:top w:w="0" w:type="dxa"/>
            <w:left w:w="0" w:type="dxa"/>
            <w:bottom w:w="0" w:type="dxa"/>
            <w:right w:w="0" w:type="dxa"/>
          </w:tblCellMar>
        </w:tblPrEx>
        <w:trPr>
          <w:trHeight w:val="90" w:hRule="atLeast"/>
        </w:trPr>
        <w:tc>
          <w:tcPr>
            <w:tcW w:w="32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其中：</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暂列金</w:t>
            </w:r>
          </w:p>
        </w:tc>
        <w:tc>
          <w:tcPr>
            <w:tcW w:w="2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bidi="ar"/>
              </w:rPr>
              <w:t>专业工程暂估</w:t>
            </w:r>
            <w:r>
              <w:rPr>
                <w:rFonts w:hint="eastAsia" w:ascii="方正仿宋_GB2312" w:hAnsi="方正仿宋_GB2312" w:eastAsia="方正仿宋_GB2312" w:cs="方正仿宋_GB2312"/>
                <w:color w:val="000000"/>
                <w:kern w:val="0"/>
                <w:sz w:val="28"/>
                <w:szCs w:val="28"/>
                <w:highlight w:val="none"/>
                <w:lang w:val="en-US" w:eastAsia="zh-CN" w:bidi="ar"/>
              </w:rPr>
              <w:t>价</w:t>
            </w:r>
          </w:p>
        </w:tc>
        <w:tc>
          <w:tcPr>
            <w:tcW w:w="2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规费</w:t>
            </w:r>
          </w:p>
        </w:tc>
        <w:tc>
          <w:tcPr>
            <w:tcW w:w="2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税金</w:t>
            </w:r>
          </w:p>
        </w:tc>
        <w:tc>
          <w:tcPr>
            <w:tcW w:w="2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环境保护费、文明施工费、安全施工费</w:t>
            </w:r>
          </w:p>
        </w:tc>
        <w:tc>
          <w:tcPr>
            <w:tcW w:w="2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智慧工地基础配置费用</w:t>
            </w:r>
          </w:p>
        </w:tc>
        <w:tc>
          <w:tcPr>
            <w:tcW w:w="2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w:t>
            </w:r>
          </w:p>
        </w:tc>
        <w:tc>
          <w:tcPr>
            <w:tcW w:w="2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eastAsia="zh-CN" w:bidi="ar"/>
              </w:rPr>
              <w:t>招标</w:t>
            </w:r>
            <w:r>
              <w:rPr>
                <w:rFonts w:hint="eastAsia" w:ascii="方正仿宋_GB2312" w:hAnsi="方正仿宋_GB2312" w:eastAsia="方正仿宋_GB2312" w:cs="方正仿宋_GB2312"/>
                <w:color w:val="000000"/>
                <w:kern w:val="0"/>
                <w:sz w:val="28"/>
                <w:szCs w:val="28"/>
                <w:highlight w:val="none"/>
                <w:lang w:bidi="ar"/>
              </w:rPr>
              <w:t>控制价可竞争部分的下浮率K</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招标控制价部分</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28"/>
                <w:szCs w:val="28"/>
                <w:highlight w:val="none"/>
              </w:rPr>
            </w:pPr>
          </w:p>
        </w:tc>
      </w:tr>
      <w:tr>
        <w:tblPrEx>
          <w:tblCellMar>
            <w:top w:w="0" w:type="dxa"/>
            <w:left w:w="0" w:type="dxa"/>
            <w:bottom w:w="0" w:type="dxa"/>
            <w:right w:w="0" w:type="dxa"/>
          </w:tblCellMar>
        </w:tblPrEx>
        <w:trPr>
          <w:trHeight w:val="90" w:hRule="atLeast"/>
        </w:trPr>
        <w:tc>
          <w:tcPr>
            <w:tcW w:w="838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投标报价部分</w:t>
            </w:r>
          </w:p>
        </w:tc>
      </w:tr>
      <w:tr>
        <w:tblPrEx>
          <w:tblCellMar>
            <w:top w:w="0" w:type="dxa"/>
            <w:left w:w="0" w:type="dxa"/>
            <w:bottom w:w="0" w:type="dxa"/>
            <w:right w:w="0" w:type="dxa"/>
          </w:tblCellMar>
        </w:tblPrEx>
        <w:trPr>
          <w:trHeight w:val="90" w:hRule="atLeast"/>
        </w:trPr>
        <w:tc>
          <w:tcPr>
            <w:tcW w:w="32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有效投标人家数</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是否大于5家</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sz w:val="28"/>
                <w:szCs w:val="28"/>
                <w:highlight w:val="none"/>
                <w:lang w:eastAsia="zh-CN"/>
              </w:rPr>
              <w:t>是</w:t>
            </w:r>
            <w:r>
              <w:rPr>
                <w:rFonts w:hint="eastAsia" w:ascii="方正仿宋_GB2312" w:hAnsi="方正仿宋_GB2312" w:eastAsia="方正仿宋_GB2312" w:cs="方正仿宋_GB2312"/>
                <w:color w:val="000000"/>
                <w:sz w:val="28"/>
                <w:szCs w:val="28"/>
                <w:highlight w:val="none"/>
                <w:lang w:eastAsia="zh-CN"/>
              </w:rPr>
              <w:sym w:font="Wingdings" w:char="00A8"/>
            </w:r>
            <w:r>
              <w:rPr>
                <w:rFonts w:hint="eastAsia" w:ascii="方正仿宋_GB2312" w:hAnsi="方正仿宋_GB2312" w:eastAsia="方正仿宋_GB2312" w:cs="方正仿宋_GB2312"/>
                <w:color w:val="000000"/>
                <w:sz w:val="28"/>
                <w:szCs w:val="28"/>
                <w:highlight w:val="none"/>
                <w:lang w:val="en-US" w:eastAsia="zh-CN"/>
              </w:rPr>
              <w:t xml:space="preserve">             </w:t>
            </w:r>
            <w:r>
              <w:rPr>
                <w:rFonts w:hint="eastAsia" w:ascii="方正仿宋_GB2312" w:hAnsi="方正仿宋_GB2312" w:eastAsia="方正仿宋_GB2312" w:cs="方正仿宋_GB2312"/>
                <w:color w:val="000000"/>
                <w:sz w:val="28"/>
                <w:szCs w:val="28"/>
                <w:highlight w:val="none"/>
                <w:lang w:eastAsia="zh-CN"/>
              </w:rPr>
              <w:t>否</w:t>
            </w:r>
            <w:r>
              <w:rPr>
                <w:rFonts w:hint="eastAsia" w:ascii="方正仿宋_GB2312" w:hAnsi="方正仿宋_GB2312" w:eastAsia="方正仿宋_GB2312" w:cs="方正仿宋_GB2312"/>
                <w:color w:val="000000"/>
                <w:sz w:val="28"/>
                <w:szCs w:val="28"/>
                <w:highlight w:val="none"/>
                <w:lang w:eastAsia="zh-CN"/>
              </w:rPr>
              <w:sym w:font="Wingdings" w:char="00A8"/>
            </w:r>
          </w:p>
        </w:tc>
      </w:tr>
      <w:tr>
        <w:tblPrEx>
          <w:tblCellMar>
            <w:top w:w="0" w:type="dxa"/>
            <w:left w:w="0" w:type="dxa"/>
            <w:bottom w:w="0" w:type="dxa"/>
            <w:right w:w="0" w:type="dxa"/>
          </w:tblCellMar>
        </w:tblPrEx>
        <w:trPr>
          <w:trHeight w:val="90" w:hRule="atLeast"/>
        </w:trPr>
        <w:tc>
          <w:tcPr>
            <w:tcW w:w="10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投标报价部分</w:t>
            </w:r>
          </w:p>
        </w:tc>
        <w:tc>
          <w:tcPr>
            <w:tcW w:w="21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少于5家（不含）</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bidi="ar"/>
              </w:rPr>
              <w:t>大于5家（含）</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838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评标基准价计算</w:t>
            </w:r>
          </w:p>
        </w:tc>
      </w:tr>
      <w:tr>
        <w:tblPrEx>
          <w:tblCellMar>
            <w:top w:w="0" w:type="dxa"/>
            <w:left w:w="0" w:type="dxa"/>
            <w:bottom w:w="0" w:type="dxa"/>
            <w:right w:w="0" w:type="dxa"/>
          </w:tblCellMar>
        </w:tblPrEx>
        <w:trPr>
          <w:trHeight w:val="90" w:hRule="atLeast"/>
        </w:trPr>
        <w:tc>
          <w:tcPr>
            <w:tcW w:w="324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招标控制价部分</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投标报价部分</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tcBorders>
              <w:top w:val="nil"/>
              <w:left w:val="single" w:color="auto" w:sz="4" w:space="0"/>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评标基准价中控制价权重K1</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3248"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评标基准价</w:t>
            </w:r>
          </w:p>
        </w:tc>
        <w:tc>
          <w:tcPr>
            <w:tcW w:w="513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lang w:eastAsia="zh-CN"/>
        </w:rPr>
      </w:pPr>
      <w:r>
        <w:rPr>
          <w:rFonts w:hint="eastAsia" w:ascii="方正仿宋_GB2312" w:hAnsi="方正仿宋_GB2312" w:eastAsia="方正仿宋_GB2312" w:cs="方正仿宋_GB2312"/>
          <w:b/>
          <w:bCs/>
          <w:sz w:val="32"/>
          <w:szCs w:val="32"/>
          <w:highlight w:val="none"/>
        </w:rPr>
        <w:t>附表1-</w:t>
      </w:r>
      <w:r>
        <w:rPr>
          <w:rFonts w:hint="eastAsia" w:ascii="方正仿宋_GB2312" w:hAnsi="方正仿宋_GB2312" w:eastAsia="方正仿宋_GB2312" w:cs="方正仿宋_GB2312"/>
          <w:b/>
          <w:bCs/>
          <w:sz w:val="32"/>
          <w:szCs w:val="32"/>
          <w:highlight w:val="none"/>
          <w:lang w:val="en-US" w:eastAsia="zh-CN"/>
        </w:rPr>
        <w:t>9</w:t>
      </w:r>
    </w:p>
    <w:tbl>
      <w:tblPr>
        <w:tblStyle w:val="43"/>
        <w:tblpPr w:leftFromText="180" w:rightFromText="180" w:vertAnchor="text" w:horzAnchor="page" w:tblpX="1053" w:tblpY="648"/>
        <w:tblOverlap w:val="never"/>
        <w:tblW w:w="9927" w:type="dxa"/>
        <w:tblInd w:w="0" w:type="dxa"/>
        <w:tblLayout w:type="fixed"/>
        <w:tblCellMar>
          <w:top w:w="0" w:type="dxa"/>
          <w:left w:w="0" w:type="dxa"/>
          <w:bottom w:w="0" w:type="dxa"/>
          <w:right w:w="0" w:type="dxa"/>
        </w:tblCellMar>
      </w:tblPr>
      <w:tblGrid>
        <w:gridCol w:w="1800"/>
        <w:gridCol w:w="1678"/>
        <w:gridCol w:w="1609"/>
        <w:gridCol w:w="1582"/>
        <w:gridCol w:w="1609"/>
        <w:gridCol w:w="1649"/>
      </w:tblGrid>
      <w:tr>
        <w:tblPrEx>
          <w:tblCellMar>
            <w:top w:w="0" w:type="dxa"/>
            <w:left w:w="0" w:type="dxa"/>
            <w:bottom w:w="0" w:type="dxa"/>
            <w:right w:w="0" w:type="dxa"/>
          </w:tblCellMar>
        </w:tblPrEx>
        <w:trPr>
          <w:trHeight w:val="660" w:hRule="atLeast"/>
        </w:trPr>
        <w:tc>
          <w:tcPr>
            <w:tcW w:w="9927" w:type="dxa"/>
            <w:gridSpan w:val="6"/>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综合评估法</w:t>
            </w:r>
            <w:r>
              <w:rPr>
                <w:rFonts w:hint="eastAsia" w:ascii="方正仿宋_GB2312" w:hAnsi="方正仿宋_GB2312" w:eastAsia="方正仿宋_GB2312" w:cs="方正仿宋_GB2312"/>
                <w:b/>
                <w:color w:val="000000"/>
                <w:kern w:val="0"/>
                <w:sz w:val="28"/>
                <w:szCs w:val="28"/>
                <w:highlight w:val="none"/>
                <w:lang w:eastAsia="zh-CN" w:bidi="ar"/>
              </w:rPr>
              <w:t>—</w:t>
            </w:r>
            <w:r>
              <w:rPr>
                <w:rFonts w:hint="eastAsia" w:ascii="方正仿宋_GB2312" w:hAnsi="方正仿宋_GB2312" w:eastAsia="方正仿宋_GB2312" w:cs="方正仿宋_GB2312"/>
                <w:b/>
                <w:color w:val="000000"/>
                <w:kern w:val="0"/>
                <w:sz w:val="28"/>
                <w:szCs w:val="28"/>
                <w:highlight w:val="none"/>
                <w:lang w:bidi="ar"/>
              </w:rPr>
              <w:t>经济标计分表</w:t>
            </w:r>
          </w:p>
        </w:tc>
      </w:tr>
      <w:tr>
        <w:tblPrEx>
          <w:tblCellMar>
            <w:top w:w="0" w:type="dxa"/>
            <w:left w:w="0" w:type="dxa"/>
            <w:bottom w:w="0" w:type="dxa"/>
            <w:right w:w="0" w:type="dxa"/>
          </w:tblCellMar>
        </w:tblPrEx>
        <w:trPr>
          <w:trHeight w:val="380" w:hRule="atLeast"/>
        </w:trPr>
        <w:tc>
          <w:tcPr>
            <w:tcW w:w="9927" w:type="dxa"/>
            <w:gridSpan w:val="6"/>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r>
      <w:tr>
        <w:tblPrEx>
          <w:tblCellMar>
            <w:top w:w="0" w:type="dxa"/>
            <w:left w:w="0" w:type="dxa"/>
            <w:bottom w:w="0" w:type="dxa"/>
            <w:right w:w="0" w:type="dxa"/>
          </w:tblCellMar>
        </w:tblPrEx>
        <w:trPr>
          <w:trHeight w:val="60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单位名称</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0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投标报价</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0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修正报价</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0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评标基准价</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0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偏差率</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0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计算得分</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270" w:hRule="atLeast"/>
        </w:trPr>
        <w:tc>
          <w:tcPr>
            <w:tcW w:w="1800" w:type="dxa"/>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p>
        </w:tc>
        <w:tc>
          <w:tcPr>
            <w:tcW w:w="1678"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582"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09"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c>
          <w:tcPr>
            <w:tcW w:w="1649"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outlineLvl w:val="1"/>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bookmarkStart w:id="483" w:name="_Toc14185"/>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二、经评审的最低投标价法</w:t>
      </w:r>
      <w:bookmarkEnd w:id="483"/>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484" w:name="_Toc9279"/>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一</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初步评审</w:t>
      </w:r>
      <w:bookmarkEnd w:id="484"/>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按照办法第十</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八</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条至第</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二十</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条及形式、资格和</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重大偏差评审标准（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1-2、1-3）</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规定，对投标文件进行评审，对不符合相关规定和要求的投标文件予以否决。</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采取资格预审的，按照本办法第</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六</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条至第</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七</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条以及相关评审表格和招标文件</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规定进行评审。</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485" w:name="_Toc938"/>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二</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详细评审</w:t>
      </w:r>
      <w:bookmarkEnd w:id="485"/>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通过初步评审的投标人进入详细评审，</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评审程序如下：</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3"/>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486" w:name="_Toc23188"/>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、技术标评审</w:t>
      </w:r>
      <w:bookmarkEnd w:id="486"/>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由评标委员会按照本办法技术标评审标准（合格制）（附表1-6）规定进行评审。</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3"/>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bookmarkStart w:id="487" w:name="_Toc394"/>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经济标评审</w:t>
      </w:r>
      <w:bookmarkEnd w:id="487"/>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4"/>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488" w:name="_Toc10233"/>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2.1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报价修正</w:t>
      </w:r>
      <w:bookmarkEnd w:id="488"/>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评标委员会对清标中发现投标报价存在算术性错误的，应按以下原则对投标报价进行修正：</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一是</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当综合单价与工程量（或计算基础金额与费率）的乘积与合价不一致时，以综合单价（或费率）为准修正合价及总价；</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二是</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当各单项金额相加与其合计金额不一致时，以各单项金额为准修正相应合计金额及总价。</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评标委员会修正后的价格经投标人书面确认后具有约束力</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合理低价评定计算以修正后的报价为准（以后所称投标报价均为修正后的报价）</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。投标人不接受修正价格或修正后价格高于招标控制价的，评标委员会应否决其投标。</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4"/>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bookmarkStart w:id="489" w:name="_Toc18278"/>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2.2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确定投标报价有效范围</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2-1</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bookmarkEnd w:id="489"/>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通过初步评审</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技术标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评审的投标</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人</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报价参与确定投标报价有效范围。</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2.2.1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计算报价均值：</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投标企业少于5家（不含）直接取算术平均值；</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大于5家（含）时去掉总家数20%高价（四舍五入取整）和总家数20%低价（四舍五入取整）后的取算术平均值。</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2.2.2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基准价计算取值范围：</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2.2.2.1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房屋建筑工程（不包含单独招标的安装工程和装饰装修工程）的报价取值范围为报价均值的93％至103％(含)</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其它工程投标报价取值范围为报价均值的90％至105％（含）。</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2.2.2.2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超出报价取值范围的</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投标报价</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不进入评标基准价计算，但</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对投标报价</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进行排名。</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 xml:space="preserve">2.2.3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计算评标基准价</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2-2</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评标基准价=[（招标控制价-</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招标控制价中的不可竞争费用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）×（1-K）+</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招标控制价中的不可竞争费用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]×K1+投标报价有效范围内报价算数平均值×（1-K1）×（1-K2）。</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招标控制价中的不可竞争费用为：暂列金额、专业工程暂估价、规费、税金、环境保护费、文明施工费、安全施工费、智慧工地基础配置费用等。</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K为评标基准价中控制价可竞争部分的下浮率，由招标人在经济标评审前，随机抽取确定。</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K值取值建议：房屋建筑工程0%～5%;单独招标的安装工程和装饰装修工程0%～8%;市政和园林绿化工程0%～10%。以上均以1%为间隔。</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K1为评标基准价中</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控制价权重，由招标人在经济标评审前，随机抽取确定。K1取值范围</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0</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14:textFill>
            <w14:solidFill>
              <w14:schemeClr w14:val="tx1"/>
            </w14:solidFill>
          </w14:textFill>
        </w:rPr>
        <w:t>0%，以10%为间隔。</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K2为随机下浮率，由招标人在经济标评审前，随机抽取确定。K2的取值范围1%～4%，以1%为间隔。</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pPr>
      <w:bookmarkStart w:id="490" w:name="_Toc17117"/>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（三）推荐中标候选</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人</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2-3</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bookmarkEnd w:id="490"/>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投标报价高于评标基准价的报价为有效报价。在此有效报价范围内，按照投标报价由低到高对投标</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人</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进行排序</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推荐不超过3个有排序的中标候选人，招标人按照中标候选人的排序确定中标人。</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lang w:eastAsia="zh-CN"/>
        </w:rPr>
      </w:pPr>
      <w:r>
        <w:rPr>
          <w:rFonts w:hint="eastAsia" w:ascii="方正仿宋_GB2312" w:hAnsi="方正仿宋_GB2312" w:eastAsia="方正仿宋_GB2312" w:cs="方正仿宋_GB2312"/>
          <w:b/>
          <w:bCs/>
          <w:sz w:val="32"/>
          <w:szCs w:val="32"/>
          <w:highlight w:val="none"/>
        </w:rPr>
        <w:t>附表2-</w:t>
      </w:r>
      <w:r>
        <w:rPr>
          <w:rFonts w:hint="eastAsia" w:ascii="方正仿宋_GB2312" w:hAnsi="方正仿宋_GB2312" w:eastAsia="方正仿宋_GB2312" w:cs="方正仿宋_GB2312"/>
          <w:b/>
          <w:bCs/>
          <w:sz w:val="32"/>
          <w:szCs w:val="32"/>
          <w:highlight w:val="none"/>
          <w:lang w:val="en-US" w:eastAsia="zh-CN"/>
        </w:rPr>
        <w:t>1</w:t>
      </w: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val="0"/>
          <w:sz w:val="32"/>
          <w:szCs w:val="32"/>
          <w:highlight w:val="none"/>
        </w:rPr>
        <w:t>投标报价有效范围计算表</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项目</w:t>
      </w:r>
      <w:r>
        <w:rPr>
          <w:rFonts w:hint="eastAsia" w:ascii="方正仿宋_GB2312" w:hAnsi="方正仿宋_GB2312" w:eastAsia="方正仿宋_GB2312" w:cs="方正仿宋_GB2312"/>
          <w:b/>
          <w:bCs/>
          <w:color w:val="000000"/>
          <w:kern w:val="0"/>
          <w:sz w:val="32"/>
          <w:szCs w:val="32"/>
          <w:highlight w:val="none"/>
          <w:lang w:bidi="ar"/>
        </w:rPr>
        <w:t>名称：</w:t>
      </w:r>
    </w:p>
    <w:tbl>
      <w:tblPr>
        <w:tblStyle w:val="43"/>
        <w:tblW w:w="14520" w:type="dxa"/>
        <w:tblInd w:w="93" w:type="dxa"/>
        <w:shd w:val="clear" w:color="auto" w:fill="auto"/>
        <w:tblLayout w:type="fixed"/>
        <w:tblCellMar>
          <w:top w:w="0" w:type="dxa"/>
          <w:left w:w="108" w:type="dxa"/>
          <w:bottom w:w="0" w:type="dxa"/>
          <w:right w:w="108" w:type="dxa"/>
        </w:tblCellMar>
      </w:tblPr>
      <w:tblGrid>
        <w:gridCol w:w="2959"/>
        <w:gridCol w:w="1603"/>
        <w:gridCol w:w="1618"/>
        <w:gridCol w:w="1400"/>
        <w:gridCol w:w="1340"/>
        <w:gridCol w:w="1420"/>
        <w:gridCol w:w="1320"/>
        <w:gridCol w:w="1420"/>
        <w:gridCol w:w="1440"/>
      </w:tblGrid>
      <w:tr>
        <w:tblPrEx>
          <w:tblCellMar>
            <w:top w:w="0" w:type="dxa"/>
            <w:left w:w="108" w:type="dxa"/>
            <w:bottom w:w="0" w:type="dxa"/>
            <w:right w:w="108" w:type="dxa"/>
          </w:tblCellMar>
        </w:tblPrEx>
        <w:trPr>
          <w:trHeight w:val="446" w:hRule="atLeast"/>
        </w:trPr>
        <w:tc>
          <w:tcPr>
            <w:tcW w:w="2959" w:type="dxa"/>
            <w:tcBorders>
              <w:top w:val="single" w:color="auto" w:sz="8" w:space="0"/>
              <w:left w:val="single" w:color="auto" w:sz="8" w:space="0"/>
              <w:bottom w:val="single" w:color="auto" w:sz="4" w:space="0"/>
              <w:right w:val="single" w:color="auto" w:sz="4" w:space="0"/>
              <w:tl2br w:val="single" w:color="auto" w:sz="4" w:space="0"/>
            </w:tcBorders>
            <w:shd w:val="clear" w:color="auto" w:fill="auto"/>
            <w:noWrap w:val="0"/>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bCs/>
                <w:kern w:val="0"/>
                <w:sz w:val="28"/>
                <w:szCs w:val="28"/>
                <w:highlight w:val="none"/>
              </w:rPr>
            </w:pPr>
            <w:r>
              <w:rPr>
                <w:rFonts w:hint="eastAsia" w:ascii="方正仿宋_GB2312" w:hAnsi="方正仿宋_GB2312" w:eastAsia="方正仿宋_GB2312" w:cs="方正仿宋_GB2312"/>
                <w:bCs/>
                <w:kern w:val="0"/>
                <w:sz w:val="28"/>
                <w:szCs w:val="28"/>
                <w:highlight w:val="none"/>
              </w:rPr>
              <w:t xml:space="preserve">          </w:t>
            </w:r>
            <w:r>
              <w:rPr>
                <w:rFonts w:hint="eastAsia" w:ascii="方正仿宋_GB2312" w:hAnsi="方正仿宋_GB2312" w:eastAsia="方正仿宋_GB2312" w:cs="方正仿宋_GB2312"/>
                <w:color w:val="000000"/>
                <w:kern w:val="0"/>
                <w:sz w:val="28"/>
                <w:szCs w:val="28"/>
                <w:highlight w:val="none"/>
                <w:lang w:bidi="ar"/>
              </w:rPr>
              <w:t xml:space="preserve"> </w:t>
            </w:r>
            <w:r>
              <w:rPr>
                <w:rFonts w:hint="eastAsia" w:ascii="方正仿宋_GB2312" w:hAnsi="方正仿宋_GB2312" w:eastAsia="方正仿宋_GB2312" w:cs="方正仿宋_GB2312"/>
                <w:color w:val="000000"/>
                <w:kern w:val="0"/>
                <w:sz w:val="28"/>
                <w:szCs w:val="28"/>
                <w:highlight w:val="none"/>
                <w:lang w:val="en-US" w:eastAsia="zh-CN" w:bidi="ar"/>
              </w:rPr>
              <w:t xml:space="preserve">    </w:t>
            </w:r>
            <w:r>
              <w:rPr>
                <w:rFonts w:hint="eastAsia" w:ascii="方正仿宋_GB2312" w:hAnsi="方正仿宋_GB2312" w:eastAsia="方正仿宋_GB2312" w:cs="方正仿宋_GB2312"/>
                <w:color w:val="000000"/>
                <w:kern w:val="0"/>
                <w:sz w:val="28"/>
                <w:szCs w:val="28"/>
                <w:highlight w:val="none"/>
                <w:lang w:bidi="ar"/>
              </w:rPr>
              <w:t>投标单位</w:t>
            </w:r>
            <w:r>
              <w:rPr>
                <w:rFonts w:hint="eastAsia" w:ascii="方正仿宋_GB2312" w:hAnsi="方正仿宋_GB2312" w:eastAsia="方正仿宋_GB2312" w:cs="方正仿宋_GB2312"/>
                <w:color w:val="000000"/>
                <w:kern w:val="0"/>
                <w:sz w:val="28"/>
                <w:szCs w:val="28"/>
                <w:highlight w:val="none"/>
                <w:lang w:bidi="ar"/>
              </w:rPr>
              <w:br w:type="textWrapping"/>
            </w:r>
            <w:r>
              <w:rPr>
                <w:rFonts w:hint="eastAsia" w:ascii="方正仿宋_GB2312" w:hAnsi="方正仿宋_GB2312" w:eastAsia="方正仿宋_GB2312" w:cs="方正仿宋_GB2312"/>
                <w:color w:val="000000"/>
                <w:kern w:val="0"/>
                <w:sz w:val="28"/>
                <w:szCs w:val="28"/>
                <w:highlight w:val="none"/>
                <w:lang w:bidi="ar"/>
              </w:rPr>
              <w:t xml:space="preserve"> </w:t>
            </w:r>
            <w:r>
              <w:rPr>
                <w:rFonts w:hint="eastAsia" w:ascii="方正仿宋_GB2312" w:hAnsi="方正仿宋_GB2312" w:eastAsia="方正仿宋_GB2312" w:cs="方正仿宋_GB2312"/>
                <w:color w:val="000000"/>
                <w:kern w:val="0"/>
                <w:sz w:val="28"/>
                <w:szCs w:val="28"/>
                <w:highlight w:val="none"/>
                <w:lang w:val="en-US" w:eastAsia="zh-CN" w:bidi="ar"/>
              </w:rPr>
              <w:t xml:space="preserve">  </w:t>
            </w:r>
            <w:r>
              <w:rPr>
                <w:rFonts w:hint="eastAsia" w:ascii="方正仿宋_GB2312" w:hAnsi="方正仿宋_GB2312" w:eastAsia="方正仿宋_GB2312" w:cs="方正仿宋_GB2312"/>
                <w:color w:val="000000"/>
                <w:kern w:val="0"/>
                <w:sz w:val="28"/>
                <w:szCs w:val="28"/>
                <w:highlight w:val="none"/>
                <w:lang w:bidi="ar"/>
              </w:rPr>
              <w:t>内容</w:t>
            </w:r>
          </w:p>
        </w:tc>
        <w:tc>
          <w:tcPr>
            <w:tcW w:w="1603" w:type="dxa"/>
            <w:tcBorders>
              <w:top w:val="single" w:color="auto" w:sz="8"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投标人1</w:t>
            </w:r>
          </w:p>
        </w:tc>
        <w:tc>
          <w:tcPr>
            <w:tcW w:w="1618" w:type="dxa"/>
            <w:tcBorders>
              <w:top w:val="single" w:color="auto" w:sz="8"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bidi="ar"/>
              </w:rPr>
              <w:t>投标人</w:t>
            </w:r>
            <w:r>
              <w:rPr>
                <w:rFonts w:hint="eastAsia" w:ascii="方正仿宋_GB2312" w:hAnsi="方正仿宋_GB2312" w:eastAsia="方正仿宋_GB2312" w:cs="方正仿宋_GB2312"/>
                <w:color w:val="000000"/>
                <w:kern w:val="0"/>
                <w:sz w:val="28"/>
                <w:szCs w:val="28"/>
                <w:highlight w:val="none"/>
                <w:lang w:val="en-US" w:eastAsia="zh-CN" w:bidi="ar"/>
              </w:rPr>
              <w:t>2</w:t>
            </w:r>
          </w:p>
        </w:tc>
        <w:tc>
          <w:tcPr>
            <w:tcW w:w="1400" w:type="dxa"/>
            <w:tcBorders>
              <w:top w:val="single" w:color="auto" w:sz="8"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lang w:val="en-US" w:eastAsia="zh-CN"/>
              </w:rPr>
              <w:t>……</w:t>
            </w:r>
          </w:p>
        </w:tc>
        <w:tc>
          <w:tcPr>
            <w:tcW w:w="1340" w:type="dxa"/>
            <w:tcBorders>
              <w:top w:val="single" w:color="auto" w:sz="8"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420" w:type="dxa"/>
            <w:tcBorders>
              <w:top w:val="single" w:color="auto" w:sz="8"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320" w:type="dxa"/>
            <w:tcBorders>
              <w:top w:val="single" w:color="auto" w:sz="8"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420" w:type="dxa"/>
            <w:tcBorders>
              <w:top w:val="single" w:color="auto" w:sz="8"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440" w:type="dxa"/>
            <w:tcBorders>
              <w:top w:val="single" w:color="auto" w:sz="8" w:space="0"/>
              <w:left w:val="nil"/>
              <w:bottom w:val="single" w:color="auto" w:sz="4" w:space="0"/>
              <w:right w:val="single" w:color="auto" w:sz="8"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r>
      <w:tr>
        <w:tblPrEx>
          <w:tblCellMar>
            <w:top w:w="0" w:type="dxa"/>
            <w:left w:w="108" w:type="dxa"/>
            <w:bottom w:w="0" w:type="dxa"/>
            <w:right w:w="108" w:type="dxa"/>
          </w:tblCellMar>
        </w:tblPrEx>
        <w:trPr>
          <w:trHeight w:val="522" w:hRule="atLeast"/>
        </w:trPr>
        <w:tc>
          <w:tcPr>
            <w:tcW w:w="2959" w:type="dxa"/>
            <w:tcBorders>
              <w:top w:val="single" w:color="auto" w:sz="4" w:space="0"/>
              <w:left w:val="single" w:color="auto" w:sz="8" w:space="0"/>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Cs/>
                <w:kern w:val="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bidi="ar"/>
              </w:rPr>
              <w:t>投标报价</w:t>
            </w:r>
          </w:p>
        </w:tc>
        <w:tc>
          <w:tcPr>
            <w:tcW w:w="1603" w:type="dxa"/>
            <w:tcBorders>
              <w:top w:val="nil"/>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618" w:type="dxa"/>
            <w:tcBorders>
              <w:top w:val="nil"/>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400" w:type="dxa"/>
            <w:tcBorders>
              <w:top w:val="nil"/>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340" w:type="dxa"/>
            <w:tcBorders>
              <w:top w:val="nil"/>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420" w:type="dxa"/>
            <w:tcBorders>
              <w:top w:val="nil"/>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320" w:type="dxa"/>
            <w:tcBorders>
              <w:top w:val="nil"/>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420" w:type="dxa"/>
            <w:tcBorders>
              <w:top w:val="nil"/>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1440" w:type="dxa"/>
            <w:tcBorders>
              <w:top w:val="nil"/>
              <w:left w:val="nil"/>
              <w:bottom w:val="single" w:color="auto" w:sz="4" w:space="0"/>
              <w:right w:val="single" w:color="auto" w:sz="8"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r>
      <w:tr>
        <w:tblPrEx>
          <w:tblCellMar>
            <w:top w:w="0" w:type="dxa"/>
            <w:left w:w="108" w:type="dxa"/>
            <w:bottom w:w="0" w:type="dxa"/>
            <w:right w:w="108" w:type="dxa"/>
          </w:tblCellMar>
        </w:tblPrEx>
        <w:trPr>
          <w:trHeight w:val="522" w:hRule="atLeast"/>
        </w:trPr>
        <w:tc>
          <w:tcPr>
            <w:tcW w:w="2959" w:type="dxa"/>
            <w:tcBorders>
              <w:top w:val="single" w:color="auto" w:sz="4" w:space="0"/>
              <w:left w:val="single" w:color="auto" w:sz="8" w:space="0"/>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投标人的报价均值：</w:t>
            </w:r>
          </w:p>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投标企业少于5家（不含）直接取算术平均值；大于5家（含）时去掉总家数20%高价（四舍五入取整）和总家数20%低价（四舍五入取整）后的取算术平均值</w:t>
            </w:r>
          </w:p>
        </w:tc>
        <w:tc>
          <w:tcPr>
            <w:tcW w:w="11561" w:type="dxa"/>
            <w:gridSpan w:val="8"/>
            <w:tcBorders>
              <w:top w:val="single" w:color="auto" w:sz="4" w:space="0"/>
              <w:left w:val="nil"/>
              <w:bottom w:val="single" w:color="auto" w:sz="4" w:space="0"/>
              <w:right w:val="single" w:color="000000" w:sz="8"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r>
      <w:tr>
        <w:tblPrEx>
          <w:tblCellMar>
            <w:top w:w="0" w:type="dxa"/>
            <w:left w:w="108" w:type="dxa"/>
            <w:bottom w:w="0" w:type="dxa"/>
            <w:right w:w="108" w:type="dxa"/>
          </w:tblCellMar>
        </w:tblPrEx>
        <w:trPr>
          <w:trHeight w:val="1113" w:hRule="atLeast"/>
        </w:trPr>
        <w:tc>
          <w:tcPr>
            <w:tcW w:w="2959" w:type="dxa"/>
            <w:vMerge w:val="restart"/>
            <w:tcBorders>
              <w:top w:val="single" w:color="auto" w:sz="4" w:space="0"/>
              <w:left w:val="single" w:color="auto" w:sz="8" w:space="0"/>
              <w:right w:val="single" w:color="auto" w:sz="4" w:space="0"/>
            </w:tcBorders>
            <w:shd w:val="clear" w:color="auto" w:fill="auto"/>
            <w:noWrap/>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基准价计算取值范围：</w:t>
            </w:r>
          </w:p>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房屋建筑工程（不包含单独招标的安装工程和装饰装修工程）的报价取值范围为报价均值的93％至103％(含)；其它工程投标报价取值范围为报价均值的90％至105％（含）</w:t>
            </w:r>
          </w:p>
        </w:tc>
        <w:tc>
          <w:tcPr>
            <w:tcW w:w="3221" w:type="dxa"/>
            <w:gridSpan w:val="2"/>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上限百分比</w:t>
            </w:r>
          </w:p>
        </w:tc>
        <w:tc>
          <w:tcPr>
            <w:tcW w:w="274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274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下限百分比</w:t>
            </w:r>
          </w:p>
        </w:tc>
        <w:tc>
          <w:tcPr>
            <w:tcW w:w="2860" w:type="dxa"/>
            <w:gridSpan w:val="2"/>
            <w:tcBorders>
              <w:top w:val="single" w:color="auto" w:sz="4" w:space="0"/>
              <w:left w:val="single" w:color="auto" w:sz="4" w:space="0"/>
              <w:bottom w:val="single" w:color="auto" w:sz="4" w:space="0"/>
              <w:right w:val="single" w:color="000000" w:sz="8"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r>
      <w:tr>
        <w:tblPrEx>
          <w:tblCellMar>
            <w:top w:w="0" w:type="dxa"/>
            <w:left w:w="108" w:type="dxa"/>
            <w:bottom w:w="0" w:type="dxa"/>
            <w:right w:w="108" w:type="dxa"/>
          </w:tblCellMar>
        </w:tblPrEx>
        <w:trPr>
          <w:trHeight w:val="1151" w:hRule="atLeast"/>
        </w:trPr>
        <w:tc>
          <w:tcPr>
            <w:tcW w:w="2959" w:type="dxa"/>
            <w:vMerge w:val="continue"/>
            <w:tcBorders>
              <w:left w:val="single" w:color="auto" w:sz="8" w:space="0"/>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lang w:val="en-US" w:eastAsia="zh-CN"/>
              </w:rPr>
            </w:pPr>
          </w:p>
        </w:tc>
        <w:tc>
          <w:tcPr>
            <w:tcW w:w="3221" w:type="dxa"/>
            <w:gridSpan w:val="2"/>
            <w:tcBorders>
              <w:top w:val="single" w:color="auto" w:sz="4" w:space="0"/>
              <w:left w:val="nil"/>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投标报价上限取值=投标人的报价均值×上限百分比</w:t>
            </w:r>
          </w:p>
        </w:tc>
        <w:tc>
          <w:tcPr>
            <w:tcW w:w="274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c>
          <w:tcPr>
            <w:tcW w:w="274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投标报价下限取值=投标人的报价均值×下限百分比</w:t>
            </w:r>
          </w:p>
        </w:tc>
        <w:tc>
          <w:tcPr>
            <w:tcW w:w="2860" w:type="dxa"/>
            <w:gridSpan w:val="2"/>
            <w:tcBorders>
              <w:top w:val="single" w:color="auto" w:sz="4" w:space="0"/>
              <w:left w:val="single" w:color="auto" w:sz="4" w:space="0"/>
              <w:bottom w:val="single" w:color="auto" w:sz="4" w:space="0"/>
              <w:right w:val="single" w:color="000000" w:sz="8"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p>
        </w:tc>
      </w:tr>
      <w:tr>
        <w:tblPrEx>
          <w:tblCellMar>
            <w:top w:w="0" w:type="dxa"/>
            <w:left w:w="108" w:type="dxa"/>
            <w:bottom w:w="0" w:type="dxa"/>
            <w:right w:w="108" w:type="dxa"/>
          </w:tblCellMar>
        </w:tblPrEx>
        <w:trPr>
          <w:trHeight w:val="749" w:hRule="atLeast"/>
        </w:trPr>
        <w:tc>
          <w:tcPr>
            <w:tcW w:w="2959" w:type="dxa"/>
            <w:tcBorders>
              <w:top w:val="single" w:color="auto" w:sz="4" w:space="0"/>
              <w:left w:val="single" w:color="auto" w:sz="8" w:space="0"/>
              <w:bottom w:val="single" w:color="auto" w:sz="4" w:space="0"/>
              <w:right w:val="single" w:color="000000" w:sz="4" w:space="0"/>
            </w:tcBorders>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bidi="ar"/>
              </w:rPr>
              <w:t>是否超出报价取值范围</w:t>
            </w:r>
          </w:p>
        </w:tc>
        <w:tc>
          <w:tcPr>
            <w:tcW w:w="1603" w:type="dxa"/>
            <w:tcBorders>
              <w:top w:val="nil"/>
              <w:left w:val="nil"/>
              <w:bottom w:val="single" w:color="auto" w:sz="4" w:space="0"/>
              <w:right w:val="single" w:color="auto" w:sz="4" w:space="0"/>
            </w:tcBorders>
            <w:shd w:val="clear" w:color="auto" w:fill="auto"/>
            <w:noWrap/>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rPr>
              <w:t>　</w:t>
            </w:r>
          </w:p>
        </w:tc>
        <w:tc>
          <w:tcPr>
            <w:tcW w:w="1618" w:type="dxa"/>
            <w:tcBorders>
              <w:top w:val="nil"/>
              <w:left w:val="nil"/>
              <w:bottom w:val="single" w:color="auto" w:sz="4" w:space="0"/>
              <w:right w:val="single" w:color="auto" w:sz="4" w:space="0"/>
            </w:tcBorders>
            <w:shd w:val="clear" w:color="auto" w:fill="auto"/>
            <w:noWrap/>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rPr>
              <w:t>　</w:t>
            </w:r>
          </w:p>
        </w:tc>
        <w:tc>
          <w:tcPr>
            <w:tcW w:w="1400" w:type="dxa"/>
            <w:tcBorders>
              <w:top w:val="nil"/>
              <w:left w:val="nil"/>
              <w:bottom w:val="single" w:color="auto" w:sz="4" w:space="0"/>
              <w:right w:val="single" w:color="auto" w:sz="4" w:space="0"/>
            </w:tcBorders>
            <w:shd w:val="clear" w:color="auto" w:fill="auto"/>
            <w:noWrap/>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rPr>
              <w:t>　</w:t>
            </w:r>
          </w:p>
        </w:tc>
        <w:tc>
          <w:tcPr>
            <w:tcW w:w="1340" w:type="dxa"/>
            <w:tcBorders>
              <w:top w:val="nil"/>
              <w:left w:val="nil"/>
              <w:bottom w:val="single" w:color="auto" w:sz="4" w:space="0"/>
              <w:right w:val="single" w:color="auto" w:sz="4" w:space="0"/>
            </w:tcBorders>
            <w:shd w:val="clear" w:color="auto" w:fill="auto"/>
            <w:noWrap/>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rPr>
              <w:t>　</w:t>
            </w:r>
          </w:p>
        </w:tc>
        <w:tc>
          <w:tcPr>
            <w:tcW w:w="1420" w:type="dxa"/>
            <w:tcBorders>
              <w:top w:val="nil"/>
              <w:left w:val="nil"/>
              <w:bottom w:val="single" w:color="auto" w:sz="4" w:space="0"/>
              <w:right w:val="single" w:color="auto" w:sz="4" w:space="0"/>
            </w:tcBorders>
            <w:shd w:val="clear" w:color="auto" w:fill="auto"/>
            <w:noWrap/>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rPr>
              <w:t>　</w:t>
            </w:r>
          </w:p>
        </w:tc>
        <w:tc>
          <w:tcPr>
            <w:tcW w:w="1320" w:type="dxa"/>
            <w:tcBorders>
              <w:top w:val="nil"/>
              <w:left w:val="nil"/>
              <w:bottom w:val="single" w:color="auto" w:sz="4" w:space="0"/>
              <w:right w:val="single" w:color="auto" w:sz="4" w:space="0"/>
            </w:tcBorders>
            <w:shd w:val="clear" w:color="auto" w:fill="auto"/>
            <w:noWrap/>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rPr>
              <w:t>　</w:t>
            </w:r>
          </w:p>
        </w:tc>
        <w:tc>
          <w:tcPr>
            <w:tcW w:w="1420" w:type="dxa"/>
            <w:tcBorders>
              <w:top w:val="nil"/>
              <w:left w:val="nil"/>
              <w:bottom w:val="single" w:color="auto" w:sz="4" w:space="0"/>
              <w:right w:val="single" w:color="auto" w:sz="4" w:space="0"/>
            </w:tcBorders>
            <w:shd w:val="clear" w:color="auto" w:fill="auto"/>
            <w:noWrap/>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rPr>
              <w:t>　</w:t>
            </w:r>
          </w:p>
        </w:tc>
        <w:tc>
          <w:tcPr>
            <w:tcW w:w="1440" w:type="dxa"/>
            <w:tcBorders>
              <w:top w:val="nil"/>
              <w:left w:val="nil"/>
              <w:bottom w:val="single" w:color="auto" w:sz="4" w:space="0"/>
              <w:right w:val="single" w:color="auto" w:sz="8" w:space="0"/>
            </w:tcBorders>
            <w:shd w:val="clear" w:color="auto" w:fill="auto"/>
            <w:noWrap/>
            <w:vAlign w:val="bottom"/>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kern w:val="0"/>
                <w:sz w:val="28"/>
                <w:szCs w:val="28"/>
                <w:highlight w:val="none"/>
              </w:rPr>
            </w:pPr>
            <w:r>
              <w:rPr>
                <w:rFonts w:hint="eastAsia" w:ascii="方正仿宋_GB2312" w:hAnsi="方正仿宋_GB2312" w:eastAsia="方正仿宋_GB2312" w:cs="方正仿宋_GB2312"/>
                <w:kern w:val="0"/>
                <w:sz w:val="28"/>
                <w:szCs w:val="28"/>
                <w:highlight w:val="none"/>
              </w:rPr>
              <w:t>　</w:t>
            </w:r>
          </w:p>
        </w:tc>
      </w:tr>
    </w:tbl>
    <w:p>
      <w:pPr>
        <w:pageBreakBefore w:val="0"/>
        <w:kinsoku/>
        <w:bidi w:val="0"/>
        <w:ind w:firstLine="0" w:firstLine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lang w:eastAsia="zh-CN"/>
        </w:rPr>
      </w:pPr>
      <w:r>
        <w:rPr>
          <w:rFonts w:hint="eastAsia" w:ascii="方正仿宋_GB2312" w:hAnsi="方正仿宋_GB2312" w:eastAsia="方正仿宋_GB2312" w:cs="方正仿宋_GB2312"/>
          <w:b/>
          <w:bCs/>
          <w:sz w:val="32"/>
          <w:szCs w:val="32"/>
          <w:highlight w:val="none"/>
        </w:rPr>
        <w:t>附表2-</w:t>
      </w:r>
      <w:r>
        <w:rPr>
          <w:rFonts w:hint="eastAsia" w:ascii="方正仿宋_GB2312" w:hAnsi="方正仿宋_GB2312" w:eastAsia="方正仿宋_GB2312" w:cs="方正仿宋_GB2312"/>
          <w:b/>
          <w:bCs/>
          <w:sz w:val="32"/>
          <w:szCs w:val="32"/>
          <w:highlight w:val="none"/>
          <w:lang w:val="en-US" w:eastAsia="zh-CN"/>
        </w:rPr>
        <w:t>2</w:t>
      </w:r>
    </w:p>
    <w:tbl>
      <w:tblPr>
        <w:tblStyle w:val="43"/>
        <w:tblW w:w="13760" w:type="dxa"/>
        <w:tblInd w:w="0" w:type="dxa"/>
        <w:tblLayout w:type="fixed"/>
        <w:tblCellMar>
          <w:top w:w="0" w:type="dxa"/>
          <w:left w:w="0" w:type="dxa"/>
          <w:bottom w:w="0" w:type="dxa"/>
          <w:right w:w="0" w:type="dxa"/>
        </w:tblCellMar>
      </w:tblPr>
      <w:tblGrid>
        <w:gridCol w:w="4640"/>
        <w:gridCol w:w="3003"/>
        <w:gridCol w:w="1789"/>
        <w:gridCol w:w="2931"/>
        <w:gridCol w:w="1397"/>
      </w:tblGrid>
      <w:tr>
        <w:tblPrEx>
          <w:tblCellMar>
            <w:top w:w="0" w:type="dxa"/>
            <w:left w:w="0" w:type="dxa"/>
            <w:bottom w:w="0" w:type="dxa"/>
            <w:right w:w="0" w:type="dxa"/>
          </w:tblCellMar>
        </w:tblPrEx>
        <w:trPr>
          <w:trHeight w:val="90" w:hRule="atLeast"/>
        </w:trPr>
        <w:tc>
          <w:tcPr>
            <w:tcW w:w="13760" w:type="dxa"/>
            <w:gridSpan w:val="5"/>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经评审的最低投标价法－经济标基准价计算表</w:t>
            </w:r>
          </w:p>
        </w:tc>
      </w:tr>
      <w:tr>
        <w:tblPrEx>
          <w:tblCellMar>
            <w:top w:w="0" w:type="dxa"/>
            <w:left w:w="0" w:type="dxa"/>
            <w:bottom w:w="0" w:type="dxa"/>
            <w:right w:w="0" w:type="dxa"/>
          </w:tblCellMar>
        </w:tblPrEx>
        <w:trPr>
          <w:trHeight w:val="90" w:hRule="atLeast"/>
        </w:trPr>
        <w:tc>
          <w:tcPr>
            <w:tcW w:w="4640" w:type="dxa"/>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b w:val="0"/>
                <w:bCs/>
                <w:color w:val="000000"/>
                <w:sz w:val="28"/>
                <w:szCs w:val="28"/>
                <w:highlight w:val="none"/>
              </w:rPr>
            </w:pPr>
            <w:r>
              <w:rPr>
                <w:rFonts w:hint="eastAsia" w:ascii="方正仿宋_GB2312" w:hAnsi="方正仿宋_GB2312" w:eastAsia="方正仿宋_GB2312" w:cs="方正仿宋_GB2312"/>
                <w:b/>
                <w:bCs/>
                <w:color w:val="000000"/>
                <w:kern w:val="0"/>
                <w:sz w:val="28"/>
                <w:szCs w:val="28"/>
                <w:highlight w:val="none"/>
                <w:lang w:bidi="ar"/>
              </w:rPr>
              <w:t>项目名称：</w:t>
            </w:r>
          </w:p>
        </w:tc>
        <w:tc>
          <w:tcPr>
            <w:tcW w:w="3003"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b w:val="0"/>
                <w:bCs/>
                <w:color w:val="000000"/>
                <w:sz w:val="28"/>
                <w:szCs w:val="28"/>
                <w:highlight w:val="none"/>
                <w:lang w:val="en-US" w:eastAsia="zh-CN"/>
              </w:rPr>
            </w:pPr>
          </w:p>
        </w:tc>
        <w:tc>
          <w:tcPr>
            <w:tcW w:w="6117" w:type="dxa"/>
            <w:gridSpan w:val="3"/>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b w:val="0"/>
                <w:bCs/>
                <w:color w:val="000000"/>
                <w:sz w:val="28"/>
                <w:szCs w:val="28"/>
                <w:highlight w:val="none"/>
              </w:rPr>
            </w:pPr>
          </w:p>
        </w:tc>
      </w:tr>
      <w:tr>
        <w:tblPrEx>
          <w:tblCellMar>
            <w:top w:w="0" w:type="dxa"/>
            <w:left w:w="0" w:type="dxa"/>
            <w:bottom w:w="0" w:type="dxa"/>
            <w:right w:w="0" w:type="dxa"/>
          </w:tblCellMar>
        </w:tblPrEx>
        <w:trPr>
          <w:trHeight w:val="90" w:hRule="atLeast"/>
        </w:trPr>
        <w:tc>
          <w:tcPr>
            <w:tcW w:w="1376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招标控制价部分</w:t>
            </w:r>
          </w:p>
        </w:tc>
      </w:tr>
      <w:tr>
        <w:tblPrEx>
          <w:tblCellMar>
            <w:top w:w="0" w:type="dxa"/>
            <w:left w:w="0" w:type="dxa"/>
            <w:bottom w:w="0" w:type="dxa"/>
            <w:right w:w="0" w:type="dxa"/>
          </w:tblCellMar>
        </w:tblPrEx>
        <w:trPr>
          <w:trHeight w:val="90"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招标控制价</w:t>
            </w:r>
          </w:p>
        </w:tc>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CellMar>
            <w:top w:w="0" w:type="dxa"/>
            <w:left w:w="0" w:type="dxa"/>
            <w:bottom w:w="0" w:type="dxa"/>
            <w:right w:w="0" w:type="dxa"/>
          </w:tblCellMar>
        </w:tblPrEx>
        <w:trPr>
          <w:trHeight w:val="90" w:hRule="atLeast"/>
        </w:trPr>
        <w:tc>
          <w:tcPr>
            <w:tcW w:w="464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其中：</w:t>
            </w:r>
          </w:p>
        </w:tc>
        <w:tc>
          <w:tcPr>
            <w:tcW w:w="3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暂列金</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2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专业工程暂估价</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CellMar>
            <w:top w:w="0" w:type="dxa"/>
            <w:left w:w="0" w:type="dxa"/>
            <w:bottom w:w="0" w:type="dxa"/>
            <w:right w:w="0" w:type="dxa"/>
          </w:tblCellMar>
        </w:tblPrEx>
        <w:trPr>
          <w:trHeight w:val="90" w:hRule="atLeast"/>
        </w:trPr>
        <w:tc>
          <w:tcPr>
            <w:tcW w:w="464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3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规费</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2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税金</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CellMar>
            <w:top w:w="0" w:type="dxa"/>
            <w:left w:w="0" w:type="dxa"/>
            <w:bottom w:w="0" w:type="dxa"/>
            <w:right w:w="0" w:type="dxa"/>
          </w:tblCellMar>
        </w:tblPrEx>
        <w:trPr>
          <w:trHeight w:val="90" w:hRule="atLeast"/>
        </w:trPr>
        <w:tc>
          <w:tcPr>
            <w:tcW w:w="464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3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2"/>
              <w:pageBreakBefore w:val="0"/>
              <w:kinsoku/>
              <w:bidi w:val="0"/>
              <w:spacing w:line="440" w:lineRule="exact"/>
              <w:ind w:left="0"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环境保护费、文明施工费、安全施工费</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2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2"/>
              <w:pageBreakBefore w:val="0"/>
              <w:kinsoku/>
              <w:bidi w:val="0"/>
              <w:spacing w:line="440" w:lineRule="exact"/>
              <w:ind w:left="0"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智慧工地基础配置费用</w:t>
            </w: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CellMar>
            <w:top w:w="0" w:type="dxa"/>
            <w:left w:w="0" w:type="dxa"/>
            <w:bottom w:w="0" w:type="dxa"/>
            <w:right w:w="0" w:type="dxa"/>
          </w:tblCellMar>
        </w:tblPrEx>
        <w:trPr>
          <w:trHeight w:val="90" w:hRule="atLeast"/>
        </w:trPr>
        <w:tc>
          <w:tcPr>
            <w:tcW w:w="464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30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29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2"/>
              <w:pageBreakBefore w:val="0"/>
              <w:kinsoku/>
              <w:bidi w:val="0"/>
              <w:spacing w:line="440" w:lineRule="exact"/>
              <w:ind w:left="0"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3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CellMar>
            <w:top w:w="0" w:type="dxa"/>
            <w:left w:w="0" w:type="dxa"/>
            <w:bottom w:w="0" w:type="dxa"/>
            <w:right w:w="0" w:type="dxa"/>
          </w:tblCellMar>
        </w:tblPrEx>
        <w:trPr>
          <w:trHeight w:val="90"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控制价可竞争部分的下浮率K</w:t>
            </w:r>
          </w:p>
        </w:tc>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CellMar>
            <w:top w:w="0" w:type="dxa"/>
            <w:left w:w="0" w:type="dxa"/>
            <w:bottom w:w="0" w:type="dxa"/>
            <w:right w:w="0" w:type="dxa"/>
          </w:tblCellMar>
        </w:tblPrEx>
        <w:trPr>
          <w:trHeight w:val="90"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评标基准价中控制价权重K1</w:t>
            </w:r>
          </w:p>
        </w:tc>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CellMar>
            <w:top w:w="0" w:type="dxa"/>
            <w:left w:w="0" w:type="dxa"/>
            <w:bottom w:w="0" w:type="dxa"/>
            <w:right w:w="0" w:type="dxa"/>
          </w:tblCellMar>
        </w:tblPrEx>
        <w:trPr>
          <w:trHeight w:val="90"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招标控制价部分</w:t>
            </w:r>
          </w:p>
        </w:tc>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1376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投标报价部分</w:t>
            </w:r>
          </w:p>
        </w:tc>
      </w:tr>
      <w:tr>
        <w:tblPrEx>
          <w:tblCellMar>
            <w:top w:w="0" w:type="dxa"/>
            <w:left w:w="0" w:type="dxa"/>
            <w:bottom w:w="0" w:type="dxa"/>
            <w:right w:w="0" w:type="dxa"/>
          </w:tblCellMar>
        </w:tblPrEx>
        <w:trPr>
          <w:trHeight w:val="90"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投标报价有效范围内报价算数平均值</w:t>
            </w:r>
          </w:p>
        </w:tc>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随机下浮率K2</w:t>
            </w:r>
          </w:p>
        </w:tc>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4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投标报价部分</w:t>
            </w:r>
          </w:p>
        </w:tc>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90" w:hRule="atLeast"/>
        </w:trPr>
        <w:tc>
          <w:tcPr>
            <w:tcW w:w="1376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评标基准价计算</w:t>
            </w:r>
          </w:p>
        </w:tc>
      </w:tr>
      <w:tr>
        <w:tblPrEx>
          <w:tblCellMar>
            <w:top w:w="0" w:type="dxa"/>
            <w:left w:w="0" w:type="dxa"/>
            <w:bottom w:w="0" w:type="dxa"/>
            <w:right w:w="0" w:type="dxa"/>
          </w:tblCellMar>
        </w:tblPrEx>
        <w:trPr>
          <w:trHeight w:val="90" w:hRule="atLeast"/>
        </w:trPr>
        <w:tc>
          <w:tcPr>
            <w:tcW w:w="464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评标基准价</w:t>
            </w:r>
          </w:p>
        </w:tc>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ind w:firstLine="0" w:firstLine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附表2-</w:t>
      </w:r>
      <w:r>
        <w:rPr>
          <w:rFonts w:hint="eastAsia" w:ascii="方正仿宋_GB2312" w:hAnsi="方正仿宋_GB2312" w:eastAsia="方正仿宋_GB2312" w:cs="方正仿宋_GB2312"/>
          <w:b/>
          <w:bCs/>
          <w:sz w:val="32"/>
          <w:szCs w:val="32"/>
          <w:highlight w:val="none"/>
          <w:lang w:val="en-US" w:eastAsia="zh-CN"/>
        </w:rPr>
        <w:t>3</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val="0"/>
          <w:sz w:val="32"/>
          <w:szCs w:val="32"/>
          <w:highlight w:val="none"/>
        </w:rPr>
        <w:t>推荐的中标候选人及排序表</w:t>
      </w:r>
    </w:p>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b/>
          <w:bCs/>
          <w:color w:val="000000"/>
          <w:kern w:val="0"/>
          <w:sz w:val="32"/>
          <w:szCs w:val="32"/>
          <w:highlight w:val="none"/>
          <w:lang w:bidi="ar"/>
        </w:rPr>
      </w:pPr>
      <w:r>
        <w:rPr>
          <w:rFonts w:hint="eastAsia" w:ascii="方正仿宋_GB2312" w:hAnsi="方正仿宋_GB2312" w:eastAsia="方正仿宋_GB2312" w:cs="方正仿宋_GB2312"/>
          <w:b/>
          <w:bCs/>
          <w:color w:val="000000"/>
          <w:kern w:val="0"/>
          <w:sz w:val="32"/>
          <w:szCs w:val="32"/>
          <w:highlight w:val="none"/>
          <w:lang w:val="en-US" w:eastAsia="zh-CN" w:bidi="ar"/>
        </w:rPr>
        <w:t>项目</w:t>
      </w:r>
      <w:r>
        <w:rPr>
          <w:rFonts w:hint="eastAsia" w:ascii="方正仿宋_GB2312" w:hAnsi="方正仿宋_GB2312" w:eastAsia="方正仿宋_GB2312" w:cs="方正仿宋_GB2312"/>
          <w:b/>
          <w:bCs/>
          <w:color w:val="000000"/>
          <w:kern w:val="0"/>
          <w:sz w:val="32"/>
          <w:szCs w:val="32"/>
          <w:highlight w:val="none"/>
          <w:lang w:bidi="ar"/>
        </w:rPr>
        <w:t>名称：</w:t>
      </w:r>
    </w:p>
    <w:tbl>
      <w:tblPr>
        <w:tblStyle w:val="43"/>
        <w:tblW w:w="13983"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340"/>
        <w:gridCol w:w="1539"/>
        <w:gridCol w:w="1535"/>
        <w:gridCol w:w="1488"/>
        <w:gridCol w:w="1489"/>
        <w:gridCol w:w="1465"/>
        <w:gridCol w:w="1546"/>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5" w:hRule="atLeast"/>
        </w:trPr>
        <w:tc>
          <w:tcPr>
            <w:tcW w:w="3340" w:type="dxa"/>
            <w:tcBorders>
              <w:tl2br w:val="single" w:color="auto" w:sz="4" w:space="0"/>
            </w:tcBorders>
            <w:shd w:val="clear" w:color="auto" w:fill="auto"/>
            <w:noWrap w:val="0"/>
            <w:vAlign w:val="bottom"/>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 xml:space="preserve">           投标单位</w:t>
            </w:r>
            <w:r>
              <w:rPr>
                <w:rFonts w:hint="eastAsia" w:ascii="方正仿宋_GB2312" w:hAnsi="方正仿宋_GB2312" w:eastAsia="方正仿宋_GB2312" w:cs="方正仿宋_GB2312"/>
                <w:color w:val="000000"/>
                <w:kern w:val="0"/>
                <w:sz w:val="28"/>
                <w:szCs w:val="28"/>
                <w:highlight w:val="none"/>
                <w:lang w:val="en-US" w:eastAsia="zh-CN" w:bidi="ar"/>
              </w:rPr>
              <w:br w:type="textWrapping"/>
            </w:r>
            <w:r>
              <w:rPr>
                <w:rFonts w:hint="eastAsia" w:ascii="方正仿宋_GB2312" w:hAnsi="方正仿宋_GB2312" w:eastAsia="方正仿宋_GB2312" w:cs="方正仿宋_GB2312"/>
                <w:color w:val="000000"/>
                <w:kern w:val="0"/>
                <w:sz w:val="28"/>
                <w:szCs w:val="28"/>
                <w:highlight w:val="none"/>
                <w:lang w:val="en-US" w:eastAsia="zh-CN" w:bidi="ar"/>
              </w:rPr>
              <w:t xml:space="preserve"> 内容</w:t>
            </w:r>
          </w:p>
        </w:tc>
        <w:tc>
          <w:tcPr>
            <w:tcW w:w="153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投标人1</w:t>
            </w:r>
          </w:p>
        </w:tc>
        <w:tc>
          <w:tcPr>
            <w:tcW w:w="1535"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投标人2</w:t>
            </w:r>
          </w:p>
        </w:tc>
        <w:tc>
          <w:tcPr>
            <w:tcW w:w="1488"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w:t>
            </w:r>
          </w:p>
        </w:tc>
        <w:tc>
          <w:tcPr>
            <w:tcW w:w="148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65"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46"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81"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340"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投标报价</w:t>
            </w:r>
          </w:p>
        </w:tc>
        <w:tc>
          <w:tcPr>
            <w:tcW w:w="153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35"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88"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8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65"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46"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81"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3340"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评标基准价</w:t>
            </w:r>
          </w:p>
        </w:tc>
        <w:tc>
          <w:tcPr>
            <w:tcW w:w="10643" w:type="dxa"/>
            <w:gridSpan w:val="7"/>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3340"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是否高于评标基准价</w:t>
            </w:r>
          </w:p>
        </w:tc>
        <w:tc>
          <w:tcPr>
            <w:tcW w:w="153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35"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88"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8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65"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46"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81"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3340"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排名</w:t>
            </w:r>
          </w:p>
        </w:tc>
        <w:tc>
          <w:tcPr>
            <w:tcW w:w="153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35"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88"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8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465"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46"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81"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3340" w:type="dxa"/>
            <w:vMerge w:val="restart"/>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推荐的中标候选人及排序</w:t>
            </w:r>
          </w:p>
        </w:tc>
        <w:tc>
          <w:tcPr>
            <w:tcW w:w="153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第一名</w:t>
            </w:r>
          </w:p>
        </w:tc>
        <w:tc>
          <w:tcPr>
            <w:tcW w:w="9104" w:type="dxa"/>
            <w:gridSpan w:val="6"/>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3340" w:type="dxa"/>
            <w:vMerge w:val="continue"/>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3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第二名</w:t>
            </w:r>
          </w:p>
        </w:tc>
        <w:tc>
          <w:tcPr>
            <w:tcW w:w="9104" w:type="dxa"/>
            <w:gridSpan w:val="6"/>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3340" w:type="dxa"/>
            <w:vMerge w:val="continue"/>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c>
          <w:tcPr>
            <w:tcW w:w="1539" w:type="dxa"/>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第三名</w:t>
            </w:r>
          </w:p>
        </w:tc>
        <w:tc>
          <w:tcPr>
            <w:tcW w:w="9104" w:type="dxa"/>
            <w:gridSpan w:val="6"/>
            <w:shd w:val="clear" w:color="auto" w:fill="auto"/>
            <w:noWrap/>
            <w:vAlign w:val="center"/>
          </w:tcPr>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widowControl/>
        <w:kinsoku/>
        <w:bidi w:val="0"/>
        <w:spacing w:line="440" w:lineRule="exact"/>
        <w:ind w:firstLine="0" w:firstLineChars="0"/>
        <w:jc w:val="left"/>
        <w:outlineLvl w:val="1"/>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bookmarkStart w:id="491" w:name="_Toc19827"/>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三、</w:t>
      </w: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定性评审法</w:t>
      </w:r>
      <w:bookmarkEnd w:id="491"/>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492" w:name="_Toc5147"/>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一</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重大偏差评审</w:t>
      </w:r>
      <w:bookmarkEnd w:id="492"/>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按照办法第</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二十</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条及</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本办法重大偏差评审标准（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1-3）</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规定，对投标文件进行评审，对不符合相关规定和要求的投标文件予以否决。</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通过重大偏差评审的投标人为有效投标人。</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bookmarkStart w:id="493" w:name="_Toc30943"/>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（二）报价修正</w:t>
      </w:r>
      <w:bookmarkEnd w:id="493"/>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评标委员会对清标中发现投标报价存在算术性错误的，应按以下原则对投标报价进行修正：</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一是</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当综合单价与工程量（或计算基础金额与费率）的乘积与合价不一致时，以综合单价（或费率）为准修正合价及总价；</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二是</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当各单项金额相加与其合计金额不一致时，以各单项金额为准修正相应合计金额及总价。</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评标委员会修正后的价格经投标人书面确认后具有约束力</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计算价格切线以修正后的报价为准（以后所称投标报价均为修正后的报价）</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。投标人不接受修正价格或修正后价格高于招标控制价的，评标委员会应否决其投标。</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bookmarkStart w:id="494" w:name="_Toc14924"/>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（三）报价合理性评审</w:t>
      </w:r>
      <w:bookmarkEnd w:id="494"/>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投标人报价低于合理基准价的，其投标报价不参与评标基准价计算。</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1、计算合理基准价（附表3-1）</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合理基准价={招标控制价部分×K1+投标报价部分×（1-K1）}×K2</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K1为合理基准价中招标控制价权重，由招标人在经济标计分评审前，随机抽取确定。K1取值范围0%～50%，以10%为间隔。</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（1）招标控制价部分=（招标控制价-招标控制价中的不可竞争费用）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（1-K）+招标控制价中的不可竞争费用</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招标控制价中的不可竞争费用为：暂列金额、专业工程暂估价、规费、税金、环境保护费、文明施工费、安全施工费、智慧工地基础配置费用等。</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K为合理基准价中招标控制价可竞争部分的下浮率，由招标人在经济标计分评审前，随机抽取确定。</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K值取值建议：房屋建筑工程0%～5%;单独招标的安装工程和装饰装修工程0%～8%;市政和园林绿化工程0%～10%。以上均以1%为间隔。</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（2）投标报价部分=有效投标人少于5家（不含）直接取算术平均值；大于5家（含）时去掉总家数20%高价（四舍五入取整）和总家数20%低价（四舍五入取整）后的取算术平均值。</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（3）K2的取值</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①建筑工程K2为0.9；</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②市政公用工程（轨道交通工程除外）K2为0.85；</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③轨道交通工程K2为0.88；</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④单独招标的装饰装修工程K2为0.92；</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⑤单独招标的园林景观绿化工程、仿古建筑工程K2为0.88；</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⑥单独招标的安装工程K2为0.9。</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bookmarkStart w:id="495" w:name="_Toc15175"/>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（四）计算价格切线（附表3-2）</w:t>
      </w:r>
      <w:bookmarkEnd w:id="495"/>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招标控制价部分=（招标控制价-招标控制价中的不可竞争费用）</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（1-K）+招标控制价中的不可竞争费用</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招标控制价中的不可竞争费用为：暂列金额、专业工程暂估价、规费、税金、环境保护费、文明施工费、安全施工费、智慧工地基础配置费用等。</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2、投标报价部分</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经报价合理性评审，高于合理基准价相应标准剩余的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有效投标人少于5家（不含）直接取算术平均值；大于5家（含）时去掉总家数20%高价（四舍五入取整）和总家数20%低价（四舍五入取整）后的取算术平均值。</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3、价格切线=招标控制价部分×K1+投标报价部分×（1-K1）×（1-K2）。</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K为价格切线中控制价可竞争部分的下浮率，由招标人在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计算价格切线</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前，随机抽取确定。</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K值取值建议：房屋建筑工程0%～5%;单独招标的安装工程和装饰装修工程0%～8%;市政和园林绿化工程0%～10%</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以上均以1%为间隔。</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K1为价格切线中</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招标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控制价权重，由招标人在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计算价格切线</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前，随机抽取确定。K1取值范围0%～</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14:textFill>
            <w14:solidFill>
              <w14:schemeClr w14:val="tx1"/>
            </w14:solidFill>
          </w14:textFill>
        </w:rPr>
        <w:t>0%，以10%为间隔。</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K2为随机下浮率，由招标人在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计算价格切线</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前，随机抽取确定。K2的取值范围1%～4%，以1%为间隔。</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价格切线计算完成后成为固定值，不因之后评审情况发生变化。</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496" w:name="_Toc27459"/>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（五）确定入围投标人数量</w:t>
      </w:r>
      <w:bookmarkEnd w:id="496"/>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评标委员会对有效投标人按照其投标报价与价格切线差价绝对值由小到大依次排序，选取前X名为</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入围投标人</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（当出现投标人名次相同时，由评标委员会按投标报价由低到高进行排序）并对其投标文件进行下阶段评审。</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投标报价与价格切线的差价绝对值=|Ai-价格切线|。</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Ai 为各投标人的报价。</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X为推荐</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入围</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投标人数量，由招标人在招标文件中明确具体数值。</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497" w:name="_Toc31351"/>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六</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形式和资格</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评审</w:t>
      </w:r>
      <w:bookmarkEnd w:id="497"/>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按照本办法第十五条至第十</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六</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条及形式、资格</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评审标准（</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1-2）</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规定，对投标文件进行评审，对不符合相关规定和要求的投标文件予以否决。</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bookmarkStart w:id="498" w:name="_Toc1939"/>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（七）技术标定性评审</w:t>
      </w:r>
      <w:bookmarkEnd w:id="498"/>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经</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上阶段</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评审合格的</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入围</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投标人，由评标委员会根据招标文件确定的评审因素和评审标准</w:t>
      </w:r>
      <w:r>
        <w:rPr>
          <w:rFonts w:hint="eastAsia" w:ascii="方正仿宋_GB2312" w:hAnsi="方正仿宋_GB2312" w:eastAsia="方正仿宋_GB2312" w:cs="方正仿宋_GB2312"/>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参照技术标定性评审标准（附表3-3）</w:t>
      </w:r>
      <w:r>
        <w:rPr>
          <w:rFonts w:hint="eastAsia" w:ascii="方正仿宋_GB2312" w:hAnsi="方正仿宋_GB2312" w:eastAsia="方正仿宋_GB2312" w:cs="方正仿宋_GB2312"/>
          <w:color w:val="000000" w:themeColor="text1"/>
          <w:sz w:val="32"/>
          <w:szCs w:val="32"/>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采取定性评审的方法进行评审。</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2、技术标评审采用暗标和评委个人评审方式进行，评标委员会成员应指出每家投标人技术标的优点和存在的缺陷、签订合同前应注意和澄清的事项等情况。</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3、评委个人评审完成后，由评标委员会组长组织评标委员会成员按照技术标定性评审汇总表（附表3-4）汇总评审情况。</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outlineLvl w:val="2"/>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bookmarkStart w:id="499" w:name="_Toc10121"/>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（八）推荐定标候选</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人</w:t>
      </w:r>
      <w:bookmarkEnd w:id="499"/>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评标委员会向招标人推荐合格的定标候选人。推荐的定标候选人不排序，由招标人按照《自治区房屋建筑和市政基础设施工程建设项目招标“评定分离”操作指导规则（试行）》的要求，另行组织定标委员会进行定标程序。</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备注：</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经</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形式和资格</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评审</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后，</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若</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入围</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投标人不足X家则按名次递补，直至经评审的合格投标人不少于X家为止。</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出现全部有效投标人均进行了评审但合格投标人少于X时，如果合格投标人大于3家（含）则进入下一阶段；如果合格投标人小于3家，且评标委员会认为不具备竞争力的，招标人应当重新招标。</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bidi="ar"/>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ind w:firstLine="0" w:firstLine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sz w:val="32"/>
          <w:szCs w:val="32"/>
          <w:highlight w:val="none"/>
          <w:lang w:bidi="ar"/>
        </w:rPr>
      </w:pPr>
      <w:r>
        <w:rPr>
          <w:rFonts w:hint="eastAsia" w:ascii="方正仿宋_GB2312" w:hAnsi="方正仿宋_GB2312" w:eastAsia="方正仿宋_GB2312" w:cs="方正仿宋_GB2312"/>
          <w:b/>
          <w:bCs/>
          <w:sz w:val="32"/>
          <w:szCs w:val="32"/>
          <w:highlight w:val="none"/>
        </w:rPr>
        <w:t>附表3-1</w:t>
      </w:r>
      <w:r>
        <w:rPr>
          <w:rFonts w:hint="eastAsia" w:ascii="方正仿宋_GB2312" w:hAnsi="方正仿宋_GB2312" w:eastAsia="方正仿宋_GB2312" w:cs="方正仿宋_GB2312"/>
          <w:b/>
          <w:sz w:val="32"/>
          <w:szCs w:val="32"/>
          <w:highlight w:val="none"/>
          <w:lang w:bidi="ar"/>
        </w:rPr>
        <w:t xml:space="preserve"> </w:t>
      </w:r>
    </w:p>
    <w:tbl>
      <w:tblPr>
        <w:tblStyle w:val="43"/>
        <w:tblW w:w="9101" w:type="dxa"/>
        <w:tblInd w:w="-326" w:type="dxa"/>
        <w:tblLayout w:type="fixed"/>
        <w:tblCellMar>
          <w:top w:w="0" w:type="dxa"/>
          <w:left w:w="0" w:type="dxa"/>
          <w:bottom w:w="0" w:type="dxa"/>
          <w:right w:w="0" w:type="dxa"/>
        </w:tblCellMar>
      </w:tblPr>
      <w:tblGrid>
        <w:gridCol w:w="1398"/>
        <w:gridCol w:w="933"/>
        <w:gridCol w:w="1290"/>
        <w:gridCol w:w="1145"/>
        <w:gridCol w:w="1050"/>
        <w:gridCol w:w="117"/>
        <w:gridCol w:w="1138"/>
        <w:gridCol w:w="1014"/>
        <w:gridCol w:w="1016"/>
      </w:tblGrid>
      <w:tr>
        <w:tblPrEx>
          <w:tblCellMar>
            <w:top w:w="0" w:type="dxa"/>
            <w:left w:w="0" w:type="dxa"/>
            <w:bottom w:w="0" w:type="dxa"/>
            <w:right w:w="0" w:type="dxa"/>
          </w:tblCellMar>
        </w:tblPrEx>
        <w:trPr>
          <w:trHeight w:val="780" w:hRule="atLeast"/>
        </w:trPr>
        <w:tc>
          <w:tcPr>
            <w:tcW w:w="9101" w:type="dxa"/>
            <w:gridSpan w:val="9"/>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eastAsia="zh-CN" w:bidi="ar"/>
              </w:rPr>
              <w:t>定性评审</w:t>
            </w:r>
            <w:r>
              <w:rPr>
                <w:rFonts w:hint="eastAsia" w:ascii="方正仿宋_GB2312" w:hAnsi="方正仿宋_GB2312" w:eastAsia="方正仿宋_GB2312" w:cs="方正仿宋_GB2312"/>
                <w:b/>
                <w:color w:val="000000"/>
                <w:kern w:val="0"/>
                <w:sz w:val="28"/>
                <w:szCs w:val="28"/>
                <w:highlight w:val="none"/>
                <w:lang w:bidi="ar"/>
              </w:rPr>
              <w:t>法</w:t>
            </w:r>
            <w:r>
              <w:rPr>
                <w:rFonts w:hint="eastAsia" w:ascii="方正仿宋_GB2312" w:hAnsi="方正仿宋_GB2312" w:eastAsia="方正仿宋_GB2312" w:cs="方正仿宋_GB2312"/>
                <w:b/>
                <w:color w:val="000000"/>
                <w:kern w:val="0"/>
                <w:sz w:val="28"/>
                <w:szCs w:val="28"/>
                <w:highlight w:val="none"/>
                <w:lang w:eastAsia="zh-CN" w:bidi="ar"/>
              </w:rPr>
              <w:t>—</w:t>
            </w:r>
            <w:r>
              <w:rPr>
                <w:rFonts w:hint="eastAsia" w:ascii="方正仿宋_GB2312" w:hAnsi="方正仿宋_GB2312" w:eastAsia="方正仿宋_GB2312" w:cs="方正仿宋_GB2312"/>
                <w:b/>
                <w:color w:val="000000"/>
                <w:kern w:val="0"/>
                <w:sz w:val="28"/>
                <w:szCs w:val="28"/>
                <w:highlight w:val="none"/>
                <w:lang w:val="en-US" w:eastAsia="zh-CN" w:bidi="ar"/>
              </w:rPr>
              <w:t>合理</w:t>
            </w:r>
            <w:r>
              <w:rPr>
                <w:rFonts w:hint="eastAsia" w:ascii="方正仿宋_GB2312" w:hAnsi="方正仿宋_GB2312" w:eastAsia="方正仿宋_GB2312" w:cs="方正仿宋_GB2312"/>
                <w:b/>
                <w:color w:val="000000"/>
                <w:kern w:val="0"/>
                <w:sz w:val="28"/>
                <w:szCs w:val="28"/>
                <w:highlight w:val="none"/>
                <w:lang w:bidi="ar"/>
              </w:rPr>
              <w:t>基准价计算表</w:t>
            </w:r>
          </w:p>
        </w:tc>
      </w:tr>
      <w:tr>
        <w:tblPrEx>
          <w:tblCellMar>
            <w:top w:w="0" w:type="dxa"/>
            <w:left w:w="0" w:type="dxa"/>
            <w:bottom w:w="0" w:type="dxa"/>
            <w:right w:w="0" w:type="dxa"/>
          </w:tblCellMar>
        </w:tblPrEx>
        <w:trPr>
          <w:trHeight w:val="270" w:hRule="atLeast"/>
        </w:trPr>
        <w:tc>
          <w:tcPr>
            <w:tcW w:w="9101" w:type="dxa"/>
            <w:gridSpan w:val="9"/>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r>
      <w:tr>
        <w:tblPrEx>
          <w:tblCellMar>
            <w:top w:w="0" w:type="dxa"/>
            <w:left w:w="0" w:type="dxa"/>
            <w:bottom w:w="0" w:type="dxa"/>
            <w:right w:w="0" w:type="dxa"/>
          </w:tblCellMar>
        </w:tblPrEx>
        <w:trPr>
          <w:trHeight w:val="285" w:hRule="atLeast"/>
        </w:trPr>
        <w:tc>
          <w:tcPr>
            <w:tcW w:w="9101"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招标控制价部分</w:t>
            </w:r>
          </w:p>
        </w:tc>
      </w:tr>
      <w:tr>
        <w:tblPrEx>
          <w:tblCellMar>
            <w:top w:w="0" w:type="dxa"/>
            <w:left w:w="0" w:type="dxa"/>
            <w:bottom w:w="0" w:type="dxa"/>
            <w:right w:w="0" w:type="dxa"/>
          </w:tblCellMar>
        </w:tblPrEx>
        <w:trPr>
          <w:trHeight w:val="400" w:hRule="atLeast"/>
        </w:trPr>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其中：</w:t>
            </w:r>
          </w:p>
        </w:tc>
        <w:tc>
          <w:tcPr>
            <w:tcW w:w="36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暂列金</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6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bidi="ar"/>
              </w:rPr>
              <w:t>专业工程暂估</w:t>
            </w:r>
            <w:r>
              <w:rPr>
                <w:rFonts w:hint="eastAsia" w:ascii="方正仿宋_GB2312" w:hAnsi="方正仿宋_GB2312" w:eastAsia="方正仿宋_GB2312" w:cs="方正仿宋_GB2312"/>
                <w:color w:val="000000"/>
                <w:kern w:val="0"/>
                <w:sz w:val="28"/>
                <w:szCs w:val="28"/>
                <w:highlight w:val="none"/>
                <w:lang w:val="en-US" w:eastAsia="zh-CN" w:bidi="ar"/>
              </w:rPr>
              <w:t>价</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6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规费</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6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税金</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6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环境保护费、文明施工费、安全施工费</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6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智慧工地基础配置费用</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6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w:t>
            </w:r>
          </w:p>
        </w:tc>
        <w:tc>
          <w:tcPr>
            <w:tcW w:w="316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60" w:hRule="atLeast"/>
        </w:trPr>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eastAsia="zh-CN" w:bidi="ar"/>
              </w:rPr>
              <w:t>招标</w:t>
            </w:r>
            <w:r>
              <w:rPr>
                <w:rFonts w:hint="eastAsia" w:ascii="方正仿宋_GB2312" w:hAnsi="方正仿宋_GB2312" w:eastAsia="方正仿宋_GB2312" w:cs="方正仿宋_GB2312"/>
                <w:color w:val="000000"/>
                <w:kern w:val="0"/>
                <w:sz w:val="28"/>
                <w:szCs w:val="28"/>
                <w:highlight w:val="none"/>
                <w:lang w:bidi="ar"/>
              </w:rPr>
              <w:t>控制价可竞争部分的下浮率K</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97" w:hRule="atLeast"/>
        </w:trPr>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招标控制价部分</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9101"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投标报价部分</w:t>
            </w:r>
          </w:p>
        </w:tc>
      </w:tr>
      <w:tr>
        <w:tblPrEx>
          <w:tblCellMar>
            <w:top w:w="0" w:type="dxa"/>
            <w:left w:w="0" w:type="dxa"/>
            <w:bottom w:w="0" w:type="dxa"/>
            <w:right w:w="0" w:type="dxa"/>
          </w:tblCellMar>
        </w:tblPrEx>
        <w:trPr>
          <w:trHeight w:val="400" w:hRule="atLeast"/>
        </w:trPr>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有效投标人家数</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是否大于5家</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是</w:t>
            </w:r>
            <w:r>
              <w:rPr>
                <w:rFonts w:hint="eastAsia" w:ascii="方正仿宋_GB2312" w:hAnsi="方正仿宋_GB2312" w:eastAsia="方正仿宋_GB2312" w:cs="方正仿宋_GB2312"/>
                <w:color w:val="000000"/>
                <w:sz w:val="28"/>
                <w:szCs w:val="28"/>
                <w:highlight w:val="none"/>
                <w:lang w:eastAsia="zh-CN"/>
              </w:rPr>
              <w:sym w:font="Wingdings" w:char="00A8"/>
            </w:r>
            <w:r>
              <w:rPr>
                <w:rFonts w:hint="eastAsia" w:ascii="方正仿宋_GB2312" w:hAnsi="方正仿宋_GB2312" w:eastAsia="方正仿宋_GB2312" w:cs="方正仿宋_GB2312"/>
                <w:color w:val="000000"/>
                <w:sz w:val="28"/>
                <w:szCs w:val="28"/>
                <w:highlight w:val="none"/>
                <w:lang w:val="en-US" w:eastAsia="zh-CN"/>
              </w:rPr>
              <w:t xml:space="preserve">             </w:t>
            </w:r>
            <w:r>
              <w:rPr>
                <w:rFonts w:hint="eastAsia" w:ascii="方正仿宋_GB2312" w:hAnsi="方正仿宋_GB2312" w:eastAsia="方正仿宋_GB2312" w:cs="方正仿宋_GB2312"/>
                <w:color w:val="000000"/>
                <w:sz w:val="28"/>
                <w:szCs w:val="28"/>
                <w:highlight w:val="none"/>
                <w:lang w:eastAsia="zh-CN"/>
              </w:rPr>
              <w:t>否</w:t>
            </w:r>
            <w:r>
              <w:rPr>
                <w:rFonts w:hint="eastAsia" w:ascii="方正仿宋_GB2312" w:hAnsi="方正仿宋_GB2312" w:eastAsia="方正仿宋_GB2312" w:cs="方正仿宋_GB2312"/>
                <w:color w:val="000000"/>
                <w:sz w:val="28"/>
                <w:szCs w:val="28"/>
                <w:highlight w:val="none"/>
                <w:lang w:eastAsia="zh-CN"/>
              </w:rPr>
              <w:sym w:font="Wingdings" w:char="00A8"/>
            </w:r>
          </w:p>
        </w:tc>
      </w:tr>
      <w:tr>
        <w:tblPrEx>
          <w:tblCellMar>
            <w:top w:w="0" w:type="dxa"/>
            <w:left w:w="0" w:type="dxa"/>
            <w:bottom w:w="0" w:type="dxa"/>
            <w:right w:w="0" w:type="dxa"/>
          </w:tblCellMar>
        </w:tblPrEx>
        <w:trPr>
          <w:trHeight w:val="418" w:hRule="atLeast"/>
        </w:trPr>
        <w:tc>
          <w:tcPr>
            <w:tcW w:w="1398" w:type="dxa"/>
            <w:vMerge w:val="restart"/>
            <w:tcBorders>
              <w:top w:val="single" w:color="000000" w:sz="4" w:space="0"/>
              <w:left w:val="single" w:color="000000" w:sz="4" w:space="0"/>
              <w:right w:val="single" w:color="auto"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bidi="ar"/>
              </w:rPr>
              <w:t>投标报价</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部分</w:t>
            </w:r>
          </w:p>
        </w:tc>
        <w:tc>
          <w:tcPr>
            <w:tcW w:w="93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少于5家</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（不含）</w:t>
            </w:r>
          </w:p>
        </w:tc>
        <w:tc>
          <w:tcPr>
            <w:tcW w:w="6770" w:type="dxa"/>
            <w:gridSpan w:val="7"/>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1398" w:type="dxa"/>
            <w:vMerge w:val="continue"/>
            <w:tcBorders>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textAlignment w:val="center"/>
              <w:rPr>
                <w:rFonts w:hint="eastAsia" w:ascii="方正仿宋_GB2312" w:hAnsi="方正仿宋_GB2312" w:eastAsia="方正仿宋_GB2312" w:cs="方正仿宋_GB2312"/>
                <w:color w:val="000000"/>
                <w:sz w:val="28"/>
                <w:szCs w:val="28"/>
                <w:highlight w:val="none"/>
              </w:rPr>
            </w:pPr>
          </w:p>
        </w:tc>
        <w:tc>
          <w:tcPr>
            <w:tcW w:w="93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大于5家（含）</w:t>
            </w:r>
          </w:p>
        </w:tc>
        <w:tc>
          <w:tcPr>
            <w:tcW w:w="6770" w:type="dxa"/>
            <w:gridSpan w:val="7"/>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9101"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val="en-US" w:eastAsia="zh-CN" w:bidi="ar"/>
              </w:rPr>
              <w:t>合理</w:t>
            </w:r>
            <w:r>
              <w:rPr>
                <w:rFonts w:hint="eastAsia" w:ascii="方正仿宋_GB2312" w:hAnsi="方正仿宋_GB2312" w:eastAsia="方正仿宋_GB2312" w:cs="方正仿宋_GB2312"/>
                <w:b/>
                <w:color w:val="000000"/>
                <w:kern w:val="0"/>
                <w:sz w:val="28"/>
                <w:szCs w:val="28"/>
                <w:highlight w:val="none"/>
                <w:lang w:bidi="ar"/>
              </w:rPr>
              <w:t>基准价计算</w:t>
            </w:r>
          </w:p>
        </w:tc>
      </w:tr>
      <w:tr>
        <w:tblPrEx>
          <w:tblCellMar>
            <w:top w:w="0" w:type="dxa"/>
            <w:left w:w="0" w:type="dxa"/>
            <w:bottom w:w="0" w:type="dxa"/>
            <w:right w:w="0" w:type="dxa"/>
          </w:tblCellMar>
        </w:tblPrEx>
        <w:trPr>
          <w:trHeight w:val="532" w:hRule="atLeast"/>
        </w:trPr>
        <w:tc>
          <w:tcPr>
            <w:tcW w:w="23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招标控制价部分</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55" w:hRule="atLeast"/>
        </w:trPr>
        <w:tc>
          <w:tcPr>
            <w:tcW w:w="233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投标报价部分</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tcBorders>
              <w:top w:val="nil"/>
              <w:left w:val="single" w:color="auto" w:sz="4" w:space="0"/>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eastAsia="zh-CN" w:bidi="ar"/>
              </w:rPr>
            </w:pPr>
            <w:r>
              <w:rPr>
                <w:rFonts w:hint="eastAsia" w:ascii="方正仿宋_GB2312" w:hAnsi="方正仿宋_GB2312" w:eastAsia="方正仿宋_GB2312" w:cs="方正仿宋_GB2312"/>
                <w:color w:val="000000"/>
                <w:kern w:val="0"/>
                <w:sz w:val="28"/>
                <w:szCs w:val="28"/>
                <w:highlight w:val="none"/>
                <w:lang w:bidi="ar"/>
              </w:rPr>
              <w:t>评标基准价中</w:t>
            </w:r>
            <w:r>
              <w:rPr>
                <w:rFonts w:hint="eastAsia" w:ascii="方正仿宋_GB2312" w:hAnsi="方正仿宋_GB2312" w:eastAsia="方正仿宋_GB2312" w:cs="方正仿宋_GB2312"/>
                <w:color w:val="000000"/>
                <w:kern w:val="0"/>
                <w:sz w:val="28"/>
                <w:szCs w:val="28"/>
                <w:highlight w:val="none"/>
                <w:lang w:eastAsia="zh-CN" w:bidi="ar"/>
              </w:rPr>
              <w:t>招标</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控制价权重K1</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33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工程类型</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房屋建筑</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市政公用</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轨道交通</w:t>
            </w:r>
          </w:p>
        </w:tc>
        <w:tc>
          <w:tcPr>
            <w:tcW w:w="12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装饰装修</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园林、仿古</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sz w:val="28"/>
                <w:szCs w:val="28"/>
                <w:highlight w:val="none"/>
                <w:lang w:eastAsia="zh-CN"/>
              </w:rPr>
              <w:t>安装</w:t>
            </w:r>
          </w:p>
        </w:tc>
      </w:tr>
      <w:tr>
        <w:tblPrEx>
          <w:tblCellMar>
            <w:top w:w="0" w:type="dxa"/>
            <w:left w:w="0" w:type="dxa"/>
            <w:bottom w:w="0" w:type="dxa"/>
            <w:right w:w="0" w:type="dxa"/>
          </w:tblCellMar>
        </w:tblPrEx>
        <w:trPr>
          <w:trHeight w:val="400" w:hRule="atLeast"/>
        </w:trPr>
        <w:tc>
          <w:tcPr>
            <w:tcW w:w="233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K2</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0.9</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0.85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0.88</w:t>
            </w:r>
          </w:p>
        </w:tc>
        <w:tc>
          <w:tcPr>
            <w:tcW w:w="12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0.92</w:t>
            </w:r>
          </w:p>
        </w:tc>
        <w:tc>
          <w:tcPr>
            <w:tcW w:w="10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0.88</w:t>
            </w: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0.9</w:t>
            </w:r>
          </w:p>
        </w:tc>
      </w:tr>
      <w:tr>
        <w:tblPrEx>
          <w:tblCellMar>
            <w:top w:w="0" w:type="dxa"/>
            <w:left w:w="0" w:type="dxa"/>
            <w:bottom w:w="0" w:type="dxa"/>
            <w:right w:w="0" w:type="dxa"/>
          </w:tblCellMar>
        </w:tblPrEx>
        <w:trPr>
          <w:trHeight w:val="400" w:hRule="atLeast"/>
        </w:trPr>
        <w:tc>
          <w:tcPr>
            <w:tcW w:w="233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bidi="ar"/>
              </w:rPr>
              <w:t>合理</w:t>
            </w:r>
            <w:r>
              <w:rPr>
                <w:rFonts w:hint="eastAsia" w:ascii="方正仿宋_GB2312" w:hAnsi="方正仿宋_GB2312" w:eastAsia="方正仿宋_GB2312" w:cs="方正仿宋_GB2312"/>
                <w:color w:val="000000"/>
                <w:kern w:val="0"/>
                <w:sz w:val="28"/>
                <w:szCs w:val="28"/>
                <w:highlight w:val="none"/>
                <w:lang w:bidi="ar"/>
              </w:rPr>
              <w:t>基准价</w:t>
            </w:r>
          </w:p>
        </w:tc>
        <w:tc>
          <w:tcPr>
            <w:tcW w:w="677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ind w:firstLine="0" w:firstLineChars="0"/>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sz w:val="32"/>
          <w:szCs w:val="32"/>
          <w:highlight w:val="none"/>
          <w:lang w:bidi="ar"/>
        </w:rPr>
      </w:pPr>
      <w:r>
        <w:rPr>
          <w:rFonts w:hint="eastAsia" w:ascii="方正仿宋_GB2312" w:hAnsi="方正仿宋_GB2312" w:eastAsia="方正仿宋_GB2312" w:cs="方正仿宋_GB2312"/>
          <w:b/>
          <w:bCs/>
          <w:sz w:val="32"/>
          <w:szCs w:val="32"/>
          <w:highlight w:val="none"/>
        </w:rPr>
        <w:t>附表3-</w:t>
      </w:r>
      <w:r>
        <w:rPr>
          <w:rFonts w:hint="eastAsia" w:ascii="方正仿宋_GB2312" w:hAnsi="方正仿宋_GB2312" w:eastAsia="方正仿宋_GB2312" w:cs="方正仿宋_GB2312"/>
          <w:b/>
          <w:bCs/>
          <w:sz w:val="32"/>
          <w:szCs w:val="32"/>
          <w:highlight w:val="none"/>
          <w:lang w:val="en-US" w:eastAsia="zh-CN"/>
        </w:rPr>
        <w:t>2</w:t>
      </w:r>
      <w:r>
        <w:rPr>
          <w:rFonts w:hint="eastAsia" w:ascii="方正仿宋_GB2312" w:hAnsi="方正仿宋_GB2312" w:eastAsia="方正仿宋_GB2312" w:cs="方正仿宋_GB2312"/>
          <w:b/>
          <w:sz w:val="32"/>
          <w:szCs w:val="32"/>
          <w:highlight w:val="none"/>
          <w:lang w:bidi="ar"/>
        </w:rPr>
        <w:t xml:space="preserve"> </w:t>
      </w:r>
    </w:p>
    <w:p>
      <w:pPr>
        <w:pStyle w:val="206"/>
        <w:pageBreakBefore w:val="0"/>
        <w:kinsoku/>
        <w:bidi w:val="0"/>
        <w:spacing w:line="440" w:lineRule="exact"/>
        <w:ind w:left="0" w:leftChars="0" w:firstLine="0" w:firstLineChars="0"/>
        <w:jc w:val="center"/>
        <w:outlineLvl w:val="9"/>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color w:val="000000"/>
          <w:kern w:val="0"/>
          <w:sz w:val="32"/>
          <w:szCs w:val="32"/>
          <w:highlight w:val="none"/>
          <w:lang w:bidi="ar"/>
        </w:rPr>
        <w:t>定性评审法</w:t>
      </w:r>
      <w:r>
        <w:rPr>
          <w:rFonts w:hint="eastAsia" w:ascii="方正仿宋_GB2312" w:hAnsi="方正仿宋_GB2312" w:eastAsia="方正仿宋_GB2312" w:cs="方正仿宋_GB2312"/>
          <w:b/>
          <w:color w:val="000000"/>
          <w:kern w:val="0"/>
          <w:sz w:val="32"/>
          <w:szCs w:val="32"/>
          <w:highlight w:val="none"/>
          <w:lang w:eastAsia="zh-CN" w:bidi="ar"/>
        </w:rPr>
        <w:t>—</w:t>
      </w:r>
      <w:r>
        <w:rPr>
          <w:rFonts w:hint="eastAsia" w:ascii="方正仿宋_GB2312" w:hAnsi="方正仿宋_GB2312" w:eastAsia="方正仿宋_GB2312" w:cs="方正仿宋_GB2312"/>
          <w:b/>
          <w:color w:val="000000"/>
          <w:kern w:val="0"/>
          <w:sz w:val="32"/>
          <w:szCs w:val="32"/>
          <w:highlight w:val="none"/>
          <w:lang w:bidi="ar"/>
        </w:rPr>
        <w:t>价格切线计算表</w:t>
      </w:r>
    </w:p>
    <w:tbl>
      <w:tblPr>
        <w:tblStyle w:val="43"/>
        <w:tblW w:w="9318" w:type="dxa"/>
        <w:tblInd w:w="-543" w:type="dxa"/>
        <w:tblLayout w:type="fixed"/>
        <w:tblCellMar>
          <w:top w:w="0" w:type="dxa"/>
          <w:left w:w="0" w:type="dxa"/>
          <w:bottom w:w="0" w:type="dxa"/>
          <w:right w:w="0" w:type="dxa"/>
        </w:tblCellMar>
      </w:tblPr>
      <w:tblGrid>
        <w:gridCol w:w="1373"/>
        <w:gridCol w:w="1374"/>
        <w:gridCol w:w="3403"/>
        <w:gridCol w:w="3168"/>
      </w:tblGrid>
      <w:tr>
        <w:tblPrEx>
          <w:tblCellMar>
            <w:top w:w="0" w:type="dxa"/>
            <w:left w:w="0" w:type="dxa"/>
            <w:bottom w:w="0" w:type="dxa"/>
            <w:right w:w="0" w:type="dxa"/>
          </w:tblCellMar>
        </w:tblPrEx>
        <w:trPr>
          <w:trHeight w:val="467" w:hRule="atLeast"/>
        </w:trPr>
        <w:tc>
          <w:tcPr>
            <w:tcW w:w="931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招标控制价部分</w:t>
            </w:r>
          </w:p>
        </w:tc>
      </w:tr>
      <w:tr>
        <w:tblPrEx>
          <w:tblCellMar>
            <w:top w:w="0" w:type="dxa"/>
            <w:left w:w="0" w:type="dxa"/>
            <w:bottom w:w="0" w:type="dxa"/>
            <w:right w:w="0" w:type="dxa"/>
          </w:tblCellMar>
        </w:tblPrEx>
        <w:trPr>
          <w:trHeight w:val="400" w:hRule="atLeast"/>
        </w:trPr>
        <w:tc>
          <w:tcPr>
            <w:tcW w:w="274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747" w:type="dxa"/>
            <w:gridSpan w:val="2"/>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其中：</w:t>
            </w: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暂列金</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747"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bidi="ar"/>
              </w:rPr>
              <w:t>专业工程暂估</w:t>
            </w:r>
            <w:r>
              <w:rPr>
                <w:rFonts w:hint="eastAsia" w:ascii="方正仿宋_GB2312" w:hAnsi="方正仿宋_GB2312" w:eastAsia="方正仿宋_GB2312" w:cs="方正仿宋_GB2312"/>
                <w:color w:val="000000"/>
                <w:kern w:val="0"/>
                <w:sz w:val="28"/>
                <w:szCs w:val="28"/>
                <w:highlight w:val="none"/>
                <w:lang w:val="en-US" w:eastAsia="zh-CN" w:bidi="ar"/>
              </w:rPr>
              <w:t>价</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747"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规费</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747"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税金</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747"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环境保护费、文明施工费、安全施工费</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747" w:type="dxa"/>
            <w:gridSpan w:val="2"/>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val="en-US" w:eastAsia="zh-CN" w:bidi="ar"/>
              </w:rPr>
              <w:t>智慧工地基础配置费用</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747" w:type="dxa"/>
            <w:gridSpan w:val="2"/>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60" w:hRule="atLeast"/>
        </w:trPr>
        <w:tc>
          <w:tcPr>
            <w:tcW w:w="274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eastAsia="zh-CN" w:bidi="ar"/>
              </w:rPr>
              <w:t>招标</w:t>
            </w:r>
            <w:r>
              <w:rPr>
                <w:rFonts w:hint="eastAsia" w:ascii="方正仿宋_GB2312" w:hAnsi="方正仿宋_GB2312" w:eastAsia="方正仿宋_GB2312" w:cs="方正仿宋_GB2312"/>
                <w:color w:val="000000"/>
                <w:kern w:val="0"/>
                <w:sz w:val="28"/>
                <w:szCs w:val="28"/>
                <w:highlight w:val="none"/>
                <w:lang w:bidi="ar"/>
              </w:rPr>
              <w:t>控制价可竞争部分的下浮率K</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97" w:hRule="atLeast"/>
        </w:trPr>
        <w:tc>
          <w:tcPr>
            <w:tcW w:w="274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招标控制价部分</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55" w:hRule="atLeast"/>
        </w:trPr>
        <w:tc>
          <w:tcPr>
            <w:tcW w:w="931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投标报价部分</w:t>
            </w:r>
          </w:p>
        </w:tc>
      </w:tr>
      <w:tr>
        <w:tblPrEx>
          <w:tblCellMar>
            <w:top w:w="0" w:type="dxa"/>
            <w:left w:w="0" w:type="dxa"/>
            <w:bottom w:w="0" w:type="dxa"/>
            <w:right w:w="0" w:type="dxa"/>
          </w:tblCellMar>
        </w:tblPrEx>
        <w:trPr>
          <w:trHeight w:val="487" w:hRule="atLeast"/>
        </w:trPr>
        <w:tc>
          <w:tcPr>
            <w:tcW w:w="274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有效投标人家数</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14" w:hRule="atLeast"/>
        </w:trPr>
        <w:tc>
          <w:tcPr>
            <w:tcW w:w="274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是否大于5家</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sz w:val="28"/>
                <w:szCs w:val="28"/>
                <w:highlight w:val="none"/>
                <w:lang w:eastAsia="zh-CN"/>
              </w:rPr>
              <w:t>是</w:t>
            </w:r>
            <w:r>
              <w:rPr>
                <w:rFonts w:hint="eastAsia" w:ascii="方正仿宋_GB2312" w:hAnsi="方正仿宋_GB2312" w:eastAsia="方正仿宋_GB2312" w:cs="方正仿宋_GB2312"/>
                <w:color w:val="000000"/>
                <w:sz w:val="28"/>
                <w:szCs w:val="28"/>
                <w:highlight w:val="none"/>
                <w:lang w:eastAsia="zh-CN"/>
              </w:rPr>
              <w:sym w:font="Wingdings" w:char="00A8"/>
            </w:r>
            <w:r>
              <w:rPr>
                <w:rFonts w:hint="eastAsia" w:ascii="方正仿宋_GB2312" w:hAnsi="方正仿宋_GB2312" w:eastAsia="方正仿宋_GB2312" w:cs="方正仿宋_GB2312"/>
                <w:color w:val="000000"/>
                <w:sz w:val="28"/>
                <w:szCs w:val="28"/>
                <w:highlight w:val="none"/>
                <w:lang w:val="en-US" w:eastAsia="zh-CN"/>
              </w:rPr>
              <w:t xml:space="preserve">             </w:t>
            </w:r>
            <w:r>
              <w:rPr>
                <w:rFonts w:hint="eastAsia" w:ascii="方正仿宋_GB2312" w:hAnsi="方正仿宋_GB2312" w:eastAsia="方正仿宋_GB2312" w:cs="方正仿宋_GB2312"/>
                <w:color w:val="000000"/>
                <w:sz w:val="28"/>
                <w:szCs w:val="28"/>
                <w:highlight w:val="none"/>
                <w:lang w:eastAsia="zh-CN"/>
              </w:rPr>
              <w:t>否</w:t>
            </w:r>
            <w:r>
              <w:rPr>
                <w:rFonts w:hint="eastAsia" w:ascii="方正仿宋_GB2312" w:hAnsi="方正仿宋_GB2312" w:eastAsia="方正仿宋_GB2312" w:cs="方正仿宋_GB2312"/>
                <w:color w:val="000000"/>
                <w:sz w:val="28"/>
                <w:szCs w:val="28"/>
                <w:highlight w:val="none"/>
                <w:lang w:eastAsia="zh-CN"/>
              </w:rPr>
              <w:sym w:font="Wingdings" w:char="00A8"/>
            </w:r>
          </w:p>
        </w:tc>
      </w:tr>
      <w:tr>
        <w:tblPrEx>
          <w:tblCellMar>
            <w:top w:w="0" w:type="dxa"/>
            <w:left w:w="0" w:type="dxa"/>
            <w:bottom w:w="0" w:type="dxa"/>
            <w:right w:w="0" w:type="dxa"/>
          </w:tblCellMar>
        </w:tblPrEx>
        <w:trPr>
          <w:trHeight w:val="620" w:hRule="atLeast"/>
        </w:trPr>
        <w:tc>
          <w:tcPr>
            <w:tcW w:w="137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bidi="ar"/>
              </w:rPr>
            </w:pPr>
            <w:r>
              <w:rPr>
                <w:rFonts w:hint="eastAsia" w:ascii="方正仿宋_GB2312" w:hAnsi="方正仿宋_GB2312" w:eastAsia="方正仿宋_GB2312" w:cs="方正仿宋_GB2312"/>
                <w:color w:val="000000"/>
                <w:kern w:val="0"/>
                <w:sz w:val="28"/>
                <w:szCs w:val="28"/>
                <w:highlight w:val="none"/>
                <w:lang w:bidi="ar"/>
              </w:rPr>
              <w:t>投标报价</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部分</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少于5家</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bidi="ar"/>
              </w:rPr>
              <w:t>（不含）</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137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textAlignment w:val="center"/>
              <w:rPr>
                <w:rFonts w:hint="eastAsia" w:ascii="方正仿宋_GB2312" w:hAnsi="方正仿宋_GB2312" w:eastAsia="方正仿宋_GB2312" w:cs="方正仿宋_GB2312"/>
                <w:color w:val="000000"/>
                <w:sz w:val="28"/>
                <w:szCs w:val="28"/>
                <w:highlight w:val="none"/>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val="en-US" w:eastAsia="zh-CN" w:bidi="ar"/>
              </w:rPr>
              <w:t>大于5家（含）</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28" w:hRule="atLeast"/>
        </w:trPr>
        <w:tc>
          <w:tcPr>
            <w:tcW w:w="931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val="en-US" w:eastAsia="zh-CN" w:bidi="ar"/>
              </w:rPr>
              <w:t>价格切线</w:t>
            </w:r>
            <w:r>
              <w:rPr>
                <w:rFonts w:hint="eastAsia" w:ascii="方正仿宋_GB2312" w:hAnsi="方正仿宋_GB2312" w:eastAsia="方正仿宋_GB2312" w:cs="方正仿宋_GB2312"/>
                <w:b/>
                <w:color w:val="000000"/>
                <w:kern w:val="0"/>
                <w:sz w:val="28"/>
                <w:szCs w:val="28"/>
                <w:highlight w:val="none"/>
                <w:lang w:bidi="ar"/>
              </w:rPr>
              <w:t>计算</w:t>
            </w:r>
          </w:p>
        </w:tc>
      </w:tr>
      <w:tr>
        <w:tblPrEx>
          <w:tblCellMar>
            <w:top w:w="0" w:type="dxa"/>
            <w:left w:w="0" w:type="dxa"/>
            <w:bottom w:w="0" w:type="dxa"/>
            <w:right w:w="0" w:type="dxa"/>
          </w:tblCellMar>
        </w:tblPrEx>
        <w:trPr>
          <w:trHeight w:val="547" w:hRule="atLeast"/>
        </w:trPr>
        <w:tc>
          <w:tcPr>
            <w:tcW w:w="2747"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招标控制价部分</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32" w:hRule="atLeast"/>
        </w:trPr>
        <w:tc>
          <w:tcPr>
            <w:tcW w:w="2747" w:type="dxa"/>
            <w:gridSpan w:val="2"/>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投标报价部分</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274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eastAsia="zh-CN" w:bidi="ar"/>
              </w:rPr>
            </w:pPr>
            <w:r>
              <w:rPr>
                <w:rFonts w:hint="eastAsia" w:ascii="方正仿宋_GB2312" w:hAnsi="方正仿宋_GB2312" w:eastAsia="方正仿宋_GB2312" w:cs="方正仿宋_GB2312"/>
                <w:color w:val="000000"/>
                <w:kern w:val="0"/>
                <w:sz w:val="28"/>
                <w:szCs w:val="28"/>
                <w:highlight w:val="none"/>
                <w:lang w:bidi="ar"/>
              </w:rPr>
              <w:t>评标基准价中</w:t>
            </w:r>
            <w:r>
              <w:rPr>
                <w:rFonts w:hint="eastAsia" w:ascii="方正仿宋_GB2312" w:hAnsi="方正仿宋_GB2312" w:eastAsia="方正仿宋_GB2312" w:cs="方正仿宋_GB2312"/>
                <w:color w:val="000000"/>
                <w:kern w:val="0"/>
                <w:sz w:val="28"/>
                <w:szCs w:val="28"/>
                <w:highlight w:val="none"/>
                <w:lang w:eastAsia="zh-CN" w:bidi="ar"/>
              </w:rPr>
              <w:t>招标</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控制价权重K1</w:t>
            </w:r>
          </w:p>
        </w:tc>
        <w:tc>
          <w:tcPr>
            <w:tcW w:w="657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73" w:hRule="atLeast"/>
        </w:trPr>
        <w:tc>
          <w:tcPr>
            <w:tcW w:w="2747"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
              </w:rPr>
            </w:pPr>
            <w:r>
              <w:rPr>
                <w:rFonts w:hint="eastAsia" w:ascii="方正仿宋_GB2312" w:hAnsi="方正仿宋_GB2312" w:eastAsia="方正仿宋_GB2312" w:cs="方正仿宋_GB2312"/>
                <w:color w:val="000000"/>
                <w:kern w:val="0"/>
                <w:sz w:val="28"/>
                <w:szCs w:val="28"/>
                <w:highlight w:val="none"/>
                <w:lang w:val="en-US" w:eastAsia="zh-CN" w:bidi="ar"/>
              </w:rPr>
              <w:t>随机下浮率K2</w:t>
            </w:r>
          </w:p>
        </w:tc>
        <w:tc>
          <w:tcPr>
            <w:tcW w:w="6571" w:type="dxa"/>
            <w:gridSpan w:val="2"/>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51" w:hRule="atLeast"/>
        </w:trPr>
        <w:tc>
          <w:tcPr>
            <w:tcW w:w="2747" w:type="dxa"/>
            <w:gridSpan w:val="2"/>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lang w:eastAsia="zh-CN"/>
              </w:rPr>
            </w:pPr>
            <w:r>
              <w:rPr>
                <w:rFonts w:hint="eastAsia" w:ascii="方正仿宋_GB2312" w:hAnsi="方正仿宋_GB2312" w:eastAsia="方正仿宋_GB2312" w:cs="方正仿宋_GB2312"/>
                <w:color w:val="000000"/>
                <w:kern w:val="0"/>
                <w:sz w:val="28"/>
                <w:szCs w:val="28"/>
                <w:highlight w:val="none"/>
                <w:lang w:val="en-US" w:eastAsia="zh-CN" w:bidi="ar"/>
              </w:rPr>
              <w:t>评标价格切线</w:t>
            </w:r>
          </w:p>
        </w:tc>
        <w:tc>
          <w:tcPr>
            <w:tcW w:w="65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sz w:val="32"/>
          <w:szCs w:val="32"/>
          <w:highlight w:val="none"/>
          <w:lang w:bidi="ar"/>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附表3-</w:t>
      </w:r>
      <w:r>
        <w:rPr>
          <w:rFonts w:hint="eastAsia" w:ascii="方正仿宋_GB2312" w:hAnsi="方正仿宋_GB2312" w:eastAsia="方正仿宋_GB2312" w:cs="方正仿宋_GB2312"/>
          <w:b/>
          <w:bCs/>
          <w:sz w:val="32"/>
          <w:szCs w:val="32"/>
          <w:highlight w:val="none"/>
          <w:lang w:val="en-US" w:eastAsia="zh-CN"/>
        </w:rPr>
        <w:t>3</w:t>
      </w:r>
    </w:p>
    <w:tbl>
      <w:tblPr>
        <w:tblStyle w:val="43"/>
        <w:tblpPr w:leftFromText="180" w:rightFromText="180" w:vertAnchor="text" w:horzAnchor="page" w:tblpX="1078" w:tblpY="329"/>
        <w:tblOverlap w:val="never"/>
        <w:tblW w:w="9796" w:type="dxa"/>
        <w:tblInd w:w="0" w:type="dxa"/>
        <w:tblLayout w:type="fixed"/>
        <w:tblCellMar>
          <w:top w:w="0" w:type="dxa"/>
          <w:left w:w="0" w:type="dxa"/>
          <w:bottom w:w="0" w:type="dxa"/>
          <w:right w:w="0" w:type="dxa"/>
        </w:tblCellMar>
      </w:tblPr>
      <w:tblGrid>
        <w:gridCol w:w="635"/>
        <w:gridCol w:w="1391"/>
        <w:gridCol w:w="3965"/>
        <w:gridCol w:w="1835"/>
        <w:gridCol w:w="1970"/>
      </w:tblGrid>
      <w:tr>
        <w:tblPrEx>
          <w:tblCellMar>
            <w:top w:w="0" w:type="dxa"/>
            <w:left w:w="0" w:type="dxa"/>
            <w:bottom w:w="0" w:type="dxa"/>
            <w:right w:w="0" w:type="dxa"/>
          </w:tblCellMar>
        </w:tblPrEx>
        <w:trPr>
          <w:trHeight w:val="510" w:hRule="atLeast"/>
        </w:trPr>
        <w:tc>
          <w:tcPr>
            <w:tcW w:w="9796" w:type="dxa"/>
            <w:gridSpan w:val="5"/>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技术标</w:t>
            </w:r>
            <w:r>
              <w:rPr>
                <w:rFonts w:hint="eastAsia" w:ascii="方正仿宋_GB2312" w:hAnsi="方正仿宋_GB2312" w:eastAsia="方正仿宋_GB2312" w:cs="方正仿宋_GB2312"/>
                <w:b/>
                <w:color w:val="000000"/>
                <w:kern w:val="0"/>
                <w:sz w:val="28"/>
                <w:szCs w:val="28"/>
                <w:highlight w:val="none"/>
                <w:lang w:val="en-US" w:eastAsia="zh-CN" w:bidi="ar"/>
              </w:rPr>
              <w:t>评审标准</w:t>
            </w:r>
          </w:p>
        </w:tc>
      </w:tr>
      <w:tr>
        <w:tblPrEx>
          <w:tblCellMar>
            <w:top w:w="0" w:type="dxa"/>
            <w:left w:w="0" w:type="dxa"/>
            <w:bottom w:w="0" w:type="dxa"/>
            <w:right w:w="0" w:type="dxa"/>
          </w:tblCellMar>
        </w:tblPrEx>
        <w:trPr>
          <w:trHeight w:val="405" w:hRule="atLeast"/>
        </w:trPr>
        <w:tc>
          <w:tcPr>
            <w:tcW w:w="5991" w:type="dxa"/>
            <w:gridSpan w:val="3"/>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项目名称：</w:t>
            </w:r>
          </w:p>
        </w:tc>
        <w:tc>
          <w:tcPr>
            <w:tcW w:w="1835"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28"/>
                <w:szCs w:val="28"/>
                <w:highlight w:val="none"/>
              </w:rPr>
            </w:pPr>
          </w:p>
        </w:tc>
        <w:tc>
          <w:tcPr>
            <w:tcW w:w="1970" w:type="dxa"/>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1756" w:hRule="atLeast"/>
        </w:trPr>
        <w:tc>
          <w:tcPr>
            <w:tcW w:w="63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序号</w:t>
            </w:r>
          </w:p>
        </w:tc>
        <w:tc>
          <w:tcPr>
            <w:tcW w:w="1391"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评审项目</w:t>
            </w:r>
          </w:p>
        </w:tc>
        <w:tc>
          <w:tcPr>
            <w:tcW w:w="396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评审标准</w:t>
            </w:r>
          </w:p>
        </w:tc>
        <w:tc>
          <w:tcPr>
            <w:tcW w:w="183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优点</w:t>
            </w:r>
          </w:p>
        </w:tc>
        <w:tc>
          <w:tcPr>
            <w:tcW w:w="1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b/>
                <w:color w:val="000000"/>
                <w:kern w:val="0"/>
                <w:sz w:val="28"/>
                <w:szCs w:val="28"/>
                <w:highlight w:val="none"/>
                <w:lang w:val="en-US" w:eastAsia="zh-CN" w:bidi="ar"/>
              </w:rPr>
            </w:pPr>
            <w:r>
              <w:rPr>
                <w:rFonts w:hint="eastAsia" w:ascii="方正仿宋_GB2312" w:hAnsi="方正仿宋_GB2312" w:eastAsia="方正仿宋_GB2312" w:cs="方正仿宋_GB2312"/>
                <w:b/>
                <w:color w:val="000000"/>
                <w:kern w:val="0"/>
                <w:sz w:val="28"/>
                <w:szCs w:val="28"/>
                <w:highlight w:val="none"/>
                <w:lang w:val="en-US" w:eastAsia="zh-CN" w:bidi="ar"/>
              </w:rPr>
              <w:t>存在缺陷或签订合同前应注意和澄清事项</w:t>
            </w:r>
          </w:p>
        </w:tc>
      </w:tr>
      <w:tr>
        <w:tblPrEx>
          <w:tblCellMar>
            <w:top w:w="0" w:type="dxa"/>
            <w:left w:w="0" w:type="dxa"/>
            <w:bottom w:w="0" w:type="dxa"/>
            <w:right w:w="0" w:type="dxa"/>
          </w:tblCellMar>
        </w:tblPrEx>
        <w:trPr>
          <w:trHeight w:val="41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工程概况</w:t>
            </w:r>
          </w:p>
          <w:p>
            <w:pPr>
              <w:pStyle w:val="197"/>
              <w:pageBreakBefore w:val="0"/>
              <w:kinsoku/>
              <w:bidi w:val="0"/>
              <w:spacing w:before="42" w:line="440" w:lineRule="exact"/>
              <w:ind w:left="4" w:leftChars="0" w:right="0" w:righ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及特点</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leftChars="0" w:right="0" w:righ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对工程总体概况及特点表述清晰、完整、符合实际</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1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施工准备</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计划</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施工技术、现场、物资与机械、队伍准备计划充分保证工程需要</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75"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3</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施工方案</w:t>
            </w:r>
          </w:p>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与技术措施</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42" w:line="440" w:lineRule="exact"/>
              <w:ind w:left="4"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施工方案符合工程实际情况，部署及措施先进、可靠；针对项目的重点、难点分析应透彻，解决方案切实可行；</w:t>
            </w:r>
          </w:p>
          <w:p>
            <w:pPr>
              <w:pageBreakBefore w:val="0"/>
              <w:widowControl/>
              <w:kinsoku/>
              <w:bidi w:val="0"/>
              <w:spacing w:line="440" w:lineRule="exact"/>
              <w:ind w:firstLine="0" w:firstLineChars="0"/>
              <w:jc w:val="both"/>
              <w:textAlignment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市政基础设施项目，交通组织规划合理、可行，交通组织措施得力。</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79"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4</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施工进度</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计划</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进度计划应在空间和时间上做合理的统筹安排且符合施工的科学规律</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46"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5</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施工平面</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布置</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施工平面布置应符合工程实际，有针对性、布置合理，满足施工需要，便于施工和管理并符合安全、文明生产要求。</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0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6</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劳动力</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劳动力投入计划与施工部署、施工方法及进度计划能够相互呼应并较好满足施工需要</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27"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7</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材料</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材料投入计划与施工部署、施工方法及进度计划能够相互呼应并较好满足施工需要</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71"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8</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机械设备</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需用量计划</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机械投入计划与施工部署、施工方法及进度计划能够相互呼应并较好满足施工需要</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349"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9</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质量保证</w:t>
            </w:r>
          </w:p>
          <w:p>
            <w:pPr>
              <w:pStyle w:val="197"/>
              <w:pageBreakBefore w:val="0"/>
              <w:kinsoku/>
              <w:bidi w:val="0"/>
              <w:spacing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措施和体系</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保证措施应符合科学的施工规律、国家规定的强制性标准并有针对性，同时要符合实际情况，切实可行。质量目标明确，管理机构健全，职责分工明确；管理制度齐全；实施措施全面、有效。</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427"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10</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工期保证</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措施和体系</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总工期及节点工期满足招标文件要求；施工进度计划内容全面，线路清晰、准确、完整，计划编制合理、可行；措施有力、合理、可行。</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11</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安全保证</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zh-CN" w:eastAsia="zh-CN" w:bidi="ar-SA"/>
              </w:rPr>
              <w:t>措施和体系</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firstLine="0" w:firstLineChars="0"/>
              <w:jc w:val="both"/>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保证措施应符合国家及自治区规定的强制性标准并有针对性，同时要符合实际情况，切实可行。</w:t>
            </w:r>
          </w:p>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安全目标明确，优于招标文件要求；管理机构健全，职责分工明确；管理制度齐全；实施与监控措施全面、有效。</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12</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zh-CN"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现场文明</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zh-CN" w:eastAsia="zh-CN" w:bidi="ar-SA"/>
              </w:rPr>
              <w:t>施工措施</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zh-CN" w:eastAsia="zh-CN" w:bidi="ar-SA"/>
              </w:rPr>
              <w:t>管理措施目标明确，符合工程实际情况，切实可行；管理机构健全，职责分工明确；管理制度齐全；</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13</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智慧工地</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及防疫措施</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智慧工地系统应用实施方案、防疫措施切实可行。</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rPr>
              <w:t>14</w:t>
            </w: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bidi="ar-SA"/>
              </w:rPr>
              <w:t>BIM技术应用</w:t>
            </w:r>
          </w:p>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（如有）</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rPr>
            </w:pPr>
            <w:r>
              <w:rPr>
                <w:rFonts w:hint="eastAsia" w:ascii="方正仿宋_GB2312" w:hAnsi="方正仿宋_GB2312" w:eastAsia="方正仿宋_GB2312" w:cs="方正仿宋_GB2312"/>
                <w:color w:val="000000"/>
                <w:kern w:val="0"/>
                <w:sz w:val="28"/>
                <w:szCs w:val="28"/>
                <w:highlight w:val="none"/>
                <w:lang w:val="en-US" w:eastAsia="zh-CN" w:bidi="ar-SA"/>
              </w:rPr>
              <w:t>BIM技术应用管理体系健全，管理制度、保障措施齐全；BIM应用流程与计划完整、有效；重点工艺节点及施工流程BIM三维模型科学、合理等。</w:t>
            </w: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kern w:val="0"/>
                <w:sz w:val="28"/>
                <w:szCs w:val="28"/>
                <w:highlight w:val="none"/>
                <w:lang w:val="en-US" w:eastAsia="zh-CN"/>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center"/>
              <w:rPr>
                <w:rFonts w:hint="eastAsia" w:ascii="方正仿宋_GB2312" w:hAnsi="方正仿宋_GB2312" w:eastAsia="方正仿宋_GB2312" w:cs="方正仿宋_GB2312"/>
                <w:color w:val="000000"/>
                <w:kern w:val="0"/>
                <w:sz w:val="28"/>
                <w:szCs w:val="28"/>
                <w:highlight w:val="none"/>
                <w:lang w:val="en-US" w:eastAsia="zh-CN" w:bidi="ar-SA"/>
              </w:rPr>
            </w:pPr>
            <w:r>
              <w:rPr>
                <w:rFonts w:hint="eastAsia" w:ascii="方正仿宋_GB2312" w:hAnsi="方正仿宋_GB2312" w:eastAsia="方正仿宋_GB2312" w:cs="方正仿宋_GB2312"/>
                <w:color w:val="000000"/>
                <w:kern w:val="0"/>
                <w:sz w:val="28"/>
                <w:szCs w:val="28"/>
                <w:highlight w:val="none"/>
                <w:lang w:val="en-US" w:eastAsia="zh-CN"/>
              </w:rPr>
              <w:t>……</w:t>
            </w:r>
          </w:p>
        </w:tc>
        <w:tc>
          <w:tcPr>
            <w:tcW w:w="3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97"/>
              <w:pageBreakBefore w:val="0"/>
              <w:kinsoku/>
              <w:bidi w:val="0"/>
              <w:spacing w:before="32" w:line="440" w:lineRule="exact"/>
              <w:ind w:left="4" w:leftChars="0" w:firstLine="0" w:firstLineChars="0"/>
              <w:jc w:val="both"/>
              <w:rPr>
                <w:rFonts w:hint="eastAsia" w:ascii="方正仿宋_GB2312" w:hAnsi="方正仿宋_GB2312" w:eastAsia="方正仿宋_GB2312" w:cs="方正仿宋_GB2312"/>
                <w:color w:val="000000"/>
                <w:kern w:val="0"/>
                <w:sz w:val="28"/>
                <w:szCs w:val="28"/>
                <w:highlight w:val="none"/>
                <w:lang w:val="en-US" w:eastAsia="zh-CN" w:bidi="ar-SA"/>
              </w:rPr>
            </w:pPr>
          </w:p>
        </w:tc>
        <w:tc>
          <w:tcPr>
            <w:tcW w:w="1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620" w:hRule="atLeast"/>
        </w:trPr>
        <w:tc>
          <w:tcPr>
            <w:tcW w:w="97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both"/>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备注：1、本表适用于专家独立评审使用；</w:t>
            </w:r>
          </w:p>
          <w:p>
            <w:pPr>
              <w:pageBreakBefore w:val="0"/>
              <w:numPr>
                <w:ilvl w:val="0"/>
                <w:numId w:val="8"/>
              </w:numPr>
              <w:kinsoku/>
              <w:bidi w:val="0"/>
              <w:spacing w:line="440" w:lineRule="exact"/>
              <w:ind w:firstLine="0" w:firstLineChars="0"/>
              <w:jc w:val="both"/>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评审时需指出各评审项的优点、存在缺陷或签订合同前应注意和澄清事项；</w:t>
            </w:r>
          </w:p>
          <w:p>
            <w:pPr>
              <w:pageBreakBefore w:val="0"/>
              <w:numPr>
                <w:ilvl w:val="0"/>
                <w:numId w:val="0"/>
              </w:numPr>
              <w:kinsoku/>
              <w:bidi w:val="0"/>
              <w:spacing w:line="440" w:lineRule="exact"/>
              <w:jc w:val="both"/>
              <w:rPr>
                <w:rFonts w:hint="eastAsia" w:ascii="方正仿宋_GB2312" w:hAnsi="方正仿宋_GB2312" w:eastAsia="方正仿宋_GB2312" w:cs="方正仿宋_GB2312"/>
                <w:color w:val="000000"/>
                <w:sz w:val="28"/>
                <w:szCs w:val="28"/>
                <w:highlight w:val="none"/>
                <w:lang w:val="en-US" w:eastAsia="zh-CN"/>
              </w:rPr>
            </w:pPr>
            <w:r>
              <w:rPr>
                <w:rFonts w:hint="eastAsia" w:ascii="方正仿宋_GB2312" w:hAnsi="方正仿宋_GB2312" w:eastAsia="方正仿宋_GB2312" w:cs="方正仿宋_GB2312"/>
                <w:color w:val="000000"/>
                <w:sz w:val="28"/>
                <w:szCs w:val="28"/>
                <w:highlight w:val="none"/>
                <w:lang w:val="en-US" w:eastAsia="zh-CN"/>
              </w:rPr>
              <w:t>3、评委在评审时可参照附表1-5备注中的《技术标评审要素》进行综合评定。</w:t>
            </w:r>
          </w:p>
        </w:tc>
      </w:tr>
    </w:tbl>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rPr>
      </w:pPr>
    </w:p>
    <w:p>
      <w:pP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rPr>
        <w:t>附表3-</w:t>
      </w:r>
      <w:r>
        <w:rPr>
          <w:rFonts w:hint="eastAsia" w:ascii="方正仿宋_GB2312" w:hAnsi="方正仿宋_GB2312" w:eastAsia="方正仿宋_GB2312" w:cs="方正仿宋_GB2312"/>
          <w:b/>
          <w:bCs/>
          <w:sz w:val="32"/>
          <w:szCs w:val="32"/>
          <w:highlight w:val="none"/>
          <w:lang w:val="en-US" w:eastAsia="zh-CN"/>
        </w:rPr>
        <w:t>4</w:t>
      </w:r>
    </w:p>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highlight w:val="none"/>
          <w:lang w:val="en-US" w:eastAsia="zh-CN"/>
        </w:rPr>
      </w:pPr>
    </w:p>
    <w:tbl>
      <w:tblPr>
        <w:tblStyle w:val="43"/>
        <w:tblW w:w="8310" w:type="dxa"/>
        <w:tblInd w:w="93" w:type="dxa"/>
        <w:tblLayout w:type="autofit"/>
        <w:tblCellMar>
          <w:top w:w="0" w:type="dxa"/>
          <w:left w:w="0" w:type="dxa"/>
          <w:bottom w:w="0" w:type="dxa"/>
          <w:right w:w="0" w:type="dxa"/>
        </w:tblCellMar>
      </w:tblPr>
      <w:tblGrid>
        <w:gridCol w:w="1080"/>
        <w:gridCol w:w="1515"/>
        <w:gridCol w:w="1515"/>
        <w:gridCol w:w="2100"/>
        <w:gridCol w:w="2100"/>
      </w:tblGrid>
      <w:tr>
        <w:tblPrEx>
          <w:tblCellMar>
            <w:top w:w="0" w:type="dxa"/>
            <w:left w:w="0" w:type="dxa"/>
            <w:bottom w:w="0" w:type="dxa"/>
            <w:right w:w="0" w:type="dxa"/>
          </w:tblCellMar>
        </w:tblPrEx>
        <w:trPr>
          <w:trHeight w:val="465" w:hRule="atLeast"/>
        </w:trPr>
        <w:tc>
          <w:tcPr>
            <w:tcW w:w="8310" w:type="dxa"/>
            <w:gridSpan w:val="5"/>
            <w:tcBorders>
              <w:top w:val="nil"/>
              <w:left w:val="nil"/>
              <w:bottom w:val="nil"/>
              <w:right w:val="nil"/>
            </w:tcBorders>
            <w:shd w:val="clear" w:color="auto" w:fill="auto"/>
            <w:noWrap/>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技术标定性评审</w:t>
            </w:r>
            <w:r>
              <w:rPr>
                <w:rFonts w:hint="eastAsia" w:ascii="方正仿宋_GB2312" w:hAnsi="方正仿宋_GB2312" w:eastAsia="方正仿宋_GB2312" w:cs="方正仿宋_GB2312"/>
                <w:b/>
                <w:color w:val="000000"/>
                <w:kern w:val="0"/>
                <w:sz w:val="28"/>
                <w:szCs w:val="28"/>
                <w:highlight w:val="none"/>
                <w:lang w:val="en-US" w:eastAsia="zh-CN" w:bidi="ar"/>
              </w:rPr>
              <w:t>汇总</w:t>
            </w:r>
            <w:r>
              <w:rPr>
                <w:rFonts w:hint="eastAsia" w:ascii="方正仿宋_GB2312" w:hAnsi="方正仿宋_GB2312" w:eastAsia="方正仿宋_GB2312" w:cs="方正仿宋_GB2312"/>
                <w:b/>
                <w:color w:val="000000"/>
                <w:kern w:val="0"/>
                <w:sz w:val="28"/>
                <w:szCs w:val="28"/>
                <w:highlight w:val="none"/>
                <w:lang w:bidi="ar"/>
              </w:rPr>
              <w:t>表</w:t>
            </w:r>
          </w:p>
        </w:tc>
      </w:tr>
      <w:tr>
        <w:tblPrEx>
          <w:tblCellMar>
            <w:top w:w="0" w:type="dxa"/>
            <w:left w:w="0" w:type="dxa"/>
            <w:bottom w:w="0" w:type="dxa"/>
            <w:right w:w="0" w:type="dxa"/>
          </w:tblCellMar>
        </w:tblPrEx>
        <w:trPr>
          <w:trHeight w:val="480" w:hRule="atLeast"/>
        </w:trPr>
        <w:tc>
          <w:tcPr>
            <w:tcW w:w="0" w:type="auto"/>
            <w:gridSpan w:val="5"/>
            <w:tcBorders>
              <w:top w:val="nil"/>
              <w:left w:val="nil"/>
              <w:bottom w:val="nil"/>
              <w:right w:val="nil"/>
            </w:tcBorders>
            <w:shd w:val="clear" w:color="auto" w:fill="auto"/>
            <w:noWrap/>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b/>
                <w:color w:val="000000"/>
                <w:kern w:val="0"/>
                <w:sz w:val="28"/>
                <w:szCs w:val="28"/>
                <w:highlight w:val="none"/>
                <w:lang w:bidi="ar"/>
              </w:rPr>
              <w:t xml:space="preserve">项目名称： </w:t>
            </w:r>
          </w:p>
        </w:tc>
      </w:tr>
      <w:tr>
        <w:tblPrEx>
          <w:tblCellMar>
            <w:top w:w="0" w:type="dxa"/>
            <w:left w:w="0" w:type="dxa"/>
            <w:bottom w:w="0" w:type="dxa"/>
            <w:right w:w="0" w:type="dxa"/>
          </w:tblCellMar>
        </w:tblPrEx>
        <w:trPr>
          <w:trHeight w:val="8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序号</w:t>
            </w: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评审项目</w:t>
            </w: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评审内容</w:t>
            </w: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优点</w:t>
            </w: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center"/>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color w:val="000000"/>
                <w:kern w:val="0"/>
                <w:sz w:val="28"/>
                <w:szCs w:val="28"/>
                <w:highlight w:val="none"/>
                <w:lang w:bidi="ar"/>
              </w:rPr>
              <w:t>存在缺陷或签订合同前应注意和澄清事项</w:t>
            </w:r>
          </w:p>
        </w:tc>
      </w:tr>
      <w:tr>
        <w:tblPrEx>
          <w:tblCellMar>
            <w:top w:w="0" w:type="dxa"/>
            <w:left w:w="0" w:type="dxa"/>
            <w:bottom w:w="0" w:type="dxa"/>
            <w:right w:w="0" w:type="dxa"/>
          </w:tblCellMar>
        </w:tblPrEx>
        <w:trPr>
          <w:trHeight w:val="5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rPr>
          <w:trHeight w:val="5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151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28"/>
                <w:szCs w:val="28"/>
                <w:highlight w:val="none"/>
              </w:rPr>
            </w:pPr>
          </w:p>
        </w:tc>
        <w:tc>
          <w:tcPr>
            <w:tcW w:w="210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highlight w:val="none"/>
              </w:rPr>
            </w:pPr>
          </w:p>
        </w:tc>
      </w:tr>
      <w:tr>
        <w:tblPrEx>
          <w:tblCellMar>
            <w:top w:w="0" w:type="dxa"/>
            <w:left w:w="0" w:type="dxa"/>
            <w:bottom w:w="0" w:type="dxa"/>
            <w:right w:w="0" w:type="dxa"/>
          </w:tblCellMar>
        </w:tblPrEx>
        <w:trPr>
          <w:trHeight w:val="560" w:hRule="atLeast"/>
        </w:trPr>
        <w:tc>
          <w:tcPr>
            <w:tcW w:w="8310" w:type="dxa"/>
            <w:gridSpan w:val="5"/>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ageBreakBefore w:val="0"/>
              <w:widowControl/>
              <w:kinsoku/>
              <w:bidi w:val="0"/>
              <w:spacing w:line="440" w:lineRule="exact"/>
              <w:ind w:firstLine="0" w:firstLineChars="0"/>
              <w:jc w:val="left"/>
              <w:textAlignment w:val="center"/>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i w:val="0"/>
                <w:color w:val="000000"/>
                <w:kern w:val="0"/>
                <w:sz w:val="28"/>
                <w:szCs w:val="28"/>
                <w:highlight w:val="none"/>
                <w:lang w:val="en-US" w:eastAsia="zh-CN" w:bidi="ar"/>
              </w:rPr>
              <w:t>评标委员会签字：</w:t>
            </w:r>
          </w:p>
        </w:tc>
      </w:tr>
      <w:tr>
        <w:tblPrEx>
          <w:tblCellMar>
            <w:top w:w="0" w:type="dxa"/>
            <w:left w:w="0" w:type="dxa"/>
            <w:bottom w:w="0" w:type="dxa"/>
            <w:right w:w="0" w:type="dxa"/>
          </w:tblCellMar>
        </w:tblPrEx>
        <w:trPr>
          <w:trHeight w:val="270" w:hRule="atLeast"/>
        </w:trPr>
        <w:tc>
          <w:tcPr>
            <w:tcW w:w="8310"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28"/>
                <w:szCs w:val="28"/>
                <w:highlight w:val="none"/>
              </w:rPr>
            </w:pPr>
            <w:r>
              <w:rPr>
                <w:rFonts w:hint="eastAsia" w:ascii="方正仿宋_GB2312" w:hAnsi="方正仿宋_GB2312" w:eastAsia="方正仿宋_GB2312" w:cs="方正仿宋_GB2312"/>
                <w:i w:val="0"/>
                <w:color w:val="000000"/>
                <w:kern w:val="0"/>
                <w:sz w:val="28"/>
                <w:szCs w:val="28"/>
                <w:highlight w:val="none"/>
                <w:lang w:val="en-US" w:eastAsia="zh-CN" w:bidi="ar"/>
              </w:rPr>
              <w:t>注：由评标委员会组长组织评标委员会成员根据每个评委对投标企业技术标定性评审意见情况汇总评审意见。</w:t>
            </w:r>
          </w:p>
        </w:tc>
      </w:tr>
    </w:tbl>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bookmarkStart w:id="500" w:name="_Toc23798"/>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center"/>
        <w:outlineLvl w:val="0"/>
        <w:rPr>
          <w:rFonts w:hint="eastAsia" w:ascii="方正仿宋_GB2312" w:hAnsi="方正仿宋_GB2312" w:eastAsia="方正仿宋_GB2312" w:cs="方正仿宋_GB2312"/>
          <w:b/>
          <w:bCs/>
          <w:kern w:val="2"/>
          <w:sz w:val="32"/>
          <w:szCs w:val="32"/>
          <w:lang w:val="en-US" w:eastAsia="zh-CN" w:bidi="ar-SA"/>
        </w:rPr>
      </w:pPr>
      <w:bookmarkStart w:id="501" w:name="_Toc19318"/>
      <w:r>
        <w:rPr>
          <w:rFonts w:hint="eastAsia" w:ascii="方正仿宋_GB2312" w:hAnsi="方正仿宋_GB2312" w:eastAsia="方正仿宋_GB2312" w:cs="方正仿宋_GB2312"/>
          <w:b/>
          <w:bCs/>
          <w:kern w:val="2"/>
          <w:sz w:val="32"/>
          <w:szCs w:val="32"/>
          <w:lang w:val="en-US" w:eastAsia="zh-CN" w:bidi="ar-SA"/>
        </w:rPr>
        <w:t>第四章  合同条款及格式</w:t>
      </w:r>
      <w:bookmarkEnd w:id="476"/>
      <w:bookmarkEnd w:id="500"/>
      <w:bookmarkEnd w:id="501"/>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Style w:val="53"/>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ageBreakBefore w:val="0"/>
        <w:kinsoku/>
        <w:bidi w:val="0"/>
        <w:ind w:firstLine="0" w:firstLineChars="0"/>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br w:type="page"/>
      </w:r>
    </w:p>
    <w:p>
      <w:pPr>
        <w:pageBreakBefore w:val="0"/>
        <w:kinsoku/>
        <w:bidi w:val="0"/>
        <w:spacing w:line="440" w:lineRule="exact"/>
        <w:ind w:firstLine="0" w:firstLineChars="0"/>
        <w:jc w:val="left"/>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（GF—2017—0201）</w:t>
      </w: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建设工程施工合同</w:t>
      </w:r>
      <w:r>
        <w:rPr>
          <w:rFonts w:hint="eastAsia" w:ascii="方正仿宋_GB2312" w:hAnsi="方正仿宋_GB2312" w:eastAsia="方正仿宋_GB2312" w:cs="方正仿宋_GB2312"/>
          <w:b/>
          <w:color w:val="000000"/>
          <w:sz w:val="32"/>
          <w:szCs w:val="32"/>
        </w:rPr>
        <w:br w:type="textWrapping"/>
      </w:r>
      <w:r>
        <w:rPr>
          <w:rFonts w:hint="eastAsia" w:ascii="方正仿宋_GB2312" w:hAnsi="方正仿宋_GB2312" w:eastAsia="方正仿宋_GB2312" w:cs="方正仿宋_GB2312"/>
          <w:b/>
          <w:color w:val="000000"/>
          <w:sz w:val="32"/>
          <w:szCs w:val="32"/>
        </w:rPr>
        <w:t>（示范文本）</w:t>
      </w:r>
    </w:p>
    <w:p>
      <w:pPr>
        <w:pageBreakBefore w:val="0"/>
        <w:kinsoku/>
        <w:bidi w:val="0"/>
        <w:spacing w:line="440" w:lineRule="exact"/>
        <w:ind w:firstLine="0" w:firstLineChars="0"/>
        <w:jc w:val="both"/>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right="2719" w:rightChars="1295" w:firstLine="0" w:firstLineChars="0"/>
        <w:jc w:val="distribute"/>
        <w:rPr>
          <w:rFonts w:hint="eastAsia" w:ascii="方正仿宋_GB2312" w:hAnsi="方正仿宋_GB2312" w:eastAsia="方正仿宋_GB2312" w:cs="方正仿宋_GB2312"/>
          <w:b/>
          <w:color w:val="00000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right="2719" w:rightChars="1295" w:firstLine="0" w:firstLineChars="0"/>
        <w:jc w:val="distribute"/>
        <w:rPr>
          <w:rFonts w:hint="eastAsia" w:ascii="方正仿宋_GB2312" w:hAnsi="方正仿宋_GB2312" w:eastAsia="方正仿宋_GB2312" w:cs="方正仿宋_GB2312"/>
          <w:b/>
          <w:color w:val="000000"/>
          <w:sz w:val="32"/>
          <w:szCs w:val="32"/>
        </w:rPr>
      </w:pPr>
    </w:p>
    <w:p>
      <w:pPr>
        <w:pageBreakBefore w:val="0"/>
        <w:kinsoku/>
        <w:bidi w:val="0"/>
        <w:spacing w:line="440" w:lineRule="exact"/>
        <w:ind w:right="2719" w:rightChars="1295" w:firstLine="0" w:firstLineChars="0"/>
        <w:jc w:val="center"/>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3945890</wp:posOffset>
                </wp:positionH>
                <wp:positionV relativeFrom="paragraph">
                  <wp:posOffset>71120</wp:posOffset>
                </wp:positionV>
                <wp:extent cx="675005" cy="457200"/>
                <wp:effectExtent l="4445" t="4445" r="6350" b="1079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675005" cy="457200"/>
                        </a:xfrm>
                        <a:prstGeom prst="rect">
                          <a:avLst/>
                        </a:prstGeom>
                        <a:noFill/>
                        <a:ln w="9525" cmpd="sng">
                          <a:solidFill>
                            <a:srgbClr val="FFFFFF"/>
                          </a:solidFill>
                          <a:miter lim="800000"/>
                        </a:ln>
                      </wps:spPr>
                      <wps:txbx>
                        <w:txbxContent>
                          <w:p>
                            <w:pPr>
                              <w:rPr>
                                <w:rFonts w:hint="eastAsia"/>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0.7pt;margin-top:5.6pt;height:36pt;width:53.15pt;z-index:251659264;mso-width-relative:page;mso-height-relative:page;" filled="f" stroked="t" coordsize="21600,21600" o:gfxdata="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Z1d2NgAAAAJAQAADwAAAAAAAAABACAAAAAi&#10;AAAAZHJzL2Rvd25yZXYueG1sUEsBAhQAFAAAAAgAh07iQKNPTm5DAgAAaAQAAA4AAAAAAAAAAQAg&#10;AAAAJwEAAGRycy9lMm9Eb2MueG1sUEsFBgAAAAAGAAYAWQEAANwFAAAAAA==&#10;">
                <v:fill on="f" focussize="0,0"/>
                <v:stroke color="#FFFFFF" miterlimit="8"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hint="eastAsia" w:ascii="方正仿宋_GB2312" w:hAnsi="方正仿宋_GB2312" w:eastAsia="方正仿宋_GB2312" w:cs="方正仿宋_GB2312"/>
          <w:b/>
          <w:color w:val="000000"/>
          <w:sz w:val="32"/>
          <w:szCs w:val="32"/>
        </w:rPr>
        <w:t>住房城乡建设部</w:t>
      </w:r>
    </w:p>
    <w:p>
      <w:pPr>
        <w:pageBreakBefore w:val="0"/>
        <w:kinsoku/>
        <w:bidi w:val="0"/>
        <w:spacing w:line="440" w:lineRule="exact"/>
        <w:ind w:right="2719" w:rightChars="1295" w:firstLine="0" w:firstLineChars="0"/>
        <w:jc w:val="center"/>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b/>
          <w:color w:val="000000"/>
          <w:sz w:val="32"/>
          <w:szCs w:val="32"/>
        </w:rPr>
        <w:t>国家工商行政管理总局</w:t>
      </w: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color w:val="000000"/>
          <w:kern w:val="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zh-CN"/>
        </w:rPr>
      </w:pPr>
      <w:bookmarkStart w:id="502" w:name="_Toc14338"/>
      <w:bookmarkStart w:id="503" w:name="_Toc296890982"/>
      <w:bookmarkStart w:id="504" w:name="_Toc296503025"/>
      <w:r>
        <w:rPr>
          <w:rFonts w:hint="eastAsia" w:ascii="方正仿宋_GB2312" w:hAnsi="方正仿宋_GB2312" w:eastAsia="方正仿宋_GB2312" w:cs="方正仿宋_GB2312"/>
          <w:sz w:val="32"/>
          <w:szCs w:val="32"/>
          <w:lang w:val="zh-CN"/>
        </w:rPr>
        <w:br w:type="page"/>
      </w:r>
    </w:p>
    <w:p>
      <w:pPr>
        <w:pStyle w:val="207"/>
        <w:pageBreakBefore w:val="0"/>
        <w:kinsoku/>
        <w:bidi w:val="0"/>
        <w:spacing w:before="0" w:after="0" w:line="440" w:lineRule="exact"/>
        <w:ind w:firstLine="0" w:firstLineChars="0"/>
        <w:jc w:val="center"/>
        <w:outlineLvl w:val="9"/>
        <w:rPr>
          <w:rFonts w:hint="eastAsia" w:ascii="方正仿宋_GB2312" w:hAnsi="方正仿宋_GB2312" w:eastAsia="方正仿宋_GB2312" w:cs="方正仿宋_GB2312"/>
          <w:sz w:val="32"/>
          <w:szCs w:val="32"/>
          <w:lang w:val="zh-CN"/>
        </w:rPr>
      </w:pPr>
      <w:r>
        <w:rPr>
          <w:rFonts w:hint="eastAsia" w:ascii="方正仿宋_GB2312" w:hAnsi="方正仿宋_GB2312" w:eastAsia="方正仿宋_GB2312" w:cs="方正仿宋_GB2312"/>
          <w:sz w:val="32"/>
          <w:szCs w:val="32"/>
          <w:lang w:val="zh-CN"/>
        </w:rPr>
        <w:t>说  明</w:t>
      </w:r>
      <w:bookmarkEnd w:id="502"/>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w:t>
      </w:r>
      <w:r>
        <w:rPr>
          <w:rFonts w:hint="eastAsia" w:ascii="方正仿宋_GB2312" w:hAnsi="方正仿宋_GB2312" w:eastAsia="方正仿宋_GB2312" w:cs="方正仿宋_GB2312"/>
          <w:sz w:val="32"/>
          <w:szCs w:val="32"/>
          <w:lang w:val="en-US" w:eastAsia="zh-CN"/>
        </w:rPr>
        <w:t>2013</w:t>
      </w:r>
      <w:r>
        <w:rPr>
          <w:rFonts w:hint="eastAsia" w:ascii="方正仿宋_GB2312" w:hAnsi="方正仿宋_GB2312" w:eastAsia="方正仿宋_GB2312" w:cs="方正仿宋_GB2312"/>
          <w:sz w:val="32"/>
          <w:szCs w:val="32"/>
        </w:rPr>
        <w:t>-0201）进行了修订，制定了《建设工程施工合同（示范文本）》（GF-201</w:t>
      </w:r>
      <w:r>
        <w:rPr>
          <w:rFonts w:hint="eastAsia" w:ascii="方正仿宋_GB2312" w:hAnsi="方正仿宋_GB2312" w:eastAsia="方正仿宋_GB2312" w:cs="方正仿宋_GB2312"/>
          <w:sz w:val="32"/>
          <w:szCs w:val="32"/>
          <w:lang w:val="en-US" w:eastAsia="zh-CN"/>
        </w:rPr>
        <w:t>7</w:t>
      </w:r>
      <w:r>
        <w:rPr>
          <w:rFonts w:hint="eastAsia" w:ascii="方正仿宋_GB2312" w:hAnsi="方正仿宋_GB2312" w:eastAsia="方正仿宋_GB2312" w:cs="方正仿宋_GB2312"/>
          <w:sz w:val="32"/>
          <w:szCs w:val="32"/>
        </w:rPr>
        <w:t>-0201）（以下简称《示范文本》）。为了便于合同当事人使用《示范文本》，现就有关问题说明如下：</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方正仿宋_GB2312" w:hAnsi="方正仿宋_GB2312" w:eastAsia="方正仿宋_GB2312" w:cs="方正仿宋_GB2312"/>
          <w:b/>
          <w:bCs w:val="0"/>
          <w:sz w:val="32"/>
          <w:szCs w:val="32"/>
        </w:rPr>
      </w:pPr>
      <w:bookmarkStart w:id="505" w:name="_Toc25163"/>
      <w:r>
        <w:rPr>
          <w:rFonts w:hint="eastAsia" w:ascii="方正仿宋_GB2312" w:hAnsi="方正仿宋_GB2312" w:eastAsia="方正仿宋_GB2312" w:cs="方正仿宋_GB2312"/>
          <w:b/>
          <w:bCs w:val="0"/>
          <w:sz w:val="32"/>
          <w:szCs w:val="32"/>
        </w:rPr>
        <w:t>一、《示范文本》的组成</w:t>
      </w:r>
      <w:bookmarkEnd w:id="505"/>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《示范文本》由合同协议书、通用合同条款和专用合同条款三部分组成。</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bookmarkStart w:id="506" w:name="_Toc26436"/>
      <w:r>
        <w:rPr>
          <w:rFonts w:hint="eastAsia" w:ascii="方正仿宋_GB2312" w:hAnsi="方正仿宋_GB2312" w:eastAsia="方正仿宋_GB2312" w:cs="方正仿宋_GB2312"/>
          <w:sz w:val="32"/>
          <w:szCs w:val="32"/>
        </w:rPr>
        <w:t>（一）合同协议书</w:t>
      </w:r>
      <w:bookmarkEnd w:id="506"/>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bookmarkStart w:id="507" w:name="_Toc16079"/>
      <w:r>
        <w:rPr>
          <w:rFonts w:hint="eastAsia" w:ascii="方正仿宋_GB2312" w:hAnsi="方正仿宋_GB2312" w:eastAsia="方正仿宋_GB2312" w:cs="方正仿宋_GB2312"/>
          <w:sz w:val="32"/>
          <w:szCs w:val="32"/>
        </w:rPr>
        <w:t>（二）通用合同条款</w:t>
      </w:r>
      <w:bookmarkEnd w:id="507"/>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通用合同条款是合同当事人根据《中华人民共和国建筑法》、《中华人民共和国合同法》等法律法规的规定，就工程建设的实施及相关事项，对合同当事人的权利义务作出的原则性约定。</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bookmarkStart w:id="508" w:name="_Toc28415"/>
      <w:r>
        <w:rPr>
          <w:rFonts w:hint="eastAsia" w:ascii="方正仿宋_GB2312" w:hAnsi="方正仿宋_GB2312" w:eastAsia="方正仿宋_GB2312" w:cs="方正仿宋_GB2312"/>
          <w:sz w:val="32"/>
          <w:szCs w:val="32"/>
        </w:rPr>
        <w:t>（三）专用合同条款</w:t>
      </w:r>
      <w:bookmarkEnd w:id="508"/>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keepNext w:val="0"/>
        <w:keepLines w:val="0"/>
        <w:pageBreakBefore w:val="0"/>
        <w:widowControl w:val="0"/>
        <w:kinsoku/>
        <w:wordWrap/>
        <w:overflowPunct/>
        <w:topLinePunct w:val="0"/>
        <w:autoSpaceDE/>
        <w:autoSpaceDN/>
        <w:bidi w:val="0"/>
        <w:adjustRightInd/>
        <w:snapToGrid/>
        <w:spacing w:line="440" w:lineRule="exact"/>
        <w:ind w:right="25" w:rightChars="12"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专用合同条款的编号应与相应的通用合同条款的编号一致；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合同当事人可以通过对专用合同条款的修改，满足具体建设工程的特殊要求，避免直接修改通用合同条款；</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在专用合同条款中有横道线的地方，合同当事人可针对相应的通用合同条款进行细化、完善、补充、修改或另行约定；如无细化、完善、补充、修改或另行约定，则填写“无”或划“/”。</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方正仿宋_GB2312" w:hAnsi="方正仿宋_GB2312" w:eastAsia="方正仿宋_GB2312" w:cs="方正仿宋_GB2312"/>
          <w:b/>
          <w:bCs w:val="0"/>
          <w:sz w:val="32"/>
          <w:szCs w:val="32"/>
        </w:rPr>
      </w:pPr>
      <w:bookmarkStart w:id="509" w:name="_Toc15208"/>
      <w:r>
        <w:rPr>
          <w:rFonts w:hint="eastAsia" w:ascii="方正仿宋_GB2312" w:hAnsi="方正仿宋_GB2312" w:eastAsia="方正仿宋_GB2312" w:cs="方正仿宋_GB2312"/>
          <w:b/>
          <w:bCs w:val="0"/>
          <w:sz w:val="32"/>
          <w:szCs w:val="32"/>
        </w:rPr>
        <w:t>二、《示范文本》的性质和适用范围</w:t>
      </w:r>
      <w:bookmarkEnd w:id="509"/>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sectPr>
          <w:footerReference r:id="rId6" w:type="default"/>
          <w:pgSz w:w="11906" w:h="16838"/>
          <w:pgMar w:top="2098" w:right="1531" w:bottom="1984" w:left="1531"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方正仿宋_GB2312" w:hAnsi="方正仿宋_GB2312" w:eastAsia="方正仿宋_GB2312" w:cs="方正仿宋_GB2312"/>
          <w:sz w:val="32"/>
          <w:szCs w:val="32"/>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pStyle w:val="3"/>
        <w:pageBreakBefore w:val="0"/>
        <w:kinsoku/>
        <w:bidi w:val="0"/>
        <w:spacing w:line="440" w:lineRule="exact"/>
        <w:ind w:firstLine="0" w:firstLineChars="0"/>
        <w:jc w:val="center"/>
        <w:outlineLvl w:val="1"/>
        <w:rPr>
          <w:rFonts w:hint="eastAsia" w:ascii="方正仿宋_GB2312" w:hAnsi="方正仿宋_GB2312" w:eastAsia="方正仿宋_GB2312" w:cs="方正仿宋_GB2312"/>
          <w:b w:val="0"/>
          <w:color w:val="000000"/>
          <w:sz w:val="32"/>
          <w:szCs w:val="32"/>
        </w:rPr>
      </w:pPr>
      <w:bookmarkStart w:id="510" w:name="_Toc1839"/>
      <w:bookmarkStart w:id="511" w:name="_Toc24088"/>
      <w:bookmarkStart w:id="512" w:name="_Toc23316"/>
      <w:r>
        <w:rPr>
          <w:rFonts w:hint="eastAsia" w:ascii="方正仿宋_GB2312" w:hAnsi="方正仿宋_GB2312" w:eastAsia="方正仿宋_GB2312" w:cs="方正仿宋_GB2312"/>
          <w:sz w:val="32"/>
          <w:szCs w:val="32"/>
        </w:rPr>
        <w:t>第一部分 合同协议书</w:t>
      </w:r>
      <w:bookmarkEnd w:id="503"/>
      <w:bookmarkEnd w:id="504"/>
      <w:bookmarkEnd w:id="510"/>
      <w:bookmarkEnd w:id="511"/>
      <w:bookmarkEnd w:id="512"/>
    </w:p>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b/>
          <w:color w:val="000000"/>
          <w:sz w:val="32"/>
          <w:szCs w:val="32"/>
          <w:u w:val="single"/>
        </w:rPr>
      </w:pPr>
      <w:r>
        <w:rPr>
          <w:rFonts w:hint="eastAsia" w:ascii="方正仿宋_GB2312" w:hAnsi="方正仿宋_GB2312" w:eastAsia="方正仿宋_GB2312" w:cs="方正仿宋_GB2312"/>
          <w:b/>
          <w:color w:val="000000"/>
          <w:sz w:val="32"/>
          <w:szCs w:val="32"/>
        </w:rPr>
        <w:t>发包人（全称）：</w:t>
      </w:r>
      <w:r>
        <w:rPr>
          <w:rFonts w:hint="eastAsia" w:ascii="方正仿宋_GB2312" w:hAnsi="方正仿宋_GB2312" w:eastAsia="方正仿宋_GB2312" w:cs="方正仿宋_GB2312"/>
          <w:b/>
          <w:color w:val="000000"/>
          <w:sz w:val="32"/>
          <w:szCs w:val="32"/>
          <w:u w:val="single"/>
        </w:rPr>
        <w:t>                       </w:t>
      </w:r>
    </w:p>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b/>
          <w:color w:val="000000"/>
          <w:sz w:val="32"/>
          <w:szCs w:val="32"/>
          <w:u w:val="single"/>
        </w:rPr>
      </w:pPr>
      <w:r>
        <w:rPr>
          <w:rFonts w:hint="eastAsia" w:ascii="方正仿宋_GB2312" w:hAnsi="方正仿宋_GB2312" w:eastAsia="方正仿宋_GB2312" w:cs="方正仿宋_GB2312"/>
          <w:b/>
          <w:color w:val="000000"/>
          <w:sz w:val="32"/>
          <w:szCs w:val="32"/>
        </w:rPr>
        <w:t>承包人（全称）：</w:t>
      </w:r>
      <w:r>
        <w:rPr>
          <w:rFonts w:hint="eastAsia" w:ascii="方正仿宋_GB2312" w:hAnsi="方正仿宋_GB2312" w:eastAsia="方正仿宋_GB2312" w:cs="方正仿宋_GB2312"/>
          <w:b/>
          <w:color w:val="000000"/>
          <w:sz w:val="32"/>
          <w:szCs w:val="32"/>
          <w:u w:val="single"/>
        </w:rPr>
        <w:t>                      </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根据《中华人民共和国合同法》、《中华人民共和国建筑法》及有关法律规定，遵循平等、自愿、公平和诚实信用的原则，双方就</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工程施工及有关事项协商一致，共同达成如下协议：</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13" w:name="_Toc1203"/>
      <w:bookmarkStart w:id="514" w:name="_Toc23342"/>
      <w:bookmarkStart w:id="515" w:name="_Toc30639"/>
      <w:r>
        <w:rPr>
          <w:rFonts w:hint="eastAsia" w:ascii="方正仿宋_GB2312" w:hAnsi="方正仿宋_GB2312" w:eastAsia="方正仿宋_GB2312" w:cs="方正仿宋_GB2312"/>
          <w:b/>
          <w:bCs w:val="0"/>
          <w:color w:val="000000"/>
          <w:sz w:val="32"/>
          <w:szCs w:val="32"/>
        </w:rPr>
        <w:t>一、工程概况</w:t>
      </w:r>
      <w:bookmarkEnd w:id="513"/>
      <w:bookmarkEnd w:id="514"/>
      <w:bookmarkEnd w:id="515"/>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bCs/>
          <w:color w:val="000000"/>
          <w:sz w:val="32"/>
          <w:szCs w:val="32"/>
        </w:rPr>
        <w:t>1.工程名称</w:t>
      </w:r>
      <w:r>
        <w:rPr>
          <w:rFonts w:hint="eastAsia" w:ascii="方正仿宋_GB2312" w:hAnsi="方正仿宋_GB2312" w:eastAsia="方正仿宋_GB2312" w:cs="方正仿宋_GB2312"/>
          <w:color w:val="000000"/>
          <w:sz w:val="32"/>
          <w:szCs w:val="32"/>
        </w:rPr>
        <w:t>：</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2.工程地点：</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3.工程立项批准文号：</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bCs/>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4.资金来源：</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bCs/>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5.工程内容：</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bCs/>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color w:val="000000"/>
          <w:sz w:val="32"/>
          <w:szCs w:val="32"/>
        </w:rPr>
        <w:t>群体工程应附《承包人承揽工程项目一览表》（附件1）。</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bCs/>
          <w:color w:val="000000"/>
          <w:sz w:val="32"/>
          <w:szCs w:val="32"/>
        </w:rPr>
        <w:t>6.工程承包范围：</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16" w:name="_Toc17544"/>
      <w:bookmarkStart w:id="517" w:name="_Toc25264"/>
      <w:bookmarkStart w:id="518" w:name="_Toc24345"/>
      <w:r>
        <w:rPr>
          <w:rFonts w:hint="eastAsia" w:ascii="方正仿宋_GB2312" w:hAnsi="方正仿宋_GB2312" w:eastAsia="方正仿宋_GB2312" w:cs="方正仿宋_GB2312"/>
          <w:b/>
          <w:bCs w:val="0"/>
          <w:color w:val="000000"/>
          <w:sz w:val="32"/>
          <w:szCs w:val="32"/>
        </w:rPr>
        <w:t>二、合同工期</w:t>
      </w:r>
      <w:bookmarkEnd w:id="516"/>
      <w:bookmarkEnd w:id="517"/>
      <w:bookmarkEnd w:id="518"/>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计划开工日期：</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月</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日。</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计划竣工日期：</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月</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日。</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工期总日历天数：</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天。工期总日历天数与根据前述计划开竣工日期计算的工期天数不一致的，以工期总日历天数为准。</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19" w:name="_Toc15513"/>
      <w:bookmarkStart w:id="520" w:name="_Toc9165"/>
      <w:bookmarkStart w:id="521" w:name="_Toc21472"/>
      <w:r>
        <w:rPr>
          <w:rFonts w:hint="eastAsia" w:ascii="方正仿宋_GB2312" w:hAnsi="方正仿宋_GB2312" w:eastAsia="方正仿宋_GB2312" w:cs="方正仿宋_GB2312"/>
          <w:b/>
          <w:bCs w:val="0"/>
          <w:color w:val="000000"/>
          <w:sz w:val="32"/>
          <w:szCs w:val="32"/>
        </w:rPr>
        <w:t>三、质量标准</w:t>
      </w:r>
      <w:bookmarkEnd w:id="519"/>
      <w:bookmarkEnd w:id="520"/>
      <w:bookmarkEnd w:id="521"/>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工程质量符合</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标准。</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Cs w:val="0"/>
          <w:color w:val="000000"/>
          <w:sz w:val="32"/>
          <w:szCs w:val="32"/>
        </w:rPr>
      </w:pPr>
      <w:bookmarkStart w:id="522" w:name="_Toc19371"/>
      <w:bookmarkStart w:id="523" w:name="_Toc7612"/>
      <w:bookmarkStart w:id="524" w:name="_Toc3180"/>
      <w:r>
        <w:rPr>
          <w:rFonts w:hint="eastAsia" w:ascii="方正仿宋_GB2312" w:hAnsi="方正仿宋_GB2312" w:eastAsia="方正仿宋_GB2312" w:cs="方正仿宋_GB2312"/>
          <w:b/>
          <w:bCs w:val="0"/>
          <w:color w:val="000000"/>
          <w:sz w:val="32"/>
          <w:szCs w:val="32"/>
        </w:rPr>
        <w:t>四、签约合同价与合同价格形式</w:t>
      </w:r>
      <w:bookmarkEnd w:id="522"/>
      <w:bookmarkEnd w:id="523"/>
      <w:bookmarkEnd w:id="524"/>
      <w:r>
        <w:rPr>
          <w:rFonts w:hint="eastAsia" w:ascii="方正仿宋_GB2312" w:hAnsi="方正仿宋_GB2312" w:eastAsia="方正仿宋_GB2312" w:cs="方正仿宋_GB2312"/>
          <w:b w:val="0"/>
          <w:color w:val="000000"/>
          <w:sz w:val="32"/>
          <w:szCs w:val="32"/>
        </w:rPr>
        <w:tab/>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1.签约合同价为：</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人民币（大写）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元)；</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其中：</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（1）安全文明施工费：</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人民币（大写）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元)；</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（2）材料和工程设备暂估价金额：</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人民币（大写）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元)；</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（3）专业工程暂估价金额：</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人民币（大写）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元)；</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（4）暂列金额：</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人民币（大写）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元)。</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2.合同价格形式：</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25" w:name="_Toc5719"/>
      <w:bookmarkStart w:id="526" w:name="_Toc27532"/>
      <w:bookmarkStart w:id="527" w:name="_Toc7897"/>
      <w:r>
        <w:rPr>
          <w:rFonts w:hint="eastAsia" w:ascii="方正仿宋_GB2312" w:hAnsi="方正仿宋_GB2312" w:eastAsia="方正仿宋_GB2312" w:cs="方正仿宋_GB2312"/>
          <w:b/>
          <w:bCs w:val="0"/>
          <w:color w:val="000000"/>
          <w:sz w:val="32"/>
          <w:szCs w:val="32"/>
        </w:rPr>
        <w:t>五、项目经理</w:t>
      </w:r>
      <w:bookmarkEnd w:id="525"/>
      <w:bookmarkEnd w:id="526"/>
      <w:bookmarkEnd w:id="527"/>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承包人项目经理：</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28" w:name="_Toc13656"/>
      <w:bookmarkStart w:id="529" w:name="_Toc13554"/>
      <w:bookmarkStart w:id="530" w:name="_Toc12689"/>
      <w:r>
        <w:rPr>
          <w:rFonts w:hint="eastAsia" w:ascii="方正仿宋_GB2312" w:hAnsi="方正仿宋_GB2312" w:eastAsia="方正仿宋_GB2312" w:cs="方正仿宋_GB2312"/>
          <w:b/>
          <w:bCs w:val="0"/>
          <w:color w:val="000000"/>
          <w:sz w:val="32"/>
          <w:szCs w:val="32"/>
        </w:rPr>
        <w:t>六、合同文件构成</w:t>
      </w:r>
      <w:bookmarkEnd w:id="528"/>
      <w:bookmarkEnd w:id="529"/>
      <w:bookmarkEnd w:id="530"/>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本协议书与下列文件一起构成合同文件：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（1）中标通知书（如果有）；</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 xml:space="preserve">（2）投标函及其附录（如果有）；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（3）专用合同条款及其附件；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（4）通用合同条款；</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（5）技术标准和要求；</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（6）图纸；</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（7）已标价工程量清单或预算书；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（8）其他合同文件。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上述各项合同文件包括合同当事人就该项合同文件所作出的补充和修改，属于同一类内容的文件，应以最新签署的为准。专用合同条款及其附件须经合同当事人签字或盖章。</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31" w:name="_Toc27730"/>
      <w:bookmarkStart w:id="532" w:name="_Toc23484"/>
      <w:bookmarkStart w:id="533" w:name="_Toc20268"/>
      <w:r>
        <w:rPr>
          <w:rFonts w:hint="eastAsia" w:ascii="方正仿宋_GB2312" w:hAnsi="方正仿宋_GB2312" w:eastAsia="方正仿宋_GB2312" w:cs="方正仿宋_GB2312"/>
          <w:b/>
          <w:bCs w:val="0"/>
          <w:color w:val="000000"/>
          <w:sz w:val="32"/>
          <w:szCs w:val="32"/>
        </w:rPr>
        <w:t>七、承诺</w:t>
      </w:r>
      <w:bookmarkEnd w:id="531"/>
      <w:bookmarkEnd w:id="532"/>
      <w:bookmarkEnd w:id="533"/>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1.发包人承诺按照法律规定履行项目审批手续、筹集工程建设资金并按照合同约定的期限和方式支付合同价款。</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2.承包人承诺按照法律规定及合同约定组织完成工程施工，确保工程质量和安全，不进行转包及违法分包，并在缺陷责任期及保修期内承担相应的工程维修责任。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3.发包人和承包人通过招投标形式签订合同的，双方理解并承诺不再就同一工程另行签订与合同实质性内容相背离的协议。</w:t>
      </w:r>
    </w:p>
    <w:p>
      <w:pPr>
        <w:pageBreakBefore w:val="0"/>
        <w:widowControl w:val="0"/>
        <w:kinsoku/>
        <w:wordWrap/>
        <w:overflowPunct/>
        <w:topLinePunct w:val="0"/>
        <w:bidi w:val="0"/>
        <w:snapToGrid/>
        <w:spacing w:line="440" w:lineRule="exact"/>
        <w:ind w:firstLine="643" w:firstLineChars="200"/>
        <w:textAlignment w:val="auto"/>
        <w:outlineLvl w:val="2"/>
        <w:rPr>
          <w:rFonts w:hint="eastAsia" w:ascii="方正仿宋_GB2312" w:hAnsi="方正仿宋_GB2312" w:eastAsia="方正仿宋_GB2312" w:cs="方正仿宋_GB2312"/>
          <w:bCs/>
          <w:color w:val="000000"/>
          <w:sz w:val="32"/>
          <w:szCs w:val="32"/>
        </w:rPr>
      </w:pPr>
      <w:bookmarkStart w:id="534" w:name="_Toc23620"/>
      <w:r>
        <w:rPr>
          <w:rFonts w:hint="eastAsia" w:ascii="方正仿宋_GB2312" w:hAnsi="方正仿宋_GB2312" w:eastAsia="方正仿宋_GB2312" w:cs="方正仿宋_GB2312"/>
          <w:b/>
          <w:color w:val="000000"/>
          <w:sz w:val="32"/>
          <w:szCs w:val="32"/>
        </w:rPr>
        <w:t>八、词语含义</w:t>
      </w:r>
      <w:bookmarkEnd w:id="534"/>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本协议书中词语含义与第二部分通用合同条款中赋予的含义相同。</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35" w:name="_Toc259"/>
      <w:bookmarkStart w:id="536" w:name="_Toc12397"/>
      <w:bookmarkStart w:id="537" w:name="_Toc29000"/>
      <w:r>
        <w:rPr>
          <w:rFonts w:hint="eastAsia" w:ascii="方正仿宋_GB2312" w:hAnsi="方正仿宋_GB2312" w:eastAsia="方正仿宋_GB2312" w:cs="方正仿宋_GB2312"/>
          <w:b/>
          <w:bCs w:val="0"/>
          <w:color w:val="000000"/>
          <w:sz w:val="32"/>
          <w:szCs w:val="32"/>
        </w:rPr>
        <w:t>九、签订时间</w:t>
      </w:r>
      <w:bookmarkEnd w:id="535"/>
      <w:bookmarkEnd w:id="536"/>
      <w:bookmarkEnd w:id="537"/>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本合同于</w:t>
      </w:r>
      <w:r>
        <w:rPr>
          <w:rFonts w:hint="eastAsia" w:ascii="方正仿宋_GB2312" w:hAnsi="方正仿宋_GB2312" w:eastAsia="方正仿宋_GB2312" w:cs="方正仿宋_GB2312"/>
          <w:bCs/>
          <w:color w:val="000000"/>
          <w:sz w:val="32"/>
          <w:szCs w:val="32"/>
          <w:u w:val="single"/>
        </w:rPr>
        <w:t xml:space="preserve">         </w:t>
      </w:r>
      <w:r>
        <w:rPr>
          <w:rFonts w:hint="eastAsia" w:ascii="方正仿宋_GB2312" w:hAnsi="方正仿宋_GB2312" w:eastAsia="方正仿宋_GB2312" w:cs="方正仿宋_GB2312"/>
          <w:bCs/>
          <w:color w:val="000000"/>
          <w:sz w:val="32"/>
          <w:szCs w:val="32"/>
        </w:rPr>
        <w:t>年</w:t>
      </w:r>
      <w:r>
        <w:rPr>
          <w:rFonts w:hint="eastAsia" w:ascii="方正仿宋_GB2312" w:hAnsi="方正仿宋_GB2312" w:eastAsia="方正仿宋_GB2312" w:cs="方正仿宋_GB2312"/>
          <w:bCs/>
          <w:color w:val="000000"/>
          <w:sz w:val="32"/>
          <w:szCs w:val="32"/>
          <w:u w:val="single"/>
        </w:rPr>
        <w:t xml:space="preserve">    </w:t>
      </w:r>
      <w:r>
        <w:rPr>
          <w:rFonts w:hint="eastAsia" w:ascii="方正仿宋_GB2312" w:hAnsi="方正仿宋_GB2312" w:eastAsia="方正仿宋_GB2312" w:cs="方正仿宋_GB2312"/>
          <w:bCs/>
          <w:color w:val="000000"/>
          <w:sz w:val="32"/>
          <w:szCs w:val="32"/>
        </w:rPr>
        <w:t>月</w:t>
      </w:r>
      <w:r>
        <w:rPr>
          <w:rFonts w:hint="eastAsia" w:ascii="方正仿宋_GB2312" w:hAnsi="方正仿宋_GB2312" w:eastAsia="方正仿宋_GB2312" w:cs="方正仿宋_GB2312"/>
          <w:bCs/>
          <w:color w:val="000000"/>
          <w:sz w:val="32"/>
          <w:szCs w:val="32"/>
          <w:u w:val="single"/>
        </w:rPr>
        <w:t xml:space="preserve">    </w:t>
      </w:r>
      <w:r>
        <w:rPr>
          <w:rFonts w:hint="eastAsia" w:ascii="方正仿宋_GB2312" w:hAnsi="方正仿宋_GB2312" w:eastAsia="方正仿宋_GB2312" w:cs="方正仿宋_GB2312"/>
          <w:bCs/>
          <w:color w:val="000000"/>
          <w:sz w:val="32"/>
          <w:szCs w:val="32"/>
        </w:rPr>
        <w:t>日签订。</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38" w:name="_Toc7595"/>
      <w:bookmarkStart w:id="539" w:name="_Toc30069"/>
      <w:bookmarkStart w:id="540" w:name="_Toc846"/>
      <w:r>
        <w:rPr>
          <w:rFonts w:hint="eastAsia" w:ascii="方正仿宋_GB2312" w:hAnsi="方正仿宋_GB2312" w:eastAsia="方正仿宋_GB2312" w:cs="方正仿宋_GB2312"/>
          <w:b/>
          <w:bCs w:val="0"/>
          <w:color w:val="000000"/>
          <w:sz w:val="32"/>
          <w:szCs w:val="32"/>
        </w:rPr>
        <w:t>十、签订地点</w:t>
      </w:r>
      <w:bookmarkEnd w:id="538"/>
      <w:bookmarkEnd w:id="539"/>
      <w:bookmarkEnd w:id="540"/>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本合同在</w:t>
      </w:r>
      <w:r>
        <w:rPr>
          <w:rFonts w:hint="eastAsia" w:ascii="方正仿宋_GB2312" w:hAnsi="方正仿宋_GB2312" w:eastAsia="方正仿宋_GB2312" w:cs="方正仿宋_GB2312"/>
          <w:bCs/>
          <w:color w:val="000000"/>
          <w:sz w:val="32"/>
          <w:szCs w:val="32"/>
          <w:u w:val="single"/>
        </w:rPr>
        <w:t xml:space="preserve">                                    </w:t>
      </w:r>
      <w:r>
        <w:rPr>
          <w:rFonts w:hint="eastAsia" w:ascii="方正仿宋_GB2312" w:hAnsi="方正仿宋_GB2312" w:eastAsia="方正仿宋_GB2312" w:cs="方正仿宋_GB2312"/>
          <w:bCs/>
          <w:color w:val="000000"/>
          <w:sz w:val="32"/>
          <w:szCs w:val="32"/>
        </w:rPr>
        <w:t>签订。</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41" w:name="_Toc31708"/>
      <w:bookmarkStart w:id="542" w:name="_Toc21359"/>
      <w:bookmarkStart w:id="543" w:name="_Toc28350"/>
      <w:r>
        <w:rPr>
          <w:rFonts w:hint="eastAsia" w:ascii="方正仿宋_GB2312" w:hAnsi="方正仿宋_GB2312" w:eastAsia="方正仿宋_GB2312" w:cs="方正仿宋_GB2312"/>
          <w:b/>
          <w:bCs w:val="0"/>
          <w:color w:val="000000"/>
          <w:sz w:val="32"/>
          <w:szCs w:val="32"/>
        </w:rPr>
        <w:t>十一、补充协议</w:t>
      </w:r>
      <w:bookmarkEnd w:id="541"/>
      <w:bookmarkEnd w:id="542"/>
      <w:bookmarkEnd w:id="543"/>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bCs/>
          <w:color w:val="000000"/>
          <w:sz w:val="32"/>
          <w:szCs w:val="32"/>
        </w:rPr>
      </w:pPr>
      <w:r>
        <w:rPr>
          <w:rFonts w:hint="eastAsia" w:ascii="方正仿宋_GB2312" w:hAnsi="方正仿宋_GB2312" w:eastAsia="方正仿宋_GB2312" w:cs="方正仿宋_GB2312"/>
          <w:bCs/>
          <w:color w:val="000000"/>
          <w:sz w:val="32"/>
          <w:szCs w:val="32"/>
        </w:rPr>
        <w:t>合同未尽事宜，合同当事人另行签订补充协议，补充协议是合同的组成部分。</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44" w:name="_Toc17138"/>
      <w:bookmarkStart w:id="545" w:name="_Toc30702"/>
      <w:bookmarkStart w:id="546" w:name="_Toc17067"/>
      <w:r>
        <w:rPr>
          <w:rFonts w:hint="eastAsia" w:ascii="方正仿宋_GB2312" w:hAnsi="方正仿宋_GB2312" w:eastAsia="方正仿宋_GB2312" w:cs="方正仿宋_GB2312"/>
          <w:b/>
          <w:bCs w:val="0"/>
          <w:color w:val="000000"/>
          <w:sz w:val="32"/>
          <w:szCs w:val="32"/>
        </w:rPr>
        <w:t>十二、合同生效</w:t>
      </w:r>
      <w:bookmarkEnd w:id="544"/>
      <w:bookmarkEnd w:id="545"/>
      <w:bookmarkEnd w:id="546"/>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本合同自</w:t>
      </w:r>
      <w:r>
        <w:rPr>
          <w:rFonts w:hint="eastAsia" w:ascii="方正仿宋_GB2312" w:hAnsi="方正仿宋_GB2312" w:eastAsia="方正仿宋_GB2312" w:cs="方正仿宋_GB2312"/>
          <w:bCs/>
          <w:color w:val="000000"/>
          <w:sz w:val="32"/>
          <w:szCs w:val="32"/>
          <w:u w:val="single"/>
        </w:rPr>
        <w:t xml:space="preserve">                                   </w:t>
      </w:r>
      <w:r>
        <w:rPr>
          <w:rFonts w:hint="eastAsia" w:ascii="方正仿宋_GB2312" w:hAnsi="方正仿宋_GB2312" w:eastAsia="方正仿宋_GB2312" w:cs="方正仿宋_GB2312"/>
          <w:bCs/>
          <w:color w:val="000000"/>
          <w:sz w:val="32"/>
          <w:szCs w:val="32"/>
        </w:rPr>
        <w:t>生效。</w:t>
      </w:r>
    </w:p>
    <w:p>
      <w:pPr>
        <w:pStyle w:val="4"/>
        <w:pageBreakBefore w:val="0"/>
        <w:widowControl w:val="0"/>
        <w:kinsoku/>
        <w:wordWrap/>
        <w:overflowPunct/>
        <w:topLinePunct w:val="0"/>
        <w:bidi w:val="0"/>
        <w:snapToGrid/>
        <w:spacing w:before="120" w:after="120" w:line="440" w:lineRule="exact"/>
        <w:ind w:firstLine="643" w:firstLineChars="200"/>
        <w:textAlignment w:val="auto"/>
        <w:outlineLvl w:val="2"/>
        <w:rPr>
          <w:rFonts w:hint="eastAsia" w:ascii="方正仿宋_GB2312" w:hAnsi="方正仿宋_GB2312" w:eastAsia="方正仿宋_GB2312" w:cs="方正仿宋_GB2312"/>
          <w:b/>
          <w:bCs w:val="0"/>
          <w:color w:val="000000"/>
          <w:sz w:val="32"/>
          <w:szCs w:val="32"/>
        </w:rPr>
      </w:pPr>
      <w:bookmarkStart w:id="547" w:name="_Toc26698"/>
      <w:bookmarkStart w:id="548" w:name="_Toc15796"/>
      <w:bookmarkStart w:id="549" w:name="_Toc31322"/>
      <w:r>
        <w:rPr>
          <w:rFonts w:hint="eastAsia" w:ascii="方正仿宋_GB2312" w:hAnsi="方正仿宋_GB2312" w:eastAsia="方正仿宋_GB2312" w:cs="方正仿宋_GB2312"/>
          <w:b/>
          <w:bCs w:val="0"/>
          <w:color w:val="000000"/>
          <w:sz w:val="32"/>
          <w:szCs w:val="32"/>
        </w:rPr>
        <w:t>十三、合同份数</w:t>
      </w:r>
      <w:bookmarkEnd w:id="547"/>
      <w:bookmarkEnd w:id="548"/>
      <w:bookmarkEnd w:id="549"/>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r>
        <w:rPr>
          <w:rFonts w:hint="eastAsia" w:ascii="方正仿宋_GB2312" w:hAnsi="方正仿宋_GB2312" w:eastAsia="方正仿宋_GB2312" w:cs="方正仿宋_GB2312"/>
          <w:bCs/>
          <w:color w:val="000000"/>
          <w:sz w:val="32"/>
          <w:szCs w:val="32"/>
        </w:rPr>
        <w:t>本合同一式</w:t>
      </w:r>
      <w:r>
        <w:rPr>
          <w:rFonts w:hint="eastAsia" w:ascii="方正仿宋_GB2312" w:hAnsi="方正仿宋_GB2312" w:eastAsia="方正仿宋_GB2312" w:cs="方正仿宋_GB2312"/>
          <w:bCs/>
          <w:color w:val="000000"/>
          <w:sz w:val="32"/>
          <w:szCs w:val="32"/>
          <w:u w:val="single"/>
        </w:rPr>
        <w:t xml:space="preserve">    </w:t>
      </w:r>
      <w:r>
        <w:rPr>
          <w:rFonts w:hint="eastAsia" w:ascii="方正仿宋_GB2312" w:hAnsi="方正仿宋_GB2312" w:eastAsia="方正仿宋_GB2312" w:cs="方正仿宋_GB2312"/>
          <w:bCs/>
          <w:color w:val="000000"/>
          <w:sz w:val="32"/>
          <w:szCs w:val="32"/>
        </w:rPr>
        <w:t>份，均具有同等法律效力，发包人执</w:t>
      </w:r>
      <w:r>
        <w:rPr>
          <w:rFonts w:hint="eastAsia" w:ascii="方正仿宋_GB2312" w:hAnsi="方正仿宋_GB2312" w:eastAsia="方正仿宋_GB2312" w:cs="方正仿宋_GB2312"/>
          <w:bCs/>
          <w:color w:val="000000"/>
          <w:sz w:val="32"/>
          <w:szCs w:val="32"/>
          <w:u w:val="single"/>
        </w:rPr>
        <w:t xml:space="preserve">    </w:t>
      </w:r>
      <w:r>
        <w:rPr>
          <w:rFonts w:hint="eastAsia" w:ascii="方正仿宋_GB2312" w:hAnsi="方正仿宋_GB2312" w:eastAsia="方正仿宋_GB2312" w:cs="方正仿宋_GB2312"/>
          <w:bCs/>
          <w:color w:val="000000"/>
          <w:sz w:val="32"/>
          <w:szCs w:val="32"/>
        </w:rPr>
        <w:t>份，承包人执</w:t>
      </w:r>
      <w:r>
        <w:rPr>
          <w:rFonts w:hint="eastAsia" w:ascii="方正仿宋_GB2312" w:hAnsi="方正仿宋_GB2312" w:eastAsia="方正仿宋_GB2312" w:cs="方正仿宋_GB2312"/>
          <w:bCs/>
          <w:color w:val="000000"/>
          <w:sz w:val="32"/>
          <w:szCs w:val="32"/>
          <w:u w:val="single"/>
        </w:rPr>
        <w:t xml:space="preserve">    </w:t>
      </w:r>
      <w:r>
        <w:rPr>
          <w:rFonts w:hint="eastAsia" w:ascii="方正仿宋_GB2312" w:hAnsi="方正仿宋_GB2312" w:eastAsia="方正仿宋_GB2312" w:cs="方正仿宋_GB2312"/>
          <w:bCs/>
          <w:color w:val="000000"/>
          <w:sz w:val="32"/>
          <w:szCs w:val="32"/>
        </w:rPr>
        <w:t>份。</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Cs/>
          <w:color w:val="000000"/>
          <w:sz w:val="32"/>
          <w:szCs w:val="32"/>
        </w:rPr>
      </w:pPr>
    </w:p>
    <w:p>
      <w:pPr>
        <w:pageBreakBefore w:val="0"/>
        <w:widowControl w:val="0"/>
        <w:kinsoku/>
        <w:wordWrap/>
        <w:overflowPunct/>
        <w:topLinePunct w:val="0"/>
        <w:bidi w:val="0"/>
        <w:snapToGrid/>
        <w:spacing w:line="440" w:lineRule="exact"/>
        <w:ind w:firstLine="0" w:firstLineChars="0"/>
        <w:textAlignment w:val="auto"/>
        <w:rPr>
          <w:rFonts w:hint="eastAsia" w:ascii="方正仿宋_GB2312" w:hAnsi="方正仿宋_GB2312" w:eastAsia="方正仿宋_GB2312" w:cs="方正仿宋_GB2312"/>
          <w:bCs/>
          <w:color w:val="000000"/>
          <w:sz w:val="32"/>
          <w:szCs w:val="32"/>
        </w:rPr>
      </w:pPr>
    </w:p>
    <w:p>
      <w:pPr>
        <w:pageBreakBefore w:val="0"/>
        <w:widowControl w:val="0"/>
        <w:kinsoku/>
        <w:wordWrap/>
        <w:overflowPunct/>
        <w:topLinePunct w:val="0"/>
        <w:bidi w:val="0"/>
        <w:snapToGrid/>
        <w:spacing w:line="440" w:lineRule="exact"/>
        <w:ind w:firstLine="0" w:firstLineChars="0"/>
        <w:textAlignment w:val="auto"/>
        <w:rPr>
          <w:rFonts w:hint="eastAsia" w:ascii="方正仿宋_GB2312" w:hAnsi="方正仿宋_GB2312" w:eastAsia="方正仿宋_GB2312" w:cs="方正仿宋_GB2312"/>
          <w:bCs/>
          <w:color w:val="000000"/>
          <w:sz w:val="32"/>
          <w:szCs w:val="32"/>
        </w:rPr>
      </w:pPr>
    </w:p>
    <w:p>
      <w:pPr>
        <w:pageBreakBefore w:val="0"/>
        <w:widowControl w:val="0"/>
        <w:kinsoku/>
        <w:wordWrap/>
        <w:overflowPunct/>
        <w:topLinePunct w:val="0"/>
        <w:bidi w:val="0"/>
        <w:snapToGrid/>
        <w:spacing w:line="440" w:lineRule="exact"/>
        <w:ind w:firstLine="0" w:firstLineChars="0"/>
        <w:textAlignment w:val="auto"/>
        <w:rPr>
          <w:rFonts w:hint="eastAsia" w:ascii="方正仿宋_GB2312" w:hAnsi="方正仿宋_GB2312" w:eastAsia="方正仿宋_GB2312" w:cs="方正仿宋_GB2312"/>
          <w:bCs/>
          <w:color w:val="000000"/>
          <w:sz w:val="32"/>
          <w:szCs w:val="32"/>
        </w:rPr>
      </w:pPr>
    </w:p>
    <w:tbl>
      <w:tblPr>
        <w:tblStyle w:val="4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18"/>
        <w:gridCol w:w="45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发包人：  (公章)</w:t>
            </w:r>
          </w:p>
        </w:tc>
        <w:tc>
          <w:tcPr>
            <w:tcW w:w="4518" w:type="dxa"/>
          </w:tcPr>
          <w:p>
            <w:pPr>
              <w:pageBreakBefore w:val="0"/>
              <w:widowControl w:val="0"/>
              <w:kinsoku/>
              <w:wordWrap/>
              <w:overflowPunct/>
              <w:topLinePunct w:val="0"/>
              <w:bidi w:val="0"/>
              <w:snapToGrid/>
              <w:spacing w:line="440" w:lineRule="exact"/>
              <w:ind w:firstLine="0" w:firstLineChars="0"/>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 xml:space="preserve"> 承包人：  (公章)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法定代表人或其委托代理人：（签字）</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组织机构代码：</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组织机构代码：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地  址：</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地  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邮政编码：</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邮政编码：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lang w:eastAsia="zh-CN"/>
              </w:rPr>
            </w:pPr>
            <w:r>
              <w:rPr>
                <w:rFonts w:hint="eastAsia" w:ascii="方正仿宋_GB2312" w:hAnsi="方正仿宋_GB2312" w:eastAsia="方正仿宋_GB2312" w:cs="方正仿宋_GB2312"/>
                <w:color w:val="000000"/>
                <w:sz w:val="32"/>
                <w:szCs w:val="32"/>
              </w:rPr>
              <w:t>法定代表人</w:t>
            </w:r>
            <w:r>
              <w:rPr>
                <w:rFonts w:hint="eastAsia" w:ascii="方正仿宋_GB2312" w:hAnsi="方正仿宋_GB2312" w:eastAsia="方正仿宋_GB2312" w:cs="方正仿宋_GB2312"/>
                <w:color w:val="000000"/>
                <w:sz w:val="32"/>
                <w:szCs w:val="32"/>
                <w:lang w:eastAsia="zh-CN"/>
              </w:rPr>
              <w:t>：</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lang w:eastAsia="zh-CN"/>
              </w:rPr>
            </w:pPr>
            <w:r>
              <w:rPr>
                <w:rFonts w:hint="eastAsia" w:ascii="方正仿宋_GB2312" w:hAnsi="方正仿宋_GB2312" w:eastAsia="方正仿宋_GB2312" w:cs="方正仿宋_GB2312"/>
                <w:color w:val="000000"/>
                <w:sz w:val="32"/>
                <w:szCs w:val="32"/>
              </w:rPr>
              <w:t>法定代表人</w:t>
            </w:r>
            <w:r>
              <w:rPr>
                <w:rFonts w:hint="eastAsia" w:ascii="方正仿宋_GB2312" w:hAnsi="方正仿宋_GB2312" w:eastAsia="方正仿宋_GB2312" w:cs="方正仿宋_GB2312"/>
                <w:color w:val="000000"/>
                <w:sz w:val="32"/>
                <w:szCs w:val="3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lang w:eastAsia="zh-CN"/>
              </w:rPr>
            </w:pPr>
            <w:r>
              <w:rPr>
                <w:rFonts w:hint="eastAsia" w:ascii="方正仿宋_GB2312" w:hAnsi="方正仿宋_GB2312" w:eastAsia="方正仿宋_GB2312" w:cs="方正仿宋_GB2312"/>
                <w:color w:val="000000"/>
                <w:sz w:val="32"/>
                <w:szCs w:val="32"/>
              </w:rPr>
              <w:t>委托代理人</w:t>
            </w:r>
            <w:r>
              <w:rPr>
                <w:rFonts w:hint="eastAsia" w:ascii="方正仿宋_GB2312" w:hAnsi="方正仿宋_GB2312" w:eastAsia="方正仿宋_GB2312" w:cs="方正仿宋_GB2312"/>
                <w:color w:val="000000"/>
                <w:sz w:val="32"/>
                <w:szCs w:val="32"/>
                <w:lang w:eastAsia="zh-CN"/>
              </w:rPr>
              <w:t>：</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委托代理人</w:t>
            </w:r>
            <w:r>
              <w:rPr>
                <w:rFonts w:hint="eastAsia" w:ascii="方正仿宋_GB2312" w:hAnsi="方正仿宋_GB2312" w:eastAsia="方正仿宋_GB2312" w:cs="方正仿宋_GB2312"/>
                <w:color w:val="000000"/>
                <w:sz w:val="32"/>
                <w:szCs w:val="3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电  话：</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vertAlign w:val="baseline"/>
              </w:rPr>
            </w:pPr>
            <w:r>
              <w:rPr>
                <w:rFonts w:hint="eastAsia" w:ascii="方正仿宋_GB2312" w:hAnsi="方正仿宋_GB2312" w:eastAsia="方正仿宋_GB2312" w:cs="方正仿宋_GB2312"/>
                <w:color w:val="000000"/>
                <w:sz w:val="32"/>
                <w:szCs w:val="32"/>
              </w:rPr>
              <w:t>电  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传  真：</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传  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lang w:eastAsia="zh-CN"/>
              </w:rPr>
            </w:pPr>
            <w:r>
              <w:rPr>
                <w:rFonts w:hint="eastAsia" w:ascii="方正仿宋_GB2312" w:hAnsi="方正仿宋_GB2312" w:eastAsia="方正仿宋_GB2312" w:cs="方正仿宋_GB2312"/>
                <w:color w:val="000000"/>
                <w:sz w:val="32"/>
                <w:szCs w:val="32"/>
              </w:rPr>
              <w:t>电子信箱</w:t>
            </w:r>
            <w:r>
              <w:rPr>
                <w:rFonts w:hint="eastAsia" w:ascii="方正仿宋_GB2312" w:hAnsi="方正仿宋_GB2312" w:eastAsia="方正仿宋_GB2312" w:cs="方正仿宋_GB2312"/>
                <w:color w:val="000000"/>
                <w:sz w:val="32"/>
                <w:szCs w:val="32"/>
                <w:lang w:eastAsia="zh-CN"/>
              </w:rPr>
              <w:t>：</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lang w:eastAsia="zh-CN"/>
              </w:rPr>
            </w:pPr>
            <w:r>
              <w:rPr>
                <w:rFonts w:hint="eastAsia" w:ascii="方正仿宋_GB2312" w:hAnsi="方正仿宋_GB2312" w:eastAsia="方正仿宋_GB2312" w:cs="方正仿宋_GB2312"/>
                <w:color w:val="000000"/>
                <w:sz w:val="32"/>
                <w:szCs w:val="32"/>
              </w:rPr>
              <w:t>电子信箱</w:t>
            </w:r>
            <w:r>
              <w:rPr>
                <w:rFonts w:hint="eastAsia" w:ascii="方正仿宋_GB2312" w:hAnsi="方正仿宋_GB2312" w:eastAsia="方正仿宋_GB2312" w:cs="方正仿宋_GB2312"/>
                <w:color w:val="000000"/>
                <w:sz w:val="32"/>
                <w:szCs w:val="3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开户银行：</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账  号：</w:t>
            </w:r>
          </w:p>
        </w:tc>
        <w:tc>
          <w:tcPr>
            <w:tcW w:w="4518" w:type="dxa"/>
          </w:tcPr>
          <w:p>
            <w:pPr>
              <w:pageBreakBefore w:val="0"/>
              <w:widowControl w:val="0"/>
              <w:kinsoku/>
              <w:wordWrap/>
              <w:overflowPunct/>
              <w:topLinePunct w:val="0"/>
              <w:bidi w:val="0"/>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账  号：</w:t>
            </w:r>
          </w:p>
        </w:tc>
      </w:tr>
    </w:tbl>
    <w:p>
      <w:pPr>
        <w:pStyle w:val="3"/>
        <w:pageBreakBefore w:val="0"/>
        <w:widowControl w:val="0"/>
        <w:kinsoku/>
        <w:wordWrap/>
        <w:overflowPunct/>
        <w:topLinePunct w:val="0"/>
        <w:bidi w:val="0"/>
        <w:snapToGrid/>
        <w:spacing w:line="440" w:lineRule="exact"/>
        <w:ind w:firstLine="0" w:firstLineChars="0"/>
        <w:jc w:val="center"/>
        <w:textAlignment w:val="auto"/>
        <w:outlineLvl w:val="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br w:type="page"/>
      </w:r>
      <w:bookmarkStart w:id="550" w:name="_Toc9954"/>
      <w:bookmarkStart w:id="551" w:name="_Toc1182"/>
      <w:bookmarkStart w:id="552" w:name="_Toc7052"/>
      <w:r>
        <w:rPr>
          <w:rFonts w:hint="eastAsia" w:ascii="方正仿宋_GB2312" w:hAnsi="方正仿宋_GB2312" w:eastAsia="方正仿宋_GB2312" w:cs="方正仿宋_GB2312"/>
          <w:sz w:val="32"/>
          <w:szCs w:val="32"/>
        </w:rPr>
        <w:t>第二部分 通用合同条款</w:t>
      </w:r>
      <w:bookmarkEnd w:id="550"/>
      <w:bookmarkEnd w:id="551"/>
      <w:bookmarkEnd w:id="552"/>
      <w:bookmarkStart w:id="553" w:name="_Toc337558727"/>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554" w:name="_Toc21659"/>
      <w:bookmarkStart w:id="555" w:name="_Toc107"/>
      <w:bookmarkStart w:id="556" w:name="_Toc30567"/>
      <w:r>
        <w:rPr>
          <w:rFonts w:hint="eastAsia" w:ascii="方正仿宋_GB2312" w:hAnsi="方正仿宋_GB2312" w:eastAsia="方正仿宋_GB2312" w:cs="方正仿宋_GB2312"/>
          <w:b w:val="0"/>
          <w:color w:val="000000"/>
          <w:sz w:val="32"/>
          <w:szCs w:val="32"/>
        </w:rPr>
        <w:t>1.</w:t>
      </w:r>
      <w:bookmarkStart w:id="557" w:name="_Toc303538972"/>
      <w:bookmarkEnd w:id="557"/>
      <w:bookmarkStart w:id="558" w:name="_Toc303538975"/>
      <w:bookmarkEnd w:id="558"/>
      <w:bookmarkStart w:id="559" w:name="_Toc303538974"/>
      <w:bookmarkEnd w:id="559"/>
      <w:bookmarkStart w:id="560" w:name="_Toc303538976"/>
      <w:bookmarkEnd w:id="560"/>
      <w:bookmarkStart w:id="561" w:name="_Toc303538973"/>
      <w:bookmarkEnd w:id="561"/>
      <w:bookmarkStart w:id="562" w:name="_Toc296503027"/>
      <w:bookmarkStart w:id="563" w:name="_Toc296346528"/>
      <w:r>
        <w:rPr>
          <w:rFonts w:hint="eastAsia" w:ascii="方正仿宋_GB2312" w:hAnsi="方正仿宋_GB2312" w:eastAsia="方正仿宋_GB2312" w:cs="方正仿宋_GB2312"/>
          <w:b w:val="0"/>
          <w:color w:val="000000"/>
          <w:sz w:val="32"/>
          <w:szCs w:val="32"/>
        </w:rPr>
        <w:t xml:space="preserve"> 一般约定</w:t>
      </w:r>
      <w:bookmarkEnd w:id="553"/>
      <w:bookmarkEnd w:id="554"/>
      <w:bookmarkEnd w:id="555"/>
      <w:bookmarkEnd w:id="556"/>
      <w:bookmarkEnd w:id="562"/>
      <w:bookmarkEnd w:id="563"/>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64" w:name="_Toc296346529"/>
      <w:bookmarkStart w:id="565" w:name="_Toc337558728"/>
      <w:bookmarkStart w:id="566" w:name="_Toc296503028"/>
      <w:bookmarkStart w:id="567" w:name="_Toc28197"/>
      <w:r>
        <w:rPr>
          <w:rFonts w:hint="eastAsia" w:ascii="方正仿宋_GB2312" w:hAnsi="方正仿宋_GB2312" w:eastAsia="方正仿宋_GB2312" w:cs="方正仿宋_GB2312"/>
          <w:b w:val="0"/>
          <w:color w:val="000000"/>
          <w:sz w:val="32"/>
          <w:szCs w:val="32"/>
        </w:rPr>
        <w:t>1.1词语定义</w:t>
      </w:r>
      <w:bookmarkEnd w:id="564"/>
      <w:bookmarkEnd w:id="565"/>
      <w:bookmarkEnd w:id="566"/>
      <w:r>
        <w:rPr>
          <w:rFonts w:hint="eastAsia" w:ascii="方正仿宋_GB2312" w:hAnsi="方正仿宋_GB2312" w:eastAsia="方正仿宋_GB2312" w:cs="方正仿宋_GB2312"/>
          <w:b w:val="0"/>
          <w:color w:val="000000"/>
          <w:sz w:val="32"/>
          <w:szCs w:val="32"/>
        </w:rPr>
        <w:t>与解释</w:t>
      </w:r>
      <w:bookmarkEnd w:id="567"/>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合同协议书、通用合同条款、专用合同条款中的下列词语具有本款所赋予的含义：</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 合同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1.1.1.1 合同：是指根据法律规定和合同当事人约定具有约束力的文件，构成合同的文件包括合同协议书、中标通知书（如果有）、投标函及其附录（如果有）、专用合同条款</w:t>
      </w:r>
      <w:r>
        <w:rPr>
          <w:rFonts w:hint="eastAsia" w:ascii="方正仿宋_GB2312" w:hAnsi="方正仿宋_GB2312" w:eastAsia="方正仿宋_GB2312" w:cs="方正仿宋_GB2312"/>
          <w:color w:val="000000"/>
          <w:sz w:val="32"/>
          <w:szCs w:val="32"/>
        </w:rPr>
        <w:t>及其附件</w:t>
      </w:r>
      <w:r>
        <w:rPr>
          <w:rFonts w:hint="eastAsia" w:ascii="方正仿宋_GB2312" w:hAnsi="方正仿宋_GB2312" w:eastAsia="方正仿宋_GB2312" w:cs="方正仿宋_GB2312"/>
          <w:color w:val="000000"/>
          <w:kern w:val="0"/>
          <w:sz w:val="32"/>
          <w:szCs w:val="32"/>
        </w:rPr>
        <w:t>、通用合同条款、技术标准和要求、图纸、已标价工程量清单或预算书以及其他合同文件。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1.1.1.2 合同协议书：是指构成合同的由发包人和承包人共同签署的称为“合同协议书”的书面文件。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1.1.1.3 中标通知书：是指构成合同的由发包人通知承包人中标的书面文件。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1.1.1.4 投标函：是指构成合同的由承包人填写并签署的用于投标的称为“投标函”的文件。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1.1.1.5 投标函附录：是指构成合同的附在投标函后的称为“投标函附录”的文件。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1.1.1.6 技术标准和要求：是指构成合同的施工应当遵守的或指导施工的国家、行业或地方的技术标准和要求，以及合同约定的技术标准和要求。</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1.1.1.7 图纸：是指构成合同的图纸，包括由发包人按照合同约定提供或经发包人批准的设计文件、施工图、鸟瞰图及模型等，以及在合同履行过程中形成的图纸文件。图纸应当按照法律规定审查合格。</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1.1.1.8 已标价工程量清单：是指构成合同的由承包人按照规定的格式和要求填写并标明价格的工程量清单，包括说明和表格。</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1.1.1.9 预算书：是指构成合同的由承包人按照发包人规定的格式和要求编制的工程预算文件。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1.1.1.10 其他合同文件：是指经合同当事人约定的与工程施工有关的具有合同约束力的文件或书面协议。合同当事人可以在专用合同条款中进行约定。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 合同当事人及其他相关方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1.1.2.1 合同当事人：是指发包人和（或）承包人。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1.1.2.2 发包人：是指与承包人签订合同协议书的当事人及取得该当事人资格的合法继承人。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1.1.2.3 承包人：是指与发包人签订合同协议书的，具有相应工程施工承包资质的当事人及取得该当事人资格的合法继承人。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1.1.2.4 监理人：是指在专用合同条款中指明的，受发包人委托按照法律规定进行工程监督管理的法人或其他组织。</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1.1.2.5 设计人：是指在专用合同条款中指明的，受发包人委托负责工程设计并具备相应工程设计资质的法人或其他组织。</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1.1.2.6 分包人：</w:t>
      </w:r>
      <w:bookmarkStart w:id="568" w:name="#go5"/>
      <w:bookmarkEnd w:id="568"/>
      <w:r>
        <w:rPr>
          <w:rFonts w:hint="eastAsia" w:ascii="方正仿宋_GB2312" w:hAnsi="方正仿宋_GB2312" w:eastAsia="方正仿宋_GB2312" w:cs="方正仿宋_GB2312"/>
          <w:color w:val="000000"/>
          <w:kern w:val="0"/>
          <w:sz w:val="32"/>
          <w:szCs w:val="32"/>
        </w:rPr>
        <w:t>是指按照法律规定和合同约定，分包部分工程或工作，并与承包人签订分包合同的具有相应资质的法人。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1.1.2.7 发包人代表：是指由发包人任命并派驻施工现场在发包人授权范围内行使发包人权利的人。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1.1.2.8 项目经理：是指由承包人任命并派驻施工现场，在承包人授权范围内负责合同履行，且按照法律规定具有相应资格的项目负责人。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1.1.2.9 总监理工程师：是指由监理人任命并派驻施工现场进行工程监理的总负责人。</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 工程和设备</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1.1.3.1 工程：是指与合同协议书中工程承包范围对应的永久工程和（或）临时工程。</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1.1.3.2 永久工程：是指按合同约定建造并移交给发包人的工程，包括工程设备。</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1.1.3.3 临时工程：是指为完成合同约定的永久工程所修建的各类临时性工程，不包括施工设备。</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1.1.3.4 单位工程：是指在合同协议书中指明的，具备独立施工条件并能形成独立使用功能的永久工程。</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1.1.3.5 工程设备：是指构成永久工程的机电设备、金属结构设备、仪器及其他类似的设备和装置。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1.1.3.6 施工设备：是指为完成合同约定的各项工作所需的设备、器具和其他物品，但不包括工程设备、临时工程和材料。</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1.1.3.7 施工现场：是指用于工程施工的场所，以及在专用合同条款中指明作为施工场所组成部分的其他场所，包括永久占地和临时占地。</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1.1.3.8临时设施：是指为完成合同约定的各项工作所服务的临时性生产和生活设施。</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1.1.3.9 永久占地：是指专用合同条款中指明为实施工程需永久占用的土地。</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1.1.3.10 临时占地：是指专用合同条款中指明为实施工程需要临时占用的土地。</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1.1.4 日期和期限</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1.1.4.1 开工日期：包括计划开工日期和实际开工日期。计划开工日期是指合同协议书约定的开工日期；实际开工日期是指监理人按照第7.3.2项〔开工通知〕约定发出的符合法律规定的开工通知中载明的开工日期。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1.1.4.2 竣工日期：包括计划竣工日期和实际竣工日期。计划竣工日期是指合同协议书约定的竣工日期；实际竣工日期按照第13.2.3项〔竣工日期〕的约定确定。 </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1.1.4.3 工期：是指在合同协议书约定的承包人完成工程所需的期限，包括按照合同约定所作的期限变更。</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1.1.4.4 缺陷责任期：是指承包人按照合同约定承担缺陷修复义务，且发包人预留质量保证金</w:t>
      </w:r>
      <w:r>
        <w:rPr>
          <w:rFonts w:hint="eastAsia" w:ascii="方正仿宋_GB2312" w:hAnsi="方正仿宋_GB2312" w:eastAsia="方正仿宋_GB2312" w:cs="方正仿宋_GB2312"/>
          <w:color w:val="000000"/>
          <w:kern w:val="0"/>
          <w:sz w:val="32"/>
          <w:szCs w:val="32"/>
          <w:lang w:eastAsia="zh-CN"/>
        </w:rPr>
        <w:t>（</w:t>
      </w:r>
      <w:r>
        <w:rPr>
          <w:rFonts w:hint="eastAsia" w:ascii="方正仿宋_GB2312" w:hAnsi="方正仿宋_GB2312" w:eastAsia="方正仿宋_GB2312" w:cs="方正仿宋_GB2312"/>
          <w:color w:val="000000"/>
          <w:kern w:val="0"/>
          <w:sz w:val="32"/>
          <w:szCs w:val="32"/>
        </w:rPr>
        <w:t>已缴纳履约保证金的除外</w:t>
      </w:r>
      <w:r>
        <w:rPr>
          <w:rFonts w:hint="eastAsia" w:ascii="方正仿宋_GB2312" w:hAnsi="方正仿宋_GB2312" w:eastAsia="方正仿宋_GB2312" w:cs="方正仿宋_GB2312"/>
          <w:color w:val="000000"/>
          <w:kern w:val="0"/>
          <w:sz w:val="32"/>
          <w:szCs w:val="32"/>
          <w:lang w:eastAsia="zh-CN"/>
        </w:rPr>
        <w:t>）</w:t>
      </w:r>
      <w:r>
        <w:rPr>
          <w:rFonts w:hint="eastAsia" w:ascii="方正仿宋_GB2312" w:hAnsi="方正仿宋_GB2312" w:eastAsia="方正仿宋_GB2312" w:cs="方正仿宋_GB2312"/>
          <w:color w:val="000000"/>
          <w:kern w:val="0"/>
          <w:sz w:val="32"/>
          <w:szCs w:val="32"/>
        </w:rPr>
        <w:t>的期限，自工程实际竣工日期起计算。</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1.1.4.5 保修期：是指承包人按照合同约定对工程承担保修责任的期限，从工程竣工验收合格之日起计算。</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1.1.4.6 基准日期：招标发包的工程以投标截止日前28天的日期为基准日期，直接发包的工程以合同签订日前28天的日期为基准日期。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1.1.4.7 天：除特别指明外，均指日历天。合同中按天计算时间的，开始当天不计入，从次日开始计算，期限最后一天的截止时间为当天24:00时。</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1.1.5 合同价格和费用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1.1.5.1 签约合同价：是指</w:t>
      </w:r>
      <w:r>
        <w:rPr>
          <w:rFonts w:hint="eastAsia" w:ascii="方正仿宋_GB2312" w:hAnsi="方正仿宋_GB2312" w:eastAsia="方正仿宋_GB2312" w:cs="方正仿宋_GB2312"/>
          <w:color w:val="000000"/>
          <w:sz w:val="32"/>
          <w:szCs w:val="32"/>
        </w:rPr>
        <w:t>发包人和承包人在合同协议书中确定的总金额，包括安全文明施工费、暂估价及暂列金额等。</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1.1.5.2 合同价格：是指发包人用于支付承包人按照合同约定完成承包范围内全部工作的金额，包括合同履行过程中按合同约定发生的价格变化。</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1.1.5.3 费用：是指为履行合同所发生的或将要发生的所有必需的开支，包括管理费和应分摊的其他费用，但不包括利润。</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1.1.5.4 暂估价：是指发包人在工程量清单或预算书中提供的用于支付必然发生但暂时不能确定价格的材料、工程设备的单价、专业工程以及服务工作的金额。</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1.1.5.6 计日工：是指合同履行过程中，承包人完成发包人提出的零星工作或需要采用计日工计价的变更工作时，按合同中约定的单价计价的一种方式。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1.1.5.7 质量保证金</w:t>
      </w:r>
      <w:bookmarkStart w:id="569" w:name="#go2"/>
      <w:bookmarkEnd w:id="569"/>
      <w:r>
        <w:rPr>
          <w:rFonts w:hint="eastAsia" w:ascii="方正仿宋_GB2312" w:hAnsi="方正仿宋_GB2312" w:eastAsia="方正仿宋_GB2312" w:cs="方正仿宋_GB2312"/>
          <w:color w:val="000000"/>
          <w:kern w:val="0"/>
          <w:sz w:val="32"/>
          <w:szCs w:val="32"/>
        </w:rPr>
        <w:t>：是指按照第15.3款〔质量保证金〕约定承包人用于保证其在缺陷责任期内履行缺陷修补义务的担保</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1.1.5.8 总价项目：是指在现行国家、行业以及地方的计量规则中无工程量计算规则，在已标价工程量清单或预算书中以总价或以费率形式计算的项目。</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1.1.6 其他</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1.1.6.1 书面形式：是指合同文件、信函、电报、传真等可以有形地表现所载内容的形式。</w:t>
      </w:r>
    </w:p>
    <w:p>
      <w:pPr>
        <w:keepNext/>
        <w:keepLines/>
        <w:pageBreakBefore w:val="0"/>
        <w:widowControl w:val="0"/>
        <w:kinsoku/>
        <w:wordWrap/>
        <w:overflowPunct/>
        <w:topLinePunct w:val="0"/>
        <w:autoSpaceDE/>
        <w:autoSpaceDN/>
        <w:bidi w:val="0"/>
        <w:adjustRightInd/>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70" w:name="_Toc24050"/>
      <w:bookmarkStart w:id="571" w:name="_Toc296346530"/>
      <w:bookmarkStart w:id="572" w:name="_Toc296503029"/>
      <w:bookmarkStart w:id="573" w:name="_Toc337558729"/>
      <w:r>
        <w:rPr>
          <w:rFonts w:hint="eastAsia" w:ascii="方正仿宋_GB2312" w:hAnsi="方正仿宋_GB2312" w:eastAsia="方正仿宋_GB2312" w:cs="方正仿宋_GB2312"/>
          <w:b w:val="0"/>
          <w:color w:val="000000"/>
          <w:sz w:val="32"/>
          <w:szCs w:val="32"/>
        </w:rPr>
        <w:t>1.2语言文字</w:t>
      </w:r>
      <w:bookmarkEnd w:id="570"/>
      <w:bookmarkEnd w:id="571"/>
      <w:bookmarkEnd w:id="572"/>
      <w:bookmarkEnd w:id="573"/>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合同以中国的汉语简体文字编写、解释和说明。合同当事人在专用合同条款中约定使用两种以上语言时，汉语为优先解释和说明合同的语言。</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74" w:name="_Toc296503030"/>
      <w:bookmarkStart w:id="575" w:name="_Toc3705"/>
      <w:bookmarkStart w:id="576" w:name="_Toc296346531"/>
      <w:bookmarkStart w:id="577" w:name="_Toc337558730"/>
      <w:r>
        <w:rPr>
          <w:rFonts w:hint="eastAsia" w:ascii="方正仿宋_GB2312" w:hAnsi="方正仿宋_GB2312" w:eastAsia="方正仿宋_GB2312" w:cs="方正仿宋_GB2312"/>
          <w:b w:val="0"/>
          <w:color w:val="000000"/>
          <w:sz w:val="32"/>
          <w:szCs w:val="32"/>
        </w:rPr>
        <w:t>1.3法律</w:t>
      </w:r>
      <w:bookmarkEnd w:id="574"/>
      <w:bookmarkEnd w:id="575"/>
      <w:bookmarkEnd w:id="576"/>
      <w:bookmarkEnd w:id="577"/>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合同所称法律是指中华人民共和国法律、行政法规、部门规章，以及工程所在地的地方性法规、自治条例、单行条例和地方政府规章等。</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合同当事人可以在专用合同条款中约定合同适用的其他规范性文件。</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78" w:name="_Toc7566"/>
      <w:r>
        <w:rPr>
          <w:rFonts w:hint="eastAsia" w:ascii="方正仿宋_GB2312" w:hAnsi="方正仿宋_GB2312" w:eastAsia="方正仿宋_GB2312" w:cs="方正仿宋_GB2312"/>
          <w:b w:val="0"/>
          <w:color w:val="000000"/>
          <w:sz w:val="32"/>
          <w:szCs w:val="32"/>
        </w:rPr>
        <w:t>1.4 标准和规范</w:t>
      </w:r>
      <w:bookmarkEnd w:id="578"/>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1.4.1 适用于工程的国家标准、行业标准、工程所在地的地方性标准，以及相应的规范、规程等，合同当事人有特别要求的，应在专用合同条款中约定。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1.4.2 发包人要求使用国外标准、规范的，发包人负责提供原文版本和中文译本，并在专用合同条款中约定提供标准规范的名称、份数和时间。</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79" w:name="_Toc27911"/>
      <w:r>
        <w:rPr>
          <w:rFonts w:hint="eastAsia" w:ascii="方正仿宋_GB2312" w:hAnsi="方正仿宋_GB2312" w:eastAsia="方正仿宋_GB2312" w:cs="方正仿宋_GB2312"/>
          <w:b w:val="0"/>
          <w:color w:val="000000"/>
          <w:sz w:val="32"/>
          <w:szCs w:val="32"/>
        </w:rPr>
        <w:t>1</w:t>
      </w:r>
      <w:bookmarkStart w:id="580" w:name="_Toc296346532"/>
      <w:bookmarkStart w:id="581" w:name="_Toc337558731"/>
      <w:bookmarkStart w:id="582" w:name="_Toc296503031"/>
      <w:r>
        <w:rPr>
          <w:rFonts w:hint="eastAsia" w:ascii="方正仿宋_GB2312" w:hAnsi="方正仿宋_GB2312" w:eastAsia="方正仿宋_GB2312" w:cs="方正仿宋_GB2312"/>
          <w:b w:val="0"/>
          <w:color w:val="000000"/>
          <w:sz w:val="32"/>
          <w:szCs w:val="32"/>
        </w:rPr>
        <w:t>.5 合同文件的优先顺序</w:t>
      </w:r>
      <w:bookmarkEnd w:id="579"/>
    </w:p>
    <w:bookmarkEnd w:id="580"/>
    <w:bookmarkEnd w:id="581"/>
    <w:bookmarkEnd w:id="582"/>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组成合同的各项文件应互相解释，互为说明。除专用合同条款另有约定外，解释合同文件的优先顺序如下：</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（1）合同协议书；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（2）中标通知书（如果有）；</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（3）投标函及其附录（如果有）；</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（4）专用合同条款</w:t>
      </w:r>
      <w:r>
        <w:rPr>
          <w:rFonts w:hint="eastAsia" w:ascii="方正仿宋_GB2312" w:hAnsi="方正仿宋_GB2312" w:eastAsia="方正仿宋_GB2312" w:cs="方正仿宋_GB2312"/>
          <w:color w:val="000000"/>
          <w:sz w:val="32"/>
          <w:szCs w:val="32"/>
        </w:rPr>
        <w:t>及其附件</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（5）通用合同条款；</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（6）技术标准和要求；</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（7）图纸；</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（8）已标价工程量清单或预算书；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（9）其他合同文件。</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上述各项合同文件包括合同当事人就该项合同文件所作出的补充和修改，属于同一类内容的文件，应以最新签署的为准。</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在合同订立及履行过程中形成的与合同有关的文件均构成合同文件组成部分，并根据其性质确定优先解释顺序。</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83" w:name="_Toc11362"/>
      <w:r>
        <w:rPr>
          <w:rFonts w:hint="eastAsia" w:ascii="方正仿宋_GB2312" w:hAnsi="方正仿宋_GB2312" w:eastAsia="方正仿宋_GB2312" w:cs="方正仿宋_GB2312"/>
          <w:b w:val="0"/>
          <w:color w:val="000000"/>
          <w:sz w:val="32"/>
          <w:szCs w:val="32"/>
        </w:rPr>
        <w:t>1</w:t>
      </w:r>
      <w:bookmarkStart w:id="584" w:name="_Toc296503032"/>
      <w:bookmarkStart w:id="585" w:name="_Toc337558732"/>
      <w:bookmarkStart w:id="586" w:name="_Toc296346533"/>
      <w:r>
        <w:rPr>
          <w:rFonts w:hint="eastAsia" w:ascii="方正仿宋_GB2312" w:hAnsi="方正仿宋_GB2312" w:eastAsia="方正仿宋_GB2312" w:cs="方正仿宋_GB2312"/>
          <w:b w:val="0"/>
          <w:color w:val="000000"/>
          <w:sz w:val="32"/>
          <w:szCs w:val="32"/>
        </w:rPr>
        <w:t>.6图纸和承包人文件</w:t>
      </w:r>
      <w:bookmarkEnd w:id="583"/>
    </w:p>
    <w:bookmarkEnd w:id="584"/>
    <w:bookmarkEnd w:id="585"/>
    <w:bookmarkEnd w:id="586"/>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1.6.1 图纸的提供和交底</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因发包人未按合同约定提供图纸导致承包人费用增加和（或）工期延误的，按照第7.5.1项〔因发包人原因导致工期延误〕约定办理。</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1.6.2 图纸的错误</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1.6.3 图纸的修改和补充</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图纸需要修改和补充的，应经图纸原设计人及审批部门同意，并由监理人在工程或工程相应部位施工前将修改后的图纸或补充图纸提交给承包人，承包人应按修改或补充后的图纸施工。</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1.6.4 承包人文件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承包人应按照专用合同条款的约定提供应当由其编制的与工程施工有关的文件，并按照专用合同条款约定的期限、数量和形式提交监理人，并由监理人报送发包人。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1.6.5 图纸和承包人文件的保管</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除专用合同条款另有约定外，承包人应在施工现场另外保存一套完整的图纸和承包人文件，供发包人、监理人及有关人员进行工程检查时使用。</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87" w:name="_Toc14634"/>
      <w:r>
        <w:rPr>
          <w:rFonts w:hint="eastAsia" w:ascii="方正仿宋_GB2312" w:hAnsi="方正仿宋_GB2312" w:eastAsia="方正仿宋_GB2312" w:cs="方正仿宋_GB2312"/>
          <w:b w:val="0"/>
          <w:color w:val="000000"/>
          <w:sz w:val="32"/>
          <w:szCs w:val="32"/>
        </w:rPr>
        <w:t>1</w:t>
      </w:r>
      <w:bookmarkStart w:id="588" w:name="_Toc337558733"/>
      <w:bookmarkStart w:id="589" w:name="_Toc296346534"/>
      <w:bookmarkStart w:id="590" w:name="_Toc296503033"/>
      <w:r>
        <w:rPr>
          <w:rFonts w:hint="eastAsia" w:ascii="方正仿宋_GB2312" w:hAnsi="方正仿宋_GB2312" w:eastAsia="方正仿宋_GB2312" w:cs="方正仿宋_GB2312"/>
          <w:b w:val="0"/>
          <w:color w:val="000000"/>
          <w:sz w:val="32"/>
          <w:szCs w:val="32"/>
        </w:rPr>
        <w:t>.7联络</w:t>
      </w:r>
      <w:bookmarkEnd w:id="587"/>
    </w:p>
    <w:bookmarkEnd w:id="588"/>
    <w:bookmarkEnd w:id="589"/>
    <w:bookmarkEnd w:id="590"/>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1.7.1 与合同有关的通知、批准、证明、证书、指示、指令、要求、请求、同意、意见、确定和决定等，均应采用书面形式，并应在合同约定的期限内送达接收人和送达地点。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1.7.2 发包人和承包人应在专用合同条款中约定各自的送达接收人和送达地点。任何一方合同当事人指定的接收人或送达地点发生变动的，应提前3天以书面形式通知对方。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FF0000"/>
          <w:kern w:val="0"/>
          <w:sz w:val="32"/>
          <w:szCs w:val="32"/>
        </w:rPr>
      </w:pPr>
      <w:r>
        <w:rPr>
          <w:rFonts w:hint="eastAsia" w:ascii="方正仿宋_GB2312" w:hAnsi="方正仿宋_GB2312" w:eastAsia="方正仿宋_GB2312" w:cs="方正仿宋_GB2312"/>
          <w:color w:val="000000"/>
          <w:kern w:val="0"/>
          <w:sz w:val="32"/>
          <w:szCs w:val="32"/>
        </w:rPr>
        <w:t>1.7.3 发包人和承包人应当及时签收另一方送达至送达地点和指定接收人的来往信函。拒不签收的，由此增加的费用和（或）延误的工期由拒绝接收一方承担。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91" w:name="_Toc30132"/>
      <w:r>
        <w:rPr>
          <w:rFonts w:hint="eastAsia" w:ascii="方正仿宋_GB2312" w:hAnsi="方正仿宋_GB2312" w:eastAsia="方正仿宋_GB2312" w:cs="方正仿宋_GB2312"/>
          <w:b w:val="0"/>
          <w:color w:val="000000"/>
          <w:sz w:val="32"/>
          <w:szCs w:val="32"/>
        </w:rPr>
        <w:t>1</w:t>
      </w:r>
      <w:bookmarkStart w:id="592" w:name="_Toc296346536"/>
      <w:bookmarkStart w:id="593" w:name="_Toc337558734"/>
      <w:bookmarkStart w:id="594" w:name="_Toc296503035"/>
      <w:r>
        <w:rPr>
          <w:rFonts w:hint="eastAsia" w:ascii="方正仿宋_GB2312" w:hAnsi="方正仿宋_GB2312" w:eastAsia="方正仿宋_GB2312" w:cs="方正仿宋_GB2312"/>
          <w:b w:val="0"/>
          <w:color w:val="000000"/>
          <w:sz w:val="32"/>
          <w:szCs w:val="32"/>
        </w:rPr>
        <w:t>.8严禁贿赂</w:t>
      </w:r>
      <w:bookmarkEnd w:id="591"/>
    </w:p>
    <w:bookmarkEnd w:id="592"/>
    <w:bookmarkEnd w:id="593"/>
    <w:bookmarkEnd w:id="59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合同当事人不得以贿赂或变相贿赂的方式，谋取非法利益或损害对方权益。因一方合同当事人的贿赂造成对方损失的，应赔偿损失，并承担相应的法律责任。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承包人不得与监理人或发包人聘请的第三方串通损害发包人利益。未经发包人书面同意，承包人不得为监理人提供合同约定以外的通讯设备、交通工具及其他任何形式的利益，不得向监理人支付报酬。</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95" w:name="_Toc3363"/>
      <w:r>
        <w:rPr>
          <w:rFonts w:hint="eastAsia" w:ascii="方正仿宋_GB2312" w:hAnsi="方正仿宋_GB2312" w:eastAsia="方正仿宋_GB2312" w:cs="方正仿宋_GB2312"/>
          <w:b w:val="0"/>
          <w:color w:val="000000"/>
          <w:sz w:val="32"/>
          <w:szCs w:val="32"/>
        </w:rPr>
        <w:t>1</w:t>
      </w:r>
      <w:bookmarkStart w:id="596" w:name="_Toc296503036"/>
      <w:bookmarkStart w:id="597" w:name="_Toc296346537"/>
      <w:bookmarkStart w:id="598" w:name="_Toc337558735"/>
      <w:r>
        <w:rPr>
          <w:rFonts w:hint="eastAsia" w:ascii="方正仿宋_GB2312" w:hAnsi="方正仿宋_GB2312" w:eastAsia="方正仿宋_GB2312" w:cs="方正仿宋_GB2312"/>
          <w:b w:val="0"/>
          <w:color w:val="000000"/>
          <w:sz w:val="32"/>
          <w:szCs w:val="32"/>
        </w:rPr>
        <w:t>.9化石、文物</w:t>
      </w:r>
      <w:bookmarkEnd w:id="595"/>
    </w:p>
    <w:bookmarkEnd w:id="596"/>
    <w:bookmarkEnd w:id="597"/>
    <w:bookmarkEnd w:id="598"/>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发包人、监理人和承包人应按有关政府行政管理部门要求采取妥善的保护措施，由此增加的费用和（或）延误的工期由发包人承担。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承包人发现文物后不及时报告或隐瞒不报，致使文物丢失或损坏的，应赔偿损失，并承担相应的法律责任。</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599" w:name="_Toc16038"/>
      <w:r>
        <w:rPr>
          <w:rFonts w:hint="eastAsia" w:ascii="方正仿宋_GB2312" w:hAnsi="方正仿宋_GB2312" w:eastAsia="方正仿宋_GB2312" w:cs="方正仿宋_GB2312"/>
          <w:b w:val="0"/>
          <w:color w:val="000000"/>
          <w:sz w:val="32"/>
          <w:szCs w:val="32"/>
        </w:rPr>
        <w:t>1</w:t>
      </w:r>
      <w:bookmarkStart w:id="600" w:name="_Toc337558736"/>
      <w:r>
        <w:rPr>
          <w:rFonts w:hint="eastAsia" w:ascii="方正仿宋_GB2312" w:hAnsi="方正仿宋_GB2312" w:eastAsia="方正仿宋_GB2312" w:cs="方正仿宋_GB2312"/>
          <w:b w:val="0"/>
          <w:color w:val="000000"/>
          <w:sz w:val="32"/>
          <w:szCs w:val="32"/>
        </w:rPr>
        <w:t>.10交通运输</w:t>
      </w:r>
      <w:bookmarkEnd w:id="599"/>
    </w:p>
    <w:bookmarkEnd w:id="600"/>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1.10.1 出入现场的权利</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承包人应在订立合同前查勘施工现场，并根据工程规模及技术参数合理预见工程施工所需的进出施工现场的方式、手段、路径等。因承包人未合理预见所增加的费用和（或）延误的工期由承包人承担。</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1.10.2 场外交通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1.10.3场内交通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场外交通和场内交通的边界由合同当事人在专用合同条款中约定。</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1.10.4 超大件和超重件的运输</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1.10.5 道路和桥梁的损坏责任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因承包人运输造成施工场地内外公共道路和桥梁损坏的，由承包人承担修复损坏的全部费用和可能引起的赔偿。</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1.10.6 水路和航空运输</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本款前述各项的内容适用于水路运输和航空运输，其中“道路”一词的涵义包括河道、航线、船闸、机场、码头、堤防以及水路或航空运输中其他相似结构物；“车辆”一词的涵义包括船舶和飞机等。</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01" w:name="_Toc26079"/>
      <w:r>
        <w:rPr>
          <w:rFonts w:hint="eastAsia" w:ascii="方正仿宋_GB2312" w:hAnsi="方正仿宋_GB2312" w:eastAsia="方正仿宋_GB2312" w:cs="方正仿宋_GB2312"/>
          <w:b w:val="0"/>
          <w:color w:val="000000"/>
          <w:sz w:val="32"/>
          <w:szCs w:val="32"/>
        </w:rPr>
        <w:t>1</w:t>
      </w:r>
      <w:bookmarkStart w:id="602" w:name="_Toc337558737"/>
      <w:bookmarkStart w:id="603" w:name="_Toc296503037"/>
      <w:bookmarkStart w:id="604" w:name="_Toc296346538"/>
      <w:r>
        <w:rPr>
          <w:rFonts w:hint="eastAsia" w:ascii="方正仿宋_GB2312" w:hAnsi="方正仿宋_GB2312" w:eastAsia="方正仿宋_GB2312" w:cs="方正仿宋_GB2312"/>
          <w:b w:val="0"/>
          <w:color w:val="000000"/>
          <w:sz w:val="32"/>
          <w:szCs w:val="32"/>
        </w:rPr>
        <w:t>.11知识产权</w:t>
      </w:r>
      <w:bookmarkEnd w:id="601"/>
      <w:r>
        <w:rPr>
          <w:rFonts w:hint="eastAsia" w:ascii="方正仿宋_GB2312" w:hAnsi="方正仿宋_GB2312" w:eastAsia="方正仿宋_GB2312" w:cs="方正仿宋_GB2312"/>
          <w:b w:val="0"/>
          <w:color w:val="000000"/>
          <w:sz w:val="32"/>
          <w:szCs w:val="32"/>
        </w:rPr>
        <w:t xml:space="preserve"> </w:t>
      </w:r>
      <w:bookmarkEnd w:id="602"/>
    </w:p>
    <w:bookmarkEnd w:id="603"/>
    <w:bookmarkEnd w:id="60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1.11.4 除专用合同条款另有约定外，承包人在合同签订前和签订时已确定采用的专利、专有技术、技术秘密的使用费已包含在签约合同价中。</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05" w:name="_Toc4953"/>
      <w:r>
        <w:rPr>
          <w:rFonts w:hint="eastAsia" w:ascii="方正仿宋_GB2312" w:hAnsi="方正仿宋_GB2312" w:eastAsia="方正仿宋_GB2312" w:cs="方正仿宋_GB2312"/>
          <w:b w:val="0"/>
          <w:color w:val="000000"/>
          <w:sz w:val="32"/>
          <w:szCs w:val="32"/>
        </w:rPr>
        <w:t>1</w:t>
      </w:r>
      <w:bookmarkStart w:id="606" w:name="_Toc337558738"/>
      <w:r>
        <w:rPr>
          <w:rFonts w:hint="eastAsia" w:ascii="方正仿宋_GB2312" w:hAnsi="方正仿宋_GB2312" w:eastAsia="方正仿宋_GB2312" w:cs="方正仿宋_GB2312"/>
          <w:b w:val="0"/>
          <w:color w:val="000000"/>
          <w:sz w:val="32"/>
          <w:szCs w:val="32"/>
        </w:rPr>
        <w:t>.12保密</w:t>
      </w:r>
      <w:bookmarkEnd w:id="605"/>
    </w:p>
    <w:bookmarkEnd w:id="606"/>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除法律规定或合同另有约定外，未经发包人同意，承包人不得将发包人提供的图纸、文件以及声明需要保密的资料信息等商业秘密泄露给第三方。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除法律规定或合同另有约定外，未经承包人同意，发包人不得将承包人提供的技术秘密及声明需要保密的资料信息等商业秘密泄露给第三方。</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07" w:name="_Toc24102"/>
      <w:r>
        <w:rPr>
          <w:rFonts w:hint="eastAsia" w:ascii="方正仿宋_GB2312" w:hAnsi="方正仿宋_GB2312" w:eastAsia="方正仿宋_GB2312" w:cs="方正仿宋_GB2312"/>
          <w:b w:val="0"/>
          <w:color w:val="000000"/>
          <w:sz w:val="32"/>
          <w:szCs w:val="32"/>
        </w:rPr>
        <w:t>1.13工程量清单错误的修正</w:t>
      </w:r>
      <w:bookmarkEnd w:id="607"/>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除专用合同条款另有约定外，发包人提供的工程量清单，应被认为是准确的和完整的。出现下列情形之一时，发包人应予以修正，并相应调整合同价格：</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（1）工程量清单存在缺项、漏项的；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（2）工程量清单偏差超出专用合同条款约定的工程量偏差范围的；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（3）未按照国家现行计量规范强制性规定计量的。</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608" w:name="_Toc9327"/>
      <w:bookmarkStart w:id="609" w:name="_Toc2254"/>
      <w:bookmarkStart w:id="610" w:name="_Toc3586"/>
      <w:r>
        <w:rPr>
          <w:rFonts w:hint="eastAsia" w:ascii="方正仿宋_GB2312" w:hAnsi="方正仿宋_GB2312" w:eastAsia="方正仿宋_GB2312" w:cs="方正仿宋_GB2312"/>
          <w:b w:val="0"/>
          <w:color w:val="000000"/>
          <w:sz w:val="32"/>
          <w:szCs w:val="32"/>
        </w:rPr>
        <w:t>2</w:t>
      </w:r>
      <w:bookmarkStart w:id="611" w:name="_Toc296346539"/>
      <w:bookmarkStart w:id="612" w:name="_Toc337558739"/>
      <w:bookmarkStart w:id="613" w:name="_Toc296503038"/>
      <w:bookmarkStart w:id="614" w:name="OLE_LINK2"/>
      <w:bookmarkStart w:id="615" w:name="OLE_LINK1"/>
      <w:r>
        <w:rPr>
          <w:rFonts w:hint="eastAsia" w:ascii="方正仿宋_GB2312" w:hAnsi="方正仿宋_GB2312" w:eastAsia="方正仿宋_GB2312" w:cs="方正仿宋_GB2312"/>
          <w:b w:val="0"/>
          <w:color w:val="000000"/>
          <w:sz w:val="32"/>
          <w:szCs w:val="32"/>
        </w:rPr>
        <w:t>. 发包人</w:t>
      </w:r>
      <w:bookmarkEnd w:id="608"/>
      <w:bookmarkEnd w:id="609"/>
      <w:bookmarkEnd w:id="610"/>
    </w:p>
    <w:bookmarkEnd w:id="611"/>
    <w:bookmarkEnd w:id="612"/>
    <w:bookmarkEnd w:id="613"/>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16" w:name="_Toc28628"/>
      <w:r>
        <w:rPr>
          <w:rFonts w:hint="eastAsia" w:ascii="方正仿宋_GB2312" w:hAnsi="方正仿宋_GB2312" w:eastAsia="方正仿宋_GB2312" w:cs="方正仿宋_GB2312"/>
          <w:b w:val="0"/>
          <w:color w:val="000000"/>
          <w:sz w:val="32"/>
          <w:szCs w:val="32"/>
        </w:rPr>
        <w:t>2</w:t>
      </w:r>
      <w:bookmarkStart w:id="617" w:name="_Toc296346540"/>
      <w:bookmarkStart w:id="618" w:name="_Toc296503039"/>
      <w:bookmarkStart w:id="619" w:name="_Toc337558740"/>
      <w:r>
        <w:rPr>
          <w:rFonts w:hint="eastAsia" w:ascii="方正仿宋_GB2312" w:hAnsi="方正仿宋_GB2312" w:eastAsia="方正仿宋_GB2312" w:cs="方正仿宋_GB2312"/>
          <w:b w:val="0"/>
          <w:color w:val="000000"/>
          <w:sz w:val="32"/>
          <w:szCs w:val="32"/>
        </w:rPr>
        <w:t>.1 许可或批准</w:t>
      </w:r>
      <w:bookmarkEnd w:id="616"/>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因发包人原因未能及时办理完毕前述许可、批准或备案，由发包人承担由此增加的费用和（或）延误的工期，并支付承包人合理的利润。</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20" w:name="_Toc20376"/>
      <w:r>
        <w:rPr>
          <w:rFonts w:hint="eastAsia" w:ascii="方正仿宋_GB2312" w:hAnsi="方正仿宋_GB2312" w:eastAsia="方正仿宋_GB2312" w:cs="方正仿宋_GB2312"/>
          <w:b w:val="0"/>
          <w:color w:val="000000"/>
          <w:sz w:val="32"/>
          <w:szCs w:val="32"/>
        </w:rPr>
        <w:t>2.2 发包人代表</w:t>
      </w:r>
      <w:bookmarkEnd w:id="620"/>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发包人代表不能按照合同约定履行其职责及义务，并导致合同无法继续正常履行的，承包人可以要求发包人撤换发包人代表。</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kern w:val="0"/>
          <w:sz w:val="32"/>
          <w:szCs w:val="32"/>
        </w:rPr>
        <w:t>不属于法定必须监理的工程，监理人的职权可以由发包人代表或发包人指定的其他人员行使。</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21" w:name="_Toc21585"/>
      <w:r>
        <w:rPr>
          <w:rFonts w:hint="eastAsia" w:ascii="方正仿宋_GB2312" w:hAnsi="方正仿宋_GB2312" w:eastAsia="方正仿宋_GB2312" w:cs="方正仿宋_GB2312"/>
          <w:b w:val="0"/>
          <w:color w:val="000000"/>
          <w:sz w:val="32"/>
          <w:szCs w:val="32"/>
        </w:rPr>
        <w:t>2.3 发包人人员</w:t>
      </w:r>
      <w:bookmarkEnd w:id="621"/>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发包人应要求在施工现场的发包人人员遵守法律及有关安全、质量、环境保护、文明施工等规定，并保障承包人免于承受因发包人人员未遵守上述要求给承包人造成的损失和责任。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发包人人员包括发包人代表及其他由发包人派驻施工现场的人员。</w:t>
      </w:r>
      <w:bookmarkEnd w:id="617"/>
      <w:bookmarkEnd w:id="618"/>
      <w:bookmarkEnd w:id="619"/>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22" w:name="_Toc32521"/>
      <w:r>
        <w:rPr>
          <w:rFonts w:hint="eastAsia" w:ascii="方正仿宋_GB2312" w:hAnsi="方正仿宋_GB2312" w:eastAsia="方正仿宋_GB2312" w:cs="方正仿宋_GB2312"/>
          <w:b w:val="0"/>
          <w:color w:val="000000"/>
          <w:sz w:val="32"/>
          <w:szCs w:val="32"/>
        </w:rPr>
        <w:t>2</w:t>
      </w:r>
      <w:bookmarkStart w:id="623" w:name="_Toc337558741"/>
      <w:bookmarkStart w:id="624" w:name="_Toc296503040"/>
      <w:bookmarkStart w:id="625" w:name="_Toc296346541"/>
      <w:r>
        <w:rPr>
          <w:rFonts w:hint="eastAsia" w:ascii="方正仿宋_GB2312" w:hAnsi="方正仿宋_GB2312" w:eastAsia="方正仿宋_GB2312" w:cs="方正仿宋_GB2312"/>
          <w:b w:val="0"/>
          <w:color w:val="000000"/>
          <w:sz w:val="32"/>
          <w:szCs w:val="32"/>
        </w:rPr>
        <w:t>.4 施工现场、施工条件和基础资料的提供</w:t>
      </w:r>
      <w:bookmarkEnd w:id="622"/>
      <w:r>
        <w:rPr>
          <w:rFonts w:hint="eastAsia" w:ascii="方正仿宋_GB2312" w:hAnsi="方正仿宋_GB2312" w:eastAsia="方正仿宋_GB2312" w:cs="方正仿宋_GB2312"/>
          <w:b w:val="0"/>
          <w:color w:val="000000"/>
          <w:sz w:val="32"/>
          <w:szCs w:val="32"/>
        </w:rPr>
        <w:t xml:space="preserve"> </w:t>
      </w:r>
      <w:bookmarkEnd w:id="623"/>
      <w:bookmarkEnd w:id="624"/>
      <w:bookmarkEnd w:id="625"/>
      <w:r>
        <w:rPr>
          <w:rFonts w:hint="eastAsia" w:ascii="方正仿宋_GB2312" w:hAnsi="方正仿宋_GB2312" w:eastAsia="方正仿宋_GB2312" w:cs="方正仿宋_GB2312"/>
          <w:b w:val="0"/>
          <w:color w:val="000000"/>
          <w:sz w:val="32"/>
          <w:szCs w:val="32"/>
        </w:rPr>
        <w:t xml:space="preserve">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2.4.1 提供施工现场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w:t>
      </w:r>
      <w:bookmarkEnd w:id="614"/>
      <w:bookmarkEnd w:id="615"/>
      <w:r>
        <w:rPr>
          <w:rFonts w:hint="eastAsia" w:ascii="方正仿宋_GB2312" w:hAnsi="方正仿宋_GB2312" w:eastAsia="方正仿宋_GB2312" w:cs="方正仿宋_GB2312"/>
          <w:color w:val="000000"/>
          <w:kern w:val="0"/>
          <w:sz w:val="32"/>
          <w:szCs w:val="32"/>
        </w:rPr>
        <w:t>专用合同条款另有约定外，发包人应最迟于开工日期7天前向承包人移交施工现场。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2.4.2 提供施工条件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除专用合同条款另有约定外，发包人应负责提供施工所需要的条件，包括：</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（1）将施工用水、电力、通讯线路等施工所必需的条件接至施工现场内；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（2）保证向承包人提供正常施工所需要的进入施工现场的交通条件；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（3）协调处理施工现场周围地下管线和邻近建筑物、构筑物、古树名木的保护工作，并承担相关费用；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（4）按照专用合同条款约定应提供的其他设施和条件。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2.4.3 提供基础资料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按照法律规定确需在开工后方能提供的基础资料，发包人应尽其努力及时地在相应工程施工前的合理期限内提供，合理期限应以不影响承包人的正常施工为限。</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2.4.4 逾期提供的责任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因发包人原因未能按合同约定及时向承包人提供施工现场、施工条件、基础资料的，由发包人承担由此增加的费用和（或）延误的工期。</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26" w:name="_Toc9577"/>
      <w:r>
        <w:rPr>
          <w:rFonts w:hint="eastAsia" w:ascii="方正仿宋_GB2312" w:hAnsi="方正仿宋_GB2312" w:eastAsia="方正仿宋_GB2312" w:cs="方正仿宋_GB2312"/>
          <w:b w:val="0"/>
          <w:color w:val="000000"/>
          <w:sz w:val="32"/>
          <w:szCs w:val="32"/>
        </w:rPr>
        <w:t>2</w:t>
      </w:r>
      <w:bookmarkStart w:id="627" w:name="_Toc296503042"/>
      <w:bookmarkStart w:id="628" w:name="_Toc296346543"/>
      <w:bookmarkStart w:id="629" w:name="_Toc337558745"/>
      <w:r>
        <w:rPr>
          <w:rFonts w:hint="eastAsia" w:ascii="方正仿宋_GB2312" w:hAnsi="方正仿宋_GB2312" w:eastAsia="方正仿宋_GB2312" w:cs="方正仿宋_GB2312"/>
          <w:b w:val="0"/>
          <w:color w:val="000000"/>
          <w:sz w:val="32"/>
          <w:szCs w:val="32"/>
        </w:rPr>
        <w:t>.5 资</w:t>
      </w:r>
      <w:bookmarkEnd w:id="627"/>
      <w:bookmarkEnd w:id="628"/>
      <w:bookmarkEnd w:id="629"/>
      <w:r>
        <w:rPr>
          <w:rFonts w:hint="eastAsia" w:ascii="方正仿宋_GB2312" w:hAnsi="方正仿宋_GB2312" w:eastAsia="方正仿宋_GB2312" w:cs="方正仿宋_GB2312"/>
          <w:b w:val="0"/>
          <w:color w:val="000000"/>
          <w:sz w:val="32"/>
          <w:szCs w:val="32"/>
        </w:rPr>
        <w:t>金来源证明及支付担保</w:t>
      </w:r>
      <w:bookmarkEnd w:id="626"/>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除专用合同条款另有约定外，发包人应在收到承包人要求提供资金来源证明的书面通知后28天内，向承包人提供能够按照合同约定支付合同价款的相应资金来源证明。</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除专用合同条款另有约定外，发包人要求承包人提供履约担保的，发包人应当向承包人提供支付担保。支付担保可以采用银行保函或担保公司担保等形式，具体由合同当事人在专用合同条款中约定。</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30" w:name="_Toc2847"/>
      <w:r>
        <w:rPr>
          <w:rFonts w:hint="eastAsia" w:ascii="方正仿宋_GB2312" w:hAnsi="方正仿宋_GB2312" w:eastAsia="方正仿宋_GB2312" w:cs="方正仿宋_GB2312"/>
          <w:b w:val="0"/>
          <w:color w:val="000000"/>
          <w:sz w:val="32"/>
          <w:szCs w:val="32"/>
        </w:rPr>
        <w:t>2.6 支付合同价款</w:t>
      </w:r>
      <w:bookmarkEnd w:id="630"/>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发包人应按合同约定向承包人及时支付合同价款。</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31" w:name="_Toc10794"/>
      <w:r>
        <w:rPr>
          <w:rFonts w:hint="eastAsia" w:ascii="方正仿宋_GB2312" w:hAnsi="方正仿宋_GB2312" w:eastAsia="方正仿宋_GB2312" w:cs="方正仿宋_GB2312"/>
          <w:b w:val="0"/>
          <w:color w:val="000000"/>
          <w:sz w:val="32"/>
          <w:szCs w:val="32"/>
        </w:rPr>
        <w:t>2.7 组织竣工验收</w:t>
      </w:r>
      <w:bookmarkEnd w:id="631"/>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发包人应按合同约定及时组织竣工验收。</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32" w:name="_Toc3190"/>
      <w:r>
        <w:rPr>
          <w:rFonts w:hint="eastAsia" w:ascii="方正仿宋_GB2312" w:hAnsi="方正仿宋_GB2312" w:eastAsia="方正仿宋_GB2312" w:cs="方正仿宋_GB2312"/>
          <w:b w:val="0"/>
          <w:color w:val="000000"/>
          <w:sz w:val="32"/>
          <w:szCs w:val="32"/>
        </w:rPr>
        <w:t>2.8 现场统一管理协议</w:t>
      </w:r>
      <w:bookmarkEnd w:id="632"/>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发包人应与承包人、由发包人直接发包的专业工程的承包人签订施工现场统一管理协议，明确各方的权利义务。施工现场统一管理协议作为专用合同条款的附件。</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633" w:name="_Toc22392"/>
      <w:bookmarkStart w:id="634" w:name="_Toc29146"/>
      <w:bookmarkStart w:id="635" w:name="_Toc7873"/>
      <w:r>
        <w:rPr>
          <w:rFonts w:hint="eastAsia" w:ascii="方正仿宋_GB2312" w:hAnsi="方正仿宋_GB2312" w:eastAsia="方正仿宋_GB2312" w:cs="方正仿宋_GB2312"/>
          <w:b w:val="0"/>
          <w:color w:val="000000"/>
          <w:sz w:val="32"/>
          <w:szCs w:val="32"/>
        </w:rPr>
        <w:t>3</w:t>
      </w:r>
      <w:bookmarkStart w:id="636" w:name="_Toc296503045"/>
      <w:bookmarkStart w:id="637" w:name="_Toc296346546"/>
      <w:bookmarkStart w:id="638" w:name="_Toc337558746"/>
      <w:r>
        <w:rPr>
          <w:rFonts w:hint="eastAsia" w:ascii="方正仿宋_GB2312" w:hAnsi="方正仿宋_GB2312" w:eastAsia="方正仿宋_GB2312" w:cs="方正仿宋_GB2312"/>
          <w:b w:val="0"/>
          <w:color w:val="000000"/>
          <w:sz w:val="32"/>
          <w:szCs w:val="32"/>
        </w:rPr>
        <w:t>. 承包人</w:t>
      </w:r>
      <w:bookmarkEnd w:id="633"/>
      <w:bookmarkEnd w:id="634"/>
      <w:bookmarkEnd w:id="635"/>
    </w:p>
    <w:bookmarkEnd w:id="636"/>
    <w:bookmarkEnd w:id="637"/>
    <w:bookmarkEnd w:id="638"/>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39" w:name="_Toc20530"/>
      <w:r>
        <w:rPr>
          <w:rFonts w:hint="eastAsia" w:ascii="方正仿宋_GB2312" w:hAnsi="方正仿宋_GB2312" w:eastAsia="方正仿宋_GB2312" w:cs="方正仿宋_GB2312"/>
          <w:b w:val="0"/>
          <w:color w:val="000000"/>
          <w:sz w:val="32"/>
          <w:szCs w:val="32"/>
        </w:rPr>
        <w:t>3</w:t>
      </w:r>
      <w:bookmarkStart w:id="640" w:name="_Toc337558747"/>
      <w:bookmarkStart w:id="641" w:name="_Toc296503046"/>
      <w:bookmarkStart w:id="642" w:name="_Toc296346547"/>
      <w:r>
        <w:rPr>
          <w:rFonts w:hint="eastAsia" w:ascii="方正仿宋_GB2312" w:hAnsi="方正仿宋_GB2312" w:eastAsia="方正仿宋_GB2312" w:cs="方正仿宋_GB2312"/>
          <w:b w:val="0"/>
          <w:color w:val="000000"/>
          <w:sz w:val="32"/>
          <w:szCs w:val="32"/>
        </w:rPr>
        <w:t>.1 承包人的一般义务</w:t>
      </w:r>
      <w:bookmarkEnd w:id="639"/>
    </w:p>
    <w:bookmarkEnd w:id="640"/>
    <w:bookmarkEnd w:id="641"/>
    <w:bookmarkEnd w:id="642"/>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承包人在履行合同过程中应遵守法律和工程建设标准规范，并履行以下义务：</w:t>
      </w:r>
    </w:p>
    <w:p>
      <w:pPr>
        <w:pageBreakBefore w:val="0"/>
        <w:widowControl w:val="0"/>
        <w:numPr>
          <w:ilvl w:val="0"/>
          <w:numId w:val="9"/>
        </w:numPr>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办理法律规定应由承包人办理的许可和批准，并将办理结果书面报送发包人留存；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（2）按法律规定和合同约定完成工程，并在保修期内承担保修义务；</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（3）按法律规定和合同约定采取施工安全和环境保护措施，办理工伤保险，确保工程及人员、材料、设备和设施的安全；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（4）按合同约定的工作内容和施工进度要求，编制施工组织设计和施工措施计划，并对所有施工作业和施工方法的完备性和安全可靠性负责；</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（6）按照第6.3款〔环境保护〕约定负责施工场地及其周边环境与生态的保护工作；</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（7）按第6.1款〔安全文明施工〕约定采取施工安全措施，确保工程及其人员、材料、设备和设施的安全，防止因工程施工造成的人身伤害和财产损失；</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（8）将发包人按合同约定支付的各项价款专用于合同工程，且应及时支付其雇用人员工资，并及时向分包人支付合同价款；</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（9）按照法律规定和合同约定编制竣工资料，完成竣工资料立卷及归档，并按专用合同条款约定的竣工资料的套数、内容、时间等要求移交发包人；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（10）应履行的其他义务。</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43" w:name="_Toc2674"/>
      <w:r>
        <w:rPr>
          <w:rFonts w:hint="eastAsia" w:ascii="方正仿宋_GB2312" w:hAnsi="方正仿宋_GB2312" w:eastAsia="方正仿宋_GB2312" w:cs="方正仿宋_GB2312"/>
          <w:b w:val="0"/>
          <w:color w:val="000000"/>
          <w:sz w:val="32"/>
          <w:szCs w:val="32"/>
        </w:rPr>
        <w:t>3</w:t>
      </w:r>
      <w:bookmarkStart w:id="644" w:name="_Toc296346548"/>
      <w:bookmarkStart w:id="645" w:name="_Toc296503047"/>
      <w:bookmarkStart w:id="646" w:name="_Toc337558748"/>
      <w:r>
        <w:rPr>
          <w:rFonts w:hint="eastAsia" w:ascii="方正仿宋_GB2312" w:hAnsi="方正仿宋_GB2312" w:eastAsia="方正仿宋_GB2312" w:cs="方正仿宋_GB2312"/>
          <w:b w:val="0"/>
          <w:color w:val="000000"/>
          <w:sz w:val="32"/>
          <w:szCs w:val="32"/>
        </w:rPr>
        <w:t>.2 项目经理</w:t>
      </w:r>
      <w:bookmarkEnd w:id="643"/>
    </w:p>
    <w:bookmarkEnd w:id="644"/>
    <w:bookmarkEnd w:id="645"/>
    <w:bookmarkEnd w:id="646"/>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承包人违反上述约定的，应按照专用合同条款的约定，承担违约责任。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3.2.5 项目经理因特殊情况授权其下属人员履行其某项工作职责的，该下属人员应具备履行相应职责的能力，并应提前7天将上述人员的姓名和授权范围书面通知监理人，并征得发包人书面同意。</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47" w:name="_Toc6488"/>
      <w:r>
        <w:rPr>
          <w:rFonts w:hint="eastAsia" w:ascii="方正仿宋_GB2312" w:hAnsi="方正仿宋_GB2312" w:eastAsia="方正仿宋_GB2312" w:cs="方正仿宋_GB2312"/>
          <w:b w:val="0"/>
          <w:color w:val="000000"/>
          <w:sz w:val="32"/>
          <w:szCs w:val="32"/>
        </w:rPr>
        <w:t>3</w:t>
      </w:r>
      <w:bookmarkStart w:id="648" w:name="_Toc296346549"/>
      <w:bookmarkStart w:id="649" w:name="_Toc296503048"/>
      <w:bookmarkStart w:id="650" w:name="_Toc337558749"/>
      <w:r>
        <w:rPr>
          <w:rFonts w:hint="eastAsia" w:ascii="方正仿宋_GB2312" w:hAnsi="方正仿宋_GB2312" w:eastAsia="方正仿宋_GB2312" w:cs="方正仿宋_GB2312"/>
          <w:b w:val="0"/>
          <w:color w:val="000000"/>
          <w:sz w:val="32"/>
          <w:szCs w:val="32"/>
        </w:rPr>
        <w:t xml:space="preserve">.3 </w:t>
      </w:r>
      <w:bookmarkEnd w:id="648"/>
      <w:bookmarkEnd w:id="649"/>
      <w:r>
        <w:rPr>
          <w:rFonts w:hint="eastAsia" w:ascii="方正仿宋_GB2312" w:hAnsi="方正仿宋_GB2312" w:eastAsia="方正仿宋_GB2312" w:cs="方正仿宋_GB2312"/>
          <w:b w:val="0"/>
          <w:color w:val="000000"/>
          <w:sz w:val="32"/>
          <w:szCs w:val="32"/>
        </w:rPr>
        <w:t>承包人人员</w:t>
      </w:r>
      <w:bookmarkEnd w:id="647"/>
    </w:p>
    <w:bookmarkEnd w:id="650"/>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特殊工种作业人员均应持有相应的资格证明，监理人可以随时检查。</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3.3.5 承包人擅自更换主要施工管理人员，或前述人员未经监理人或发包人同意擅自离开施工现场的，应按照专用合同条款约定承担违约责任。</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51" w:name="_Toc29413"/>
      <w:r>
        <w:rPr>
          <w:rFonts w:hint="eastAsia" w:ascii="方正仿宋_GB2312" w:hAnsi="方正仿宋_GB2312" w:eastAsia="方正仿宋_GB2312" w:cs="方正仿宋_GB2312"/>
          <w:b w:val="0"/>
          <w:color w:val="000000"/>
          <w:sz w:val="32"/>
          <w:szCs w:val="32"/>
        </w:rPr>
        <w:t>3</w:t>
      </w:r>
      <w:bookmarkStart w:id="652" w:name="_Toc337558750"/>
      <w:bookmarkStart w:id="653" w:name="_Toc296503050"/>
      <w:bookmarkStart w:id="654" w:name="_Toc296346551"/>
      <w:r>
        <w:rPr>
          <w:rFonts w:hint="eastAsia" w:ascii="方正仿宋_GB2312" w:hAnsi="方正仿宋_GB2312" w:eastAsia="方正仿宋_GB2312" w:cs="方正仿宋_GB2312"/>
          <w:b w:val="0"/>
          <w:color w:val="000000"/>
          <w:sz w:val="32"/>
          <w:szCs w:val="32"/>
        </w:rPr>
        <w:t>.4 承包人现场查勘</w:t>
      </w:r>
      <w:bookmarkEnd w:id="651"/>
    </w:p>
    <w:bookmarkEnd w:id="652"/>
    <w:bookmarkEnd w:id="653"/>
    <w:bookmarkEnd w:id="65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承包人应对基于发包人按照第2.4.3项〔提供基础资料〕提交的基础资料所做出的解释和推断负责，但因基础资料存在错误、遗漏导致承包人解释或推断失实的，由发包人承担责任。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55" w:name="_Toc22003"/>
      <w:r>
        <w:rPr>
          <w:rFonts w:hint="eastAsia" w:ascii="方正仿宋_GB2312" w:hAnsi="方正仿宋_GB2312" w:eastAsia="方正仿宋_GB2312" w:cs="方正仿宋_GB2312"/>
          <w:b w:val="0"/>
          <w:color w:val="000000"/>
          <w:sz w:val="32"/>
          <w:szCs w:val="32"/>
        </w:rPr>
        <w:t>3</w:t>
      </w:r>
      <w:bookmarkStart w:id="656" w:name="_Toc296346552"/>
      <w:bookmarkStart w:id="657" w:name="_Toc296503051"/>
      <w:bookmarkStart w:id="658" w:name="_Toc337558751"/>
      <w:r>
        <w:rPr>
          <w:rFonts w:hint="eastAsia" w:ascii="方正仿宋_GB2312" w:hAnsi="方正仿宋_GB2312" w:eastAsia="方正仿宋_GB2312" w:cs="方正仿宋_GB2312"/>
          <w:b w:val="0"/>
          <w:color w:val="000000"/>
          <w:sz w:val="32"/>
          <w:szCs w:val="32"/>
        </w:rPr>
        <w:t>.5 分包</w:t>
      </w:r>
      <w:bookmarkEnd w:id="655"/>
    </w:p>
    <w:bookmarkEnd w:id="656"/>
    <w:bookmarkEnd w:id="657"/>
    <w:bookmarkEnd w:id="658"/>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3.5.1 分包的一般约定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承包人不得以劳务分包的名义转包或违法分包工程。</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3.5.2 分包的确定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3.5.3 分包管理</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承包人应向监理人提交分包人的主要施工管理人员表，并对分包人的施工人员进行实名制管理，包括但不限于进出场管理、登记造册以及各种证照的办理。</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3.5.4 分包合同价款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（1）除本项第（2）目约定的情况或专用合同条款另有约定外，分包合同价款由承包人与分包人结算，未经承包人同意，发包人不得向分包人支付分包工程价款；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（2）生效法律文书要求发包人向分包人支付分包合同价款的，发包人有权从应付承包人工程款中扣除该部分款项。</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3.5.5 分包合同权益的转让</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59" w:name="_Toc5720"/>
      <w:r>
        <w:rPr>
          <w:rFonts w:hint="eastAsia" w:ascii="方正仿宋_GB2312" w:hAnsi="方正仿宋_GB2312" w:eastAsia="方正仿宋_GB2312" w:cs="方正仿宋_GB2312"/>
          <w:b w:val="0"/>
          <w:color w:val="000000"/>
          <w:sz w:val="32"/>
          <w:szCs w:val="32"/>
        </w:rPr>
        <w:t>3.6 工程照管与成品、半成品保护</w:t>
      </w:r>
      <w:bookmarkEnd w:id="659"/>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（1）除专用合同条款另有约定外，自发包人向承包人移交施工现场之日起，承包人应负责照管工程及工程相关的材料、工程设备，直到颁发工程接收证书之日止。</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（2）在承包人负责照管期间，因承包人原因造成工程、材料、工程设备损坏的，由承包人负责修复或更换，并承担由此增加的费用和（或）延误的工期。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（3）对合同内分期完成的成品和半成品，在工程接收证书颁发前，由承包人承担保护责任。因承包人原因造成成品或半成品损坏的，由承包人负责修复或更换，并承担由此增加的费用和（或）延误的工期。</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60" w:name="_Toc11890"/>
      <w:r>
        <w:rPr>
          <w:rFonts w:hint="eastAsia" w:ascii="方正仿宋_GB2312" w:hAnsi="方正仿宋_GB2312" w:eastAsia="方正仿宋_GB2312" w:cs="方正仿宋_GB2312"/>
          <w:b w:val="0"/>
          <w:color w:val="000000"/>
          <w:sz w:val="32"/>
          <w:szCs w:val="32"/>
        </w:rPr>
        <w:t>3</w:t>
      </w:r>
      <w:bookmarkStart w:id="661" w:name="_Toc337558752"/>
      <w:bookmarkStart w:id="662" w:name="_Toc296346553"/>
      <w:bookmarkStart w:id="663" w:name="_Toc296503052"/>
      <w:r>
        <w:rPr>
          <w:rFonts w:hint="eastAsia" w:ascii="方正仿宋_GB2312" w:hAnsi="方正仿宋_GB2312" w:eastAsia="方正仿宋_GB2312" w:cs="方正仿宋_GB2312"/>
          <w:b w:val="0"/>
          <w:color w:val="000000"/>
          <w:sz w:val="32"/>
          <w:szCs w:val="32"/>
        </w:rPr>
        <w:t>.7 履约担保</w:t>
      </w:r>
      <w:bookmarkEnd w:id="660"/>
    </w:p>
    <w:bookmarkEnd w:id="661"/>
    <w:bookmarkEnd w:id="662"/>
    <w:bookmarkEnd w:id="663"/>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发包人需要承包人提供履约担保的，由合同当事人在专用合同条款中约定履约担保的方式、金额及期限等。履约担保可以采用银行保函或担保公司担保等形式，具体由合同当事人在专用合同条款中约定。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因承包人原因导致工期延长的，继续提供履约担保所增加的费用由承包人承担；非因承包人原因导致工期延长的，继续提供履约担保所增加的费用由发包人承担。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64" w:name="_Toc22647"/>
      <w:r>
        <w:rPr>
          <w:rFonts w:hint="eastAsia" w:ascii="方正仿宋_GB2312" w:hAnsi="方正仿宋_GB2312" w:eastAsia="方正仿宋_GB2312" w:cs="方正仿宋_GB2312"/>
          <w:b w:val="0"/>
          <w:color w:val="000000"/>
          <w:sz w:val="32"/>
          <w:szCs w:val="32"/>
        </w:rPr>
        <w:t>3.8 联合体</w:t>
      </w:r>
      <w:bookmarkEnd w:id="664"/>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3.8.1 联合体各方应共同与发包人签订合同协议书。联合体各方应为履行合同向发包人承担连带责任。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3.8.2 联合体协议经发包人确认后作为合同附件。在履行合同过程中，未经发包人同意，不得修改联合体协议。</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3.8.3 联合体牵头人负责与发包人和监理人联系，并接受指示，负责组织联合体各成员全面履行合同。</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665" w:name="_Toc8698"/>
      <w:bookmarkStart w:id="666" w:name="_Toc11402"/>
      <w:bookmarkStart w:id="667" w:name="_Toc18656"/>
      <w:r>
        <w:rPr>
          <w:rFonts w:hint="eastAsia" w:ascii="方正仿宋_GB2312" w:hAnsi="方正仿宋_GB2312" w:eastAsia="方正仿宋_GB2312" w:cs="方正仿宋_GB2312"/>
          <w:b w:val="0"/>
          <w:color w:val="000000"/>
          <w:sz w:val="32"/>
          <w:szCs w:val="32"/>
        </w:rPr>
        <w:t>4</w:t>
      </w:r>
      <w:bookmarkStart w:id="668" w:name="_Toc296346554"/>
      <w:bookmarkStart w:id="669" w:name="_Toc296503053"/>
      <w:bookmarkStart w:id="670" w:name="_Toc337558753"/>
      <w:r>
        <w:rPr>
          <w:rFonts w:hint="eastAsia" w:ascii="方正仿宋_GB2312" w:hAnsi="方正仿宋_GB2312" w:eastAsia="方正仿宋_GB2312" w:cs="方正仿宋_GB2312"/>
          <w:b w:val="0"/>
          <w:color w:val="000000"/>
          <w:sz w:val="32"/>
          <w:szCs w:val="32"/>
        </w:rPr>
        <w:t>. 监</w:t>
      </w:r>
      <w:bookmarkEnd w:id="668"/>
      <w:bookmarkEnd w:id="669"/>
      <w:r>
        <w:rPr>
          <w:rFonts w:hint="eastAsia" w:ascii="方正仿宋_GB2312" w:hAnsi="方正仿宋_GB2312" w:eastAsia="方正仿宋_GB2312" w:cs="方正仿宋_GB2312"/>
          <w:b w:val="0"/>
          <w:color w:val="000000"/>
          <w:sz w:val="32"/>
          <w:szCs w:val="32"/>
        </w:rPr>
        <w:t>理人</w:t>
      </w:r>
      <w:bookmarkEnd w:id="665"/>
      <w:bookmarkEnd w:id="666"/>
      <w:bookmarkEnd w:id="667"/>
    </w:p>
    <w:bookmarkEnd w:id="670"/>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71" w:name="_Toc7148"/>
      <w:r>
        <w:rPr>
          <w:rFonts w:hint="eastAsia" w:ascii="方正仿宋_GB2312" w:hAnsi="方正仿宋_GB2312" w:eastAsia="方正仿宋_GB2312" w:cs="方正仿宋_GB2312"/>
          <w:b w:val="0"/>
          <w:color w:val="000000"/>
          <w:sz w:val="32"/>
          <w:szCs w:val="32"/>
        </w:rPr>
        <w:t>4</w:t>
      </w:r>
      <w:bookmarkStart w:id="672" w:name="_Toc296503054"/>
      <w:bookmarkStart w:id="673" w:name="_Toc296346555"/>
      <w:bookmarkStart w:id="674" w:name="_Toc337558754"/>
      <w:r>
        <w:rPr>
          <w:rFonts w:hint="eastAsia" w:ascii="方正仿宋_GB2312" w:hAnsi="方正仿宋_GB2312" w:eastAsia="方正仿宋_GB2312" w:cs="方正仿宋_GB2312"/>
          <w:b w:val="0"/>
          <w:color w:val="000000"/>
          <w:sz w:val="32"/>
          <w:szCs w:val="32"/>
        </w:rPr>
        <w:t>.1监理人的一般规定</w:t>
      </w:r>
      <w:bookmarkEnd w:id="671"/>
    </w:p>
    <w:bookmarkEnd w:id="672"/>
    <w:bookmarkEnd w:id="673"/>
    <w:bookmarkEnd w:id="67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除专用合同条款另有约定外，监理人在施工现场的办公场所、生活场所由承包人提供，所发生的费用由发包人承担。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75" w:name="_Toc9953"/>
      <w:r>
        <w:rPr>
          <w:rFonts w:hint="eastAsia" w:ascii="方正仿宋_GB2312" w:hAnsi="方正仿宋_GB2312" w:eastAsia="方正仿宋_GB2312" w:cs="方正仿宋_GB2312"/>
          <w:b w:val="0"/>
          <w:color w:val="000000"/>
          <w:sz w:val="32"/>
          <w:szCs w:val="32"/>
        </w:rPr>
        <w:t>4</w:t>
      </w:r>
      <w:bookmarkStart w:id="676" w:name="_Toc337558755"/>
      <w:r>
        <w:rPr>
          <w:rFonts w:hint="eastAsia" w:ascii="方正仿宋_GB2312" w:hAnsi="方正仿宋_GB2312" w:eastAsia="方正仿宋_GB2312" w:cs="方正仿宋_GB2312"/>
          <w:b w:val="0"/>
          <w:color w:val="000000"/>
          <w:sz w:val="32"/>
          <w:szCs w:val="32"/>
        </w:rPr>
        <w:t>.2监理人员</w:t>
      </w:r>
      <w:bookmarkEnd w:id="675"/>
    </w:p>
    <w:bookmarkEnd w:id="676"/>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77" w:name="_Toc26342"/>
      <w:r>
        <w:rPr>
          <w:rFonts w:hint="eastAsia" w:ascii="方正仿宋_GB2312" w:hAnsi="方正仿宋_GB2312" w:eastAsia="方正仿宋_GB2312" w:cs="方正仿宋_GB2312"/>
          <w:b w:val="0"/>
          <w:color w:val="000000"/>
          <w:sz w:val="32"/>
          <w:szCs w:val="32"/>
        </w:rPr>
        <w:t>4</w:t>
      </w:r>
      <w:bookmarkStart w:id="678" w:name="_Toc296503055"/>
      <w:bookmarkStart w:id="679" w:name="_Toc296346556"/>
      <w:bookmarkStart w:id="680" w:name="_Toc337558756"/>
      <w:r>
        <w:rPr>
          <w:rFonts w:hint="eastAsia" w:ascii="方正仿宋_GB2312" w:hAnsi="方正仿宋_GB2312" w:eastAsia="方正仿宋_GB2312" w:cs="方正仿宋_GB2312"/>
          <w:b w:val="0"/>
          <w:color w:val="000000"/>
          <w:sz w:val="32"/>
          <w:szCs w:val="32"/>
        </w:rPr>
        <w:t>.3</w:t>
      </w:r>
      <w:bookmarkEnd w:id="678"/>
      <w:bookmarkEnd w:id="679"/>
      <w:r>
        <w:rPr>
          <w:rFonts w:hint="eastAsia" w:ascii="方正仿宋_GB2312" w:hAnsi="方正仿宋_GB2312" w:eastAsia="方正仿宋_GB2312" w:cs="方正仿宋_GB2312"/>
          <w:b w:val="0"/>
          <w:color w:val="000000"/>
          <w:sz w:val="32"/>
          <w:szCs w:val="32"/>
        </w:rPr>
        <w:t>监理人的指</w:t>
      </w:r>
      <w:bookmarkEnd w:id="680"/>
      <w:r>
        <w:rPr>
          <w:rFonts w:hint="eastAsia" w:ascii="方正仿宋_GB2312" w:hAnsi="方正仿宋_GB2312" w:eastAsia="方正仿宋_GB2312" w:cs="方正仿宋_GB2312"/>
          <w:b w:val="0"/>
          <w:color w:val="000000"/>
          <w:sz w:val="32"/>
          <w:szCs w:val="32"/>
        </w:rPr>
        <w:t>示</w:t>
      </w:r>
      <w:bookmarkEnd w:id="677"/>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承包人对监理人发出的指示有疑问的，应向监理人提出书面异议，监理人应在48小时内对该指示予以确认、更改或撤销，监理人逾期未回复的，承包人有权拒绝执行上述指示。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监理人对承包人的任何工作、工程或其采用的材料和工程设备未在约定的或合理期限内提出意见的，视为批准，但不免除或减轻承包人对该工作、工程、材料、工程设备等应承担的责任和义务。</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81" w:name="_Toc31901"/>
      <w:r>
        <w:rPr>
          <w:rFonts w:hint="eastAsia" w:ascii="方正仿宋_GB2312" w:hAnsi="方正仿宋_GB2312" w:eastAsia="方正仿宋_GB2312" w:cs="方正仿宋_GB2312"/>
          <w:b w:val="0"/>
          <w:color w:val="000000"/>
          <w:sz w:val="32"/>
          <w:szCs w:val="32"/>
        </w:rPr>
        <w:t>4</w:t>
      </w:r>
      <w:bookmarkStart w:id="682" w:name="_Toc296346558"/>
      <w:bookmarkStart w:id="683" w:name="_Toc296503057"/>
      <w:bookmarkStart w:id="684" w:name="_Toc337558757"/>
      <w:r>
        <w:rPr>
          <w:rFonts w:hint="eastAsia" w:ascii="方正仿宋_GB2312" w:hAnsi="方正仿宋_GB2312" w:eastAsia="方正仿宋_GB2312" w:cs="方正仿宋_GB2312"/>
          <w:b w:val="0"/>
          <w:color w:val="000000"/>
          <w:sz w:val="32"/>
          <w:szCs w:val="32"/>
        </w:rPr>
        <w:t>.4 商定或确定</w:t>
      </w:r>
      <w:bookmarkEnd w:id="681"/>
    </w:p>
    <w:bookmarkEnd w:id="682"/>
    <w:bookmarkEnd w:id="683"/>
    <w:bookmarkEnd w:id="68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合同当事人进行商定或确定时，总监理工程师应当会同合同当事人尽量通过协商达成一致，不能达成一致的，由总监理工程师按照合同约定审慎做出公正的确定。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685" w:name="_Toc7792"/>
      <w:bookmarkStart w:id="686" w:name="_Toc24198"/>
      <w:bookmarkStart w:id="687" w:name="_Toc4310"/>
      <w:r>
        <w:rPr>
          <w:rFonts w:hint="eastAsia" w:ascii="方正仿宋_GB2312" w:hAnsi="方正仿宋_GB2312" w:eastAsia="方正仿宋_GB2312" w:cs="方正仿宋_GB2312"/>
          <w:b w:val="0"/>
          <w:color w:val="000000"/>
          <w:sz w:val="32"/>
          <w:szCs w:val="32"/>
        </w:rPr>
        <w:t>5</w:t>
      </w:r>
      <w:bookmarkStart w:id="688" w:name="_Toc337558758"/>
      <w:r>
        <w:rPr>
          <w:rFonts w:hint="eastAsia" w:ascii="方正仿宋_GB2312" w:hAnsi="方正仿宋_GB2312" w:eastAsia="方正仿宋_GB2312" w:cs="方正仿宋_GB2312"/>
          <w:b w:val="0"/>
          <w:color w:val="000000"/>
          <w:sz w:val="32"/>
          <w:szCs w:val="32"/>
        </w:rPr>
        <w:t>. 工程质量</w:t>
      </w:r>
      <w:bookmarkEnd w:id="685"/>
      <w:bookmarkEnd w:id="686"/>
      <w:bookmarkEnd w:id="687"/>
    </w:p>
    <w:bookmarkEnd w:id="688"/>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89" w:name="_Toc4095"/>
      <w:r>
        <w:rPr>
          <w:rFonts w:hint="eastAsia" w:ascii="方正仿宋_GB2312" w:hAnsi="方正仿宋_GB2312" w:eastAsia="方正仿宋_GB2312" w:cs="方正仿宋_GB2312"/>
          <w:b w:val="0"/>
          <w:color w:val="000000"/>
          <w:sz w:val="32"/>
          <w:szCs w:val="32"/>
        </w:rPr>
        <w:t>5</w:t>
      </w:r>
      <w:bookmarkStart w:id="690" w:name="_Toc337558759"/>
      <w:r>
        <w:rPr>
          <w:rFonts w:hint="eastAsia" w:ascii="方正仿宋_GB2312" w:hAnsi="方正仿宋_GB2312" w:eastAsia="方正仿宋_GB2312" w:cs="方正仿宋_GB2312"/>
          <w:b w:val="0"/>
          <w:color w:val="000000"/>
          <w:sz w:val="32"/>
          <w:szCs w:val="32"/>
        </w:rPr>
        <w:t>.1质量要求</w:t>
      </w:r>
      <w:bookmarkEnd w:id="689"/>
    </w:p>
    <w:bookmarkEnd w:id="690"/>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5.1.1 工程质量标准必须符合现行国家有关工程施工质量验收规范和标准的要求。有关工程质量的特殊标准或要求由合同当事人在专用合同条款中约定。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5.1.2 因发包人原因造成工程质量未达到合同约定标准的，由发包人承担由此增加的费用和（或）延误的工期，并支付承包人合理的利润。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5.1.3 因承包人原因造成工程质量未达到合同约定标准的，发包人有权要求承包人返工直至工程质量达到合同约定的标准为止，并由承包人承担由此增加的费用和（或）延误的工期。</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91" w:name="_Toc27445"/>
      <w:r>
        <w:rPr>
          <w:rFonts w:hint="eastAsia" w:ascii="方正仿宋_GB2312" w:hAnsi="方正仿宋_GB2312" w:eastAsia="方正仿宋_GB2312" w:cs="方正仿宋_GB2312"/>
          <w:b w:val="0"/>
          <w:color w:val="000000"/>
          <w:sz w:val="32"/>
          <w:szCs w:val="32"/>
        </w:rPr>
        <w:t>5</w:t>
      </w:r>
      <w:bookmarkStart w:id="692" w:name="_Toc337558760"/>
      <w:r>
        <w:rPr>
          <w:rFonts w:hint="eastAsia" w:ascii="方正仿宋_GB2312" w:hAnsi="方正仿宋_GB2312" w:eastAsia="方正仿宋_GB2312" w:cs="方正仿宋_GB2312"/>
          <w:b w:val="0"/>
          <w:color w:val="000000"/>
          <w:sz w:val="32"/>
          <w:szCs w:val="32"/>
        </w:rPr>
        <w:t>.2质量保证措施</w:t>
      </w:r>
      <w:bookmarkEnd w:id="691"/>
    </w:p>
    <w:bookmarkEnd w:id="692"/>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bookmarkStart w:id="693" w:name="_Toc27380"/>
      <w:r>
        <w:rPr>
          <w:rFonts w:hint="eastAsia" w:ascii="方正仿宋_GB2312" w:hAnsi="方正仿宋_GB2312" w:eastAsia="方正仿宋_GB2312" w:cs="方正仿宋_GB2312"/>
          <w:color w:val="000000"/>
          <w:kern w:val="0"/>
          <w:sz w:val="32"/>
          <w:szCs w:val="32"/>
        </w:rPr>
        <w:t>5.2.1 发包人的质量管理</w:t>
      </w:r>
      <w:bookmarkEnd w:id="693"/>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发包人应按照法律规定及合同约定完成与工程质量有关的各项工作。</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5.2.2 承包人的质量管理</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承包人应对施工人员进行质量教育和技术培训，定期考核施工人员的劳动技能，严格执行施工规范和操作规程。</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bookmarkStart w:id="694" w:name="_Toc16520"/>
      <w:r>
        <w:rPr>
          <w:rFonts w:hint="eastAsia" w:ascii="方正仿宋_GB2312" w:hAnsi="方正仿宋_GB2312" w:eastAsia="方正仿宋_GB2312" w:cs="方正仿宋_GB2312"/>
          <w:color w:val="000000"/>
          <w:kern w:val="0"/>
          <w:sz w:val="32"/>
          <w:szCs w:val="32"/>
        </w:rPr>
        <w:t>5.2.3 监理人的质量检查和检验</w:t>
      </w:r>
      <w:bookmarkEnd w:id="694"/>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95" w:name="_Toc27457"/>
      <w:r>
        <w:rPr>
          <w:rFonts w:hint="eastAsia" w:ascii="方正仿宋_GB2312" w:hAnsi="方正仿宋_GB2312" w:eastAsia="方正仿宋_GB2312" w:cs="方正仿宋_GB2312"/>
          <w:b w:val="0"/>
          <w:color w:val="000000"/>
          <w:sz w:val="32"/>
          <w:szCs w:val="32"/>
        </w:rPr>
        <w:t>5</w:t>
      </w:r>
      <w:bookmarkStart w:id="696" w:name="_Toc337558761"/>
      <w:r>
        <w:rPr>
          <w:rFonts w:hint="eastAsia" w:ascii="方正仿宋_GB2312" w:hAnsi="方正仿宋_GB2312" w:eastAsia="方正仿宋_GB2312" w:cs="方正仿宋_GB2312"/>
          <w:b w:val="0"/>
          <w:color w:val="000000"/>
          <w:sz w:val="32"/>
          <w:szCs w:val="32"/>
        </w:rPr>
        <w:t>.3 隐蔽工程检查</w:t>
      </w:r>
      <w:bookmarkEnd w:id="695"/>
    </w:p>
    <w:bookmarkEnd w:id="696"/>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5.3.1承包人自检</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承包人应当对工程隐蔽部位进行自检，并经自检确认是否具备覆盖条件。</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5.3.2检查程序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5.3.3 重新检查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5.3.4 承包人私自覆盖</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承包人未通知监理人到场检查，私自将工程隐蔽部位覆盖的，监理人有权指示承包人钻孔探测或揭开检查，无论工程隐蔽部位质量是否合格，由此增加的费用和（或）延误的工期均由承包人承担。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97" w:name="_Toc9242"/>
      <w:r>
        <w:rPr>
          <w:rFonts w:hint="eastAsia" w:ascii="方正仿宋_GB2312" w:hAnsi="方正仿宋_GB2312" w:eastAsia="方正仿宋_GB2312" w:cs="方正仿宋_GB2312"/>
          <w:b w:val="0"/>
          <w:color w:val="000000"/>
          <w:sz w:val="32"/>
          <w:szCs w:val="32"/>
        </w:rPr>
        <w:t>5</w:t>
      </w:r>
      <w:bookmarkStart w:id="698" w:name="_Toc337558762"/>
      <w:r>
        <w:rPr>
          <w:rFonts w:hint="eastAsia" w:ascii="方正仿宋_GB2312" w:hAnsi="方正仿宋_GB2312" w:eastAsia="方正仿宋_GB2312" w:cs="方正仿宋_GB2312"/>
          <w:b w:val="0"/>
          <w:color w:val="000000"/>
          <w:sz w:val="32"/>
          <w:szCs w:val="32"/>
        </w:rPr>
        <w:t>.4不合格工程的处理</w:t>
      </w:r>
      <w:bookmarkEnd w:id="697"/>
    </w:p>
    <w:bookmarkEnd w:id="698"/>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5.4.2 因发包人原因造成工程不合格的，由此增加的费用和（或）延误的工期由发包人承担，并支付承包人合理的利润。</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699" w:name="_Toc817"/>
      <w:r>
        <w:rPr>
          <w:rFonts w:hint="eastAsia" w:ascii="方正仿宋_GB2312" w:hAnsi="方正仿宋_GB2312" w:eastAsia="方正仿宋_GB2312" w:cs="方正仿宋_GB2312"/>
          <w:b w:val="0"/>
          <w:color w:val="000000"/>
          <w:sz w:val="32"/>
          <w:szCs w:val="32"/>
        </w:rPr>
        <w:t>5.5 质量争议检测</w:t>
      </w:r>
      <w:bookmarkEnd w:id="699"/>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合同当事人对工程质量有争议的，由双方协商确定的工程质量检测机构鉴定，由此产生的费用及因此造成的损失，由责任方承担。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合同当事人均有责任的，由双方根据其责任分别承担。合同当事人无法达成一致的，按照第4.4款〔商定或确定〕执行。</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700" w:name="_Toc27387"/>
      <w:bookmarkStart w:id="701" w:name="_Toc16537"/>
      <w:bookmarkStart w:id="702" w:name="_Toc10072"/>
      <w:r>
        <w:rPr>
          <w:rFonts w:hint="eastAsia" w:ascii="方正仿宋_GB2312" w:hAnsi="方正仿宋_GB2312" w:eastAsia="方正仿宋_GB2312" w:cs="方正仿宋_GB2312"/>
          <w:b w:val="0"/>
          <w:color w:val="000000"/>
          <w:sz w:val="32"/>
          <w:szCs w:val="32"/>
        </w:rPr>
        <w:t>6</w:t>
      </w:r>
      <w:bookmarkStart w:id="703" w:name="_Toc337558763"/>
      <w:r>
        <w:rPr>
          <w:rFonts w:hint="eastAsia" w:ascii="方正仿宋_GB2312" w:hAnsi="方正仿宋_GB2312" w:eastAsia="方正仿宋_GB2312" w:cs="方正仿宋_GB2312"/>
          <w:b w:val="0"/>
          <w:color w:val="000000"/>
          <w:sz w:val="32"/>
          <w:szCs w:val="32"/>
        </w:rPr>
        <w:t>. 安全文明施工与环境保护</w:t>
      </w:r>
      <w:bookmarkEnd w:id="700"/>
      <w:bookmarkEnd w:id="701"/>
      <w:bookmarkEnd w:id="702"/>
    </w:p>
    <w:bookmarkEnd w:id="703"/>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04" w:name="_Toc32411"/>
      <w:r>
        <w:rPr>
          <w:rFonts w:hint="eastAsia" w:ascii="方正仿宋_GB2312" w:hAnsi="方正仿宋_GB2312" w:eastAsia="方正仿宋_GB2312" w:cs="方正仿宋_GB2312"/>
          <w:b w:val="0"/>
          <w:color w:val="000000"/>
          <w:sz w:val="32"/>
          <w:szCs w:val="32"/>
        </w:rPr>
        <w:t>6</w:t>
      </w:r>
      <w:bookmarkStart w:id="705" w:name="_Toc337558764"/>
      <w:r>
        <w:rPr>
          <w:rFonts w:hint="eastAsia" w:ascii="方正仿宋_GB2312" w:hAnsi="方正仿宋_GB2312" w:eastAsia="方正仿宋_GB2312" w:cs="方正仿宋_GB2312"/>
          <w:b w:val="0"/>
          <w:color w:val="000000"/>
          <w:sz w:val="32"/>
          <w:szCs w:val="32"/>
        </w:rPr>
        <w:t>.1安全文明施工</w:t>
      </w:r>
      <w:bookmarkEnd w:id="704"/>
    </w:p>
    <w:bookmarkEnd w:id="705"/>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6.1.1安全生产要求</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在施工过程中，如遇到突发的地质变动、事先未知的地下施工障碍等影响施工安全的紧急情况，承包人应及时报告监理人和发包人，发包人应当及时下令停工并报</w:t>
      </w:r>
      <w:r>
        <w:rPr>
          <w:rFonts w:hint="eastAsia" w:ascii="方正仿宋_GB2312" w:hAnsi="方正仿宋_GB2312" w:eastAsia="方正仿宋_GB2312" w:cs="方正仿宋_GB2312"/>
          <w:color w:val="000000"/>
          <w:kern w:val="0"/>
          <w:sz w:val="32"/>
          <w:szCs w:val="32"/>
        </w:rPr>
        <w:t>政府有关行政管理部门</w:t>
      </w:r>
      <w:r>
        <w:rPr>
          <w:rFonts w:hint="eastAsia" w:ascii="方正仿宋_GB2312" w:hAnsi="方正仿宋_GB2312" w:eastAsia="方正仿宋_GB2312" w:cs="方正仿宋_GB2312"/>
          <w:color w:val="000000"/>
          <w:sz w:val="32"/>
          <w:szCs w:val="32"/>
        </w:rPr>
        <w:t>采取应急措施。</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因安全生产需要暂停施工的，按照第7.8款〔暂停施工〕的约定执行。</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6.1.2 安全生产保证措施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承包人应当按照有关</w:t>
      </w:r>
      <w:r>
        <w:rPr>
          <w:rFonts w:hint="eastAsia" w:ascii="方正仿宋_GB2312" w:hAnsi="方正仿宋_GB2312" w:eastAsia="方正仿宋_GB2312" w:cs="方正仿宋_GB2312"/>
          <w:color w:val="000000"/>
          <w:kern w:val="0"/>
          <w:sz w:val="32"/>
          <w:szCs w:val="32"/>
        </w:rPr>
        <w:t>规定编制安全技术措施或者专项施工方案，</w:t>
      </w:r>
      <w:r>
        <w:rPr>
          <w:rFonts w:hint="eastAsia" w:ascii="方正仿宋_GB2312" w:hAnsi="方正仿宋_GB2312" w:eastAsia="方正仿宋_GB2312" w:cs="方正仿宋_GB2312"/>
          <w:color w:val="000000"/>
          <w:sz w:val="32"/>
          <w:szCs w:val="32"/>
        </w:rPr>
        <w:t>建立安全生产责任制度、治安保卫制度及安全生产教育培训制度，并</w:t>
      </w:r>
      <w:r>
        <w:rPr>
          <w:rFonts w:hint="eastAsia" w:ascii="方正仿宋_GB2312" w:hAnsi="方正仿宋_GB2312" w:eastAsia="方正仿宋_GB2312" w:cs="方正仿宋_GB2312"/>
          <w:color w:val="000000"/>
          <w:kern w:val="0"/>
          <w:sz w:val="32"/>
          <w:szCs w:val="32"/>
        </w:rPr>
        <w:t>按安全生产法律规定及合同约定履行安全职责，如实</w:t>
      </w:r>
      <w:r>
        <w:rPr>
          <w:rFonts w:hint="eastAsia" w:ascii="方正仿宋_GB2312" w:hAnsi="方正仿宋_GB2312" w:eastAsia="方正仿宋_GB2312" w:cs="方正仿宋_GB2312"/>
          <w:color w:val="000000"/>
          <w:sz w:val="32"/>
          <w:szCs w:val="32"/>
        </w:rPr>
        <w:t>编制工程安全生产的有关记录，</w:t>
      </w:r>
      <w:r>
        <w:rPr>
          <w:rFonts w:hint="eastAsia" w:ascii="方正仿宋_GB2312" w:hAnsi="方正仿宋_GB2312" w:eastAsia="方正仿宋_GB2312" w:cs="方正仿宋_GB2312"/>
          <w:color w:val="000000"/>
          <w:kern w:val="0"/>
          <w:sz w:val="32"/>
          <w:szCs w:val="32"/>
        </w:rPr>
        <w:t>接受发包人、监理人及政府安全监督部门的检查与监督。</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6.1.3特别安全生产事项</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 xml:space="preserve">承包人在动力设备、输电线路、地下管道、密封防震车间、易燃易爆地段以及临街交通要道附近施工时，施工开始前应向发包人和监理人提出安全防护措施，经发包人认可后实施。 </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实施爆破作业，在放射、毒害性环境中施工（含储存、运输、使用）及使用毒害性、腐蚀性物品施工时，承包人应在施工前7天以书面通知发包人和监理人，并报送相应的安全防护措施，经发包人认可后实施。</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需单独编制危险性较大分部分项专项工程施工方案的，及要求进行专家论证的超过一定规模的危险性较大的分部分项工程，承包人应及时编制和组织论证。</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6.1.4 治安保卫</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除专用合同条款另有约定外，发包人应与当地公安部门协商，在现场建立治安管理机构或联防组织，统一管理施工场地的治安保卫事项，履行合同工程的治安保卫职责。</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发包人和承包人除应协助现场治安管理机构或联防组织维护施工场地的社会治安外，还应做好包括生活区在内的各自管辖区的治安保卫工作。</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6.1.5 文明施工</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6.1.6 安全文明施工费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安全文明施工费由发包人承担，发包人不得以任何形式扣减该部分费用。因基准日期后合同所适用的法律或政府有关规定发生变化，增加的安全文明施工费由发包人承担。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6.1.7 紧急情况处理</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6.1.8 事故处理</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6.1.9 安全生产责任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6.1.9.1 发包人的安全责任</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发包人应负责赔偿以下各种情况造成的损失：</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（1）工程或工程的任何部分对土地的占用所造成的第三者财产损失；</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（2）由于发包人原因在施工场地及其毗邻地带造成的第三者人身伤亡和财产损失；</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（3）由于发包人原因对承包人、监理人造成的人员人身伤亡和财产损失；</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（4）由于发包人原因造成的发包人自身人员的人身伤害以及财产损失。</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6.1.9.2 承包人的安全责任</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由于承包人原因在施工场地内及其毗邻地带造成的发包人、监理人以及第三者人员伤亡和财产损失，由承包人负责赔偿。</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06" w:name="_Toc5171"/>
      <w:r>
        <w:rPr>
          <w:rFonts w:hint="eastAsia" w:ascii="方正仿宋_GB2312" w:hAnsi="方正仿宋_GB2312" w:eastAsia="方正仿宋_GB2312" w:cs="方正仿宋_GB2312"/>
          <w:b w:val="0"/>
          <w:color w:val="000000"/>
          <w:sz w:val="32"/>
          <w:szCs w:val="32"/>
        </w:rPr>
        <w:t>6</w:t>
      </w:r>
      <w:bookmarkStart w:id="707" w:name="_Toc337558765"/>
      <w:r>
        <w:rPr>
          <w:rFonts w:hint="eastAsia" w:ascii="方正仿宋_GB2312" w:hAnsi="方正仿宋_GB2312" w:eastAsia="方正仿宋_GB2312" w:cs="方正仿宋_GB2312"/>
          <w:b w:val="0"/>
          <w:color w:val="000000"/>
          <w:sz w:val="32"/>
          <w:szCs w:val="32"/>
        </w:rPr>
        <w:t>.2 职业健康</w:t>
      </w:r>
      <w:bookmarkEnd w:id="706"/>
    </w:p>
    <w:bookmarkEnd w:id="707"/>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6.2.1 劳动保护</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承包人应按法律规定安排工作时间，保证其雇佣人员享有休息和休假的权利。因工程施工的特殊需要占用休假日或延长工作时间的，应不超过法律规定的限度，并按法律规定给予补休或付酬。</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6.2.2 生活条件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08" w:name="_Toc3508"/>
      <w:r>
        <w:rPr>
          <w:rFonts w:hint="eastAsia" w:ascii="方正仿宋_GB2312" w:hAnsi="方正仿宋_GB2312" w:eastAsia="方正仿宋_GB2312" w:cs="方正仿宋_GB2312"/>
          <w:b w:val="0"/>
          <w:color w:val="000000"/>
          <w:sz w:val="32"/>
          <w:szCs w:val="32"/>
        </w:rPr>
        <w:t>6</w:t>
      </w:r>
      <w:bookmarkStart w:id="709" w:name="_Toc337558766"/>
      <w:r>
        <w:rPr>
          <w:rFonts w:hint="eastAsia" w:ascii="方正仿宋_GB2312" w:hAnsi="方正仿宋_GB2312" w:eastAsia="方正仿宋_GB2312" w:cs="方正仿宋_GB2312"/>
          <w:b w:val="0"/>
          <w:color w:val="000000"/>
          <w:sz w:val="32"/>
          <w:szCs w:val="32"/>
        </w:rPr>
        <w:t>.3 环境保护</w:t>
      </w:r>
      <w:bookmarkEnd w:id="708"/>
    </w:p>
    <w:bookmarkEnd w:id="709"/>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承包人应当承担因其原因引起的环境污染侵权损害赔偿责任，因上述环境污染引起纠纷而导致暂停施工的，由此增加的费用和（或）延误的工期由承包人承担。</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710" w:name="_Toc12099"/>
      <w:bookmarkStart w:id="711" w:name="_Toc21934"/>
      <w:bookmarkStart w:id="712" w:name="_Toc4703"/>
      <w:r>
        <w:rPr>
          <w:rFonts w:hint="eastAsia" w:ascii="方正仿宋_GB2312" w:hAnsi="方正仿宋_GB2312" w:eastAsia="方正仿宋_GB2312" w:cs="方正仿宋_GB2312"/>
          <w:b w:val="0"/>
          <w:color w:val="000000"/>
          <w:sz w:val="32"/>
          <w:szCs w:val="32"/>
        </w:rPr>
        <w:t>7</w:t>
      </w:r>
      <w:bookmarkStart w:id="713" w:name="_Toc337558767"/>
      <w:r>
        <w:rPr>
          <w:rFonts w:hint="eastAsia" w:ascii="方正仿宋_GB2312" w:hAnsi="方正仿宋_GB2312" w:eastAsia="方正仿宋_GB2312" w:cs="方正仿宋_GB2312"/>
          <w:b w:val="0"/>
          <w:color w:val="000000"/>
          <w:sz w:val="32"/>
          <w:szCs w:val="32"/>
        </w:rPr>
        <w:t>. 工期和进度</w:t>
      </w:r>
      <w:bookmarkEnd w:id="710"/>
      <w:bookmarkEnd w:id="711"/>
      <w:bookmarkEnd w:id="712"/>
    </w:p>
    <w:bookmarkEnd w:id="713"/>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14" w:name="_Toc10643"/>
      <w:r>
        <w:rPr>
          <w:rFonts w:hint="eastAsia" w:ascii="方正仿宋_GB2312" w:hAnsi="方正仿宋_GB2312" w:eastAsia="方正仿宋_GB2312" w:cs="方正仿宋_GB2312"/>
          <w:b w:val="0"/>
          <w:color w:val="000000"/>
          <w:sz w:val="32"/>
          <w:szCs w:val="32"/>
        </w:rPr>
        <w:t>7</w:t>
      </w:r>
      <w:bookmarkStart w:id="715" w:name="_Toc337558768"/>
      <w:bookmarkStart w:id="716" w:name="_Toc296503066"/>
      <w:bookmarkStart w:id="717" w:name="_Toc296346567"/>
      <w:r>
        <w:rPr>
          <w:rFonts w:hint="eastAsia" w:ascii="方正仿宋_GB2312" w:hAnsi="方正仿宋_GB2312" w:eastAsia="方正仿宋_GB2312" w:cs="方正仿宋_GB2312"/>
          <w:b w:val="0"/>
          <w:color w:val="000000"/>
          <w:sz w:val="32"/>
          <w:szCs w:val="32"/>
        </w:rPr>
        <w:t>.1施工组织设计</w:t>
      </w:r>
      <w:bookmarkEnd w:id="714"/>
    </w:p>
    <w:bookmarkEnd w:id="715"/>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sz w:val="32"/>
          <w:szCs w:val="32"/>
        </w:rPr>
        <w:t>7.1.1</w:t>
      </w: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kern w:val="0"/>
          <w:sz w:val="32"/>
          <w:szCs w:val="32"/>
        </w:rPr>
        <w:t>施工组织设计的内容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施工组织设计应包含以下内容：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（1）施工方案；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（2）施工现场平面布置图；</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（3）施工进度计划和保证措施；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（4）劳动力及材料供应计划；</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（5）施工机械设备的选用；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（6）质量保证体系及措施；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（7）安全生产、文明施工措施；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（8）环境保护、成本控制措施；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（9）合同当事人约定的其他内容。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sz w:val="32"/>
          <w:szCs w:val="32"/>
        </w:rPr>
        <w:t>7.1.2</w:t>
      </w: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kern w:val="0"/>
          <w:sz w:val="32"/>
          <w:szCs w:val="32"/>
        </w:rPr>
        <w:t>施工组织设计的提交和修改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施工进度计划的编制和修改按照第7.2款〔施工进度计划〕执行。</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18" w:name="_Toc16921"/>
      <w:r>
        <w:rPr>
          <w:rFonts w:hint="eastAsia" w:ascii="方正仿宋_GB2312" w:hAnsi="方正仿宋_GB2312" w:eastAsia="方正仿宋_GB2312" w:cs="方正仿宋_GB2312"/>
          <w:b w:val="0"/>
          <w:color w:val="000000"/>
          <w:sz w:val="32"/>
          <w:szCs w:val="32"/>
        </w:rPr>
        <w:t>7</w:t>
      </w:r>
      <w:bookmarkStart w:id="719" w:name="_Toc337558769"/>
      <w:r>
        <w:rPr>
          <w:rFonts w:hint="eastAsia" w:ascii="方正仿宋_GB2312" w:hAnsi="方正仿宋_GB2312" w:eastAsia="方正仿宋_GB2312" w:cs="方正仿宋_GB2312"/>
          <w:b w:val="0"/>
          <w:color w:val="000000"/>
          <w:sz w:val="32"/>
          <w:szCs w:val="32"/>
        </w:rPr>
        <w:t>.2 施工进度计划</w:t>
      </w:r>
      <w:bookmarkEnd w:id="718"/>
    </w:p>
    <w:bookmarkEnd w:id="719"/>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7.2.1 施工进度计划的编制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7.2.2 施工进度计划的修订</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20" w:name="_Toc13528"/>
      <w:r>
        <w:rPr>
          <w:rFonts w:hint="eastAsia" w:ascii="方正仿宋_GB2312" w:hAnsi="方正仿宋_GB2312" w:eastAsia="方正仿宋_GB2312" w:cs="方正仿宋_GB2312"/>
          <w:b w:val="0"/>
          <w:color w:val="000000"/>
          <w:sz w:val="32"/>
          <w:szCs w:val="32"/>
        </w:rPr>
        <w:t>7</w:t>
      </w:r>
      <w:bookmarkStart w:id="721" w:name="_Toc337558770"/>
      <w:r>
        <w:rPr>
          <w:rFonts w:hint="eastAsia" w:ascii="方正仿宋_GB2312" w:hAnsi="方正仿宋_GB2312" w:eastAsia="方正仿宋_GB2312" w:cs="方正仿宋_GB2312"/>
          <w:b w:val="0"/>
          <w:color w:val="000000"/>
          <w:sz w:val="32"/>
          <w:szCs w:val="32"/>
        </w:rPr>
        <w:t>.3 开工</w:t>
      </w:r>
      <w:bookmarkEnd w:id="720"/>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7.3.1 开工准备</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除专用合同条款另有约定外，合同当事人应按约定完成开工准备工作。</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7.3.2 开工通知</w:t>
      </w:r>
    </w:p>
    <w:bookmarkEnd w:id="721"/>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22" w:name="_Toc28567"/>
      <w:r>
        <w:rPr>
          <w:rFonts w:hint="eastAsia" w:ascii="方正仿宋_GB2312" w:hAnsi="方正仿宋_GB2312" w:eastAsia="方正仿宋_GB2312" w:cs="方正仿宋_GB2312"/>
          <w:b w:val="0"/>
          <w:color w:val="000000"/>
          <w:sz w:val="32"/>
          <w:szCs w:val="32"/>
        </w:rPr>
        <w:t>7.4测量放线</w:t>
      </w:r>
      <w:bookmarkEnd w:id="722"/>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7.4.2 承包人负责施工过程中的全部施工测量放线工作，并配置具有相应资质的人员、合格的仪器、设备和其他物品。承包人应矫正工程的位置、标高、尺寸或准线中出现的任何差错，并对工程各部分的定位负责。</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施工过程中对施工现场内水准点等测量标志物的保护工作由承包人负责。</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23" w:name="_Toc28309"/>
      <w:r>
        <w:rPr>
          <w:rFonts w:hint="eastAsia" w:ascii="方正仿宋_GB2312" w:hAnsi="方正仿宋_GB2312" w:eastAsia="方正仿宋_GB2312" w:cs="方正仿宋_GB2312"/>
          <w:b w:val="0"/>
          <w:color w:val="000000"/>
          <w:sz w:val="32"/>
          <w:szCs w:val="32"/>
        </w:rPr>
        <w:t>7</w:t>
      </w:r>
      <w:bookmarkEnd w:id="716"/>
      <w:bookmarkEnd w:id="717"/>
      <w:bookmarkStart w:id="724" w:name="_Toc337558772"/>
      <w:bookmarkStart w:id="725" w:name="_Toc296503073"/>
      <w:bookmarkStart w:id="726" w:name="_Toc296346574"/>
      <w:r>
        <w:rPr>
          <w:rFonts w:hint="eastAsia" w:ascii="方正仿宋_GB2312" w:hAnsi="方正仿宋_GB2312" w:eastAsia="方正仿宋_GB2312" w:cs="方正仿宋_GB2312"/>
          <w:b w:val="0"/>
          <w:color w:val="000000"/>
          <w:sz w:val="32"/>
          <w:szCs w:val="32"/>
        </w:rPr>
        <w:t>.5 工期延误</w:t>
      </w:r>
      <w:bookmarkEnd w:id="723"/>
    </w:p>
    <w:bookmarkEnd w:id="724"/>
    <w:bookmarkEnd w:id="725"/>
    <w:bookmarkEnd w:id="726"/>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7.5.1 因发包人原因导致工期延误</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在合同履行过程中，因下列情况导致工期延误和（或）费用增加的，由发包人承担由此延误的工期和（或）增加的费用，且发包人应支付承包人合理的利润：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（1）发包人未能按合同约定提供图纸或所提供图纸不符合合同约定的；</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（2）发包人未能按合同约定提供施工现场、施工条件、基础资料、许可、批准等开工条件的；</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（3）发包人提供的测量基准点、基准线和水准点及其书面资料存在错误或疏漏的；</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（4）发包人未能在计划开工日期之日起7天内同意下达开工通知的；</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（5）发包人未能按合同约定日期支付工程预付款、进度款或竣工结算款的；</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（6）监理人未按合同约定发出指示、批准等文件的；</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（7）专用合同条款中约定的其他情形。</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7.5.2 因承包人原因导致工期延误</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bookmarkStart w:id="727" w:name="_Toc296503076"/>
      <w:bookmarkStart w:id="728" w:name="_Toc296346577"/>
      <w:r>
        <w:rPr>
          <w:rFonts w:hint="eastAsia" w:ascii="方正仿宋_GB2312" w:hAnsi="方正仿宋_GB2312" w:eastAsia="方正仿宋_GB2312" w:cs="方正仿宋_GB2312"/>
          <w:color w:val="000000"/>
          <w:kern w:val="0"/>
          <w:sz w:val="32"/>
          <w:szCs w:val="32"/>
        </w:rPr>
        <w:t>因</w:t>
      </w:r>
      <w:bookmarkEnd w:id="727"/>
      <w:bookmarkEnd w:id="728"/>
      <w:r>
        <w:rPr>
          <w:rFonts w:hint="eastAsia" w:ascii="方正仿宋_GB2312" w:hAnsi="方正仿宋_GB2312" w:eastAsia="方正仿宋_GB2312" w:cs="方正仿宋_GB2312"/>
          <w:color w:val="000000"/>
          <w:kern w:val="0"/>
          <w:sz w:val="32"/>
          <w:szCs w:val="32"/>
        </w:rPr>
        <w:t>承包人原因造成工期延误的，可以在专用合同条款中约定逾期竣工违约金的计算方法和逾期竣工违约金的上限。承包人支付逾期竣工违约金后，不免除承包人继续完成工程及修补缺陷的义务。</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29" w:name="_Toc27481"/>
      <w:r>
        <w:rPr>
          <w:rFonts w:hint="eastAsia" w:ascii="方正仿宋_GB2312" w:hAnsi="方正仿宋_GB2312" w:eastAsia="方正仿宋_GB2312" w:cs="方正仿宋_GB2312"/>
          <w:b w:val="0"/>
          <w:color w:val="000000"/>
          <w:sz w:val="32"/>
          <w:szCs w:val="32"/>
        </w:rPr>
        <w:t>7</w:t>
      </w:r>
      <w:bookmarkStart w:id="730" w:name="_Toc296346575"/>
      <w:bookmarkStart w:id="731" w:name="_Toc337558773"/>
      <w:bookmarkStart w:id="732" w:name="_Toc296503074"/>
      <w:bookmarkStart w:id="733" w:name="_Toc296503077"/>
      <w:bookmarkStart w:id="734" w:name="_Toc296346578"/>
      <w:r>
        <w:rPr>
          <w:rFonts w:hint="eastAsia" w:ascii="方正仿宋_GB2312" w:hAnsi="方正仿宋_GB2312" w:eastAsia="方正仿宋_GB2312" w:cs="方正仿宋_GB2312"/>
          <w:b w:val="0"/>
          <w:color w:val="000000"/>
          <w:sz w:val="32"/>
          <w:szCs w:val="32"/>
        </w:rPr>
        <w:t>.6 不利物质条件</w:t>
      </w:r>
      <w:bookmarkEnd w:id="729"/>
    </w:p>
    <w:bookmarkEnd w:id="730"/>
    <w:bookmarkEnd w:id="731"/>
    <w:bookmarkEnd w:id="732"/>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不利物质条件是指有经验的承包人在施工现场遇到的不可预见的自然物质条件、非自然的物质障碍和污染物，包括地表以下物质条件和水文条件以及专用合同条款约定的其他情形，但不包括气候条件。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35" w:name="_Toc12673"/>
      <w:r>
        <w:rPr>
          <w:rFonts w:hint="eastAsia" w:ascii="方正仿宋_GB2312" w:hAnsi="方正仿宋_GB2312" w:eastAsia="方正仿宋_GB2312" w:cs="方正仿宋_GB2312"/>
          <w:b w:val="0"/>
          <w:color w:val="000000"/>
          <w:sz w:val="32"/>
          <w:szCs w:val="32"/>
        </w:rPr>
        <w:t>7</w:t>
      </w:r>
      <w:bookmarkStart w:id="736" w:name="_Toc296346576"/>
      <w:bookmarkStart w:id="737" w:name="_Toc337558774"/>
      <w:bookmarkStart w:id="738" w:name="_Toc296503075"/>
      <w:r>
        <w:rPr>
          <w:rFonts w:hint="eastAsia" w:ascii="方正仿宋_GB2312" w:hAnsi="方正仿宋_GB2312" w:eastAsia="方正仿宋_GB2312" w:cs="方正仿宋_GB2312"/>
          <w:b w:val="0"/>
          <w:color w:val="000000"/>
          <w:sz w:val="32"/>
          <w:szCs w:val="32"/>
        </w:rPr>
        <w:t>.7 异常恶劣的气候条件</w:t>
      </w:r>
      <w:bookmarkEnd w:id="735"/>
    </w:p>
    <w:bookmarkEnd w:id="736"/>
    <w:bookmarkEnd w:id="737"/>
    <w:bookmarkEnd w:id="738"/>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bCs/>
          <w:color w:val="000000"/>
          <w:sz w:val="32"/>
          <w:szCs w:val="32"/>
        </w:rPr>
      </w:pPr>
      <w:bookmarkStart w:id="739" w:name="_Toc27807"/>
      <w:r>
        <w:rPr>
          <w:rFonts w:hint="eastAsia" w:ascii="方正仿宋_GB2312" w:hAnsi="方正仿宋_GB2312" w:eastAsia="方正仿宋_GB2312" w:cs="方正仿宋_GB2312"/>
          <w:bCs/>
          <w:color w:val="000000"/>
          <w:sz w:val="32"/>
          <w:szCs w:val="32"/>
        </w:rPr>
        <w:t>7</w:t>
      </w:r>
      <w:bookmarkStart w:id="740" w:name="_Toc337558775"/>
      <w:r>
        <w:rPr>
          <w:rFonts w:hint="eastAsia" w:ascii="方正仿宋_GB2312" w:hAnsi="方正仿宋_GB2312" w:eastAsia="方正仿宋_GB2312" w:cs="方正仿宋_GB2312"/>
          <w:bCs/>
          <w:color w:val="000000"/>
          <w:sz w:val="32"/>
          <w:szCs w:val="32"/>
        </w:rPr>
        <w:t>.8 暂停施工</w:t>
      </w:r>
      <w:bookmarkEnd w:id="739"/>
    </w:p>
    <w:bookmarkEnd w:id="733"/>
    <w:bookmarkEnd w:id="734"/>
    <w:bookmarkEnd w:id="740"/>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7.8.1发包人原因引起的暂停施工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因发包人原因引起暂停施工的，监理人经发包人同意后，应及时下达暂停施工指示。情况紧急且监理人未及时下达暂停施工指示的，按照第7.8.4项〔紧急情况下的暂停施工〕执行。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因发包人原因引起的暂停施工，发包人应承担由此增加的费用和（或）延误的工期，</w:t>
      </w:r>
      <w:r>
        <w:rPr>
          <w:rFonts w:hint="eastAsia" w:ascii="方正仿宋_GB2312" w:hAnsi="方正仿宋_GB2312" w:eastAsia="方正仿宋_GB2312" w:cs="方正仿宋_GB2312"/>
          <w:kern w:val="0"/>
          <w:sz w:val="32"/>
          <w:szCs w:val="32"/>
        </w:rPr>
        <w:t>并支付承包人</w:t>
      </w:r>
      <w:r>
        <w:rPr>
          <w:rFonts w:hint="eastAsia" w:ascii="方正仿宋_GB2312" w:hAnsi="方正仿宋_GB2312" w:eastAsia="方正仿宋_GB2312" w:cs="方正仿宋_GB2312"/>
          <w:color w:val="000000"/>
          <w:kern w:val="0"/>
          <w:sz w:val="32"/>
          <w:szCs w:val="32"/>
        </w:rPr>
        <w:t>合理的利润。</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7.8.2 承包人原因引起的暂停施工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7.8.3 指示暂停施工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监理人认为有必要时，并经发包人批准后，可向承包人作出暂停施工的指示，承包人应按监理人指示暂停施工。</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7.8.4 紧急情况下的暂停施工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7.8.5 暂停施工后的复工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承包人无故拖延和拒绝复工的，承包人承担由此增加的费用和（或）延误的工期；因发包人原因无法按时复工的，按照第7.5.1项〔因发包人原因导致工期延误〕约定办理。</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7.8.6 暂停施工持续56天以上</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pageBreakBefore w:val="0"/>
        <w:widowControl w:val="0"/>
        <w:kinsoku/>
        <w:wordWrap/>
        <w:overflowPunct/>
        <w:topLinePunct w:val="0"/>
        <w:bidi w:val="0"/>
        <w:snapToGrid/>
        <w:spacing w:line="440" w:lineRule="exact"/>
        <w:ind w:left="16"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7.8.7 暂停施工期间的工程照管</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暂停施工期间，承包人应负责妥善照管工程并提供安全保障，由此增加的费用由责任方承担。</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7.8.8 暂停施工的措施</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暂停施工期间，发包人和承包人均应采取必要的措施确保工程质量及安全，防止因暂停施工扩大损失。</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41" w:name="_Toc2489"/>
      <w:r>
        <w:rPr>
          <w:rFonts w:hint="eastAsia" w:ascii="方正仿宋_GB2312" w:hAnsi="方正仿宋_GB2312" w:eastAsia="方正仿宋_GB2312" w:cs="方正仿宋_GB2312"/>
          <w:b w:val="0"/>
          <w:color w:val="000000"/>
          <w:sz w:val="32"/>
          <w:szCs w:val="32"/>
        </w:rPr>
        <w:t>7.9提前竣工</w:t>
      </w:r>
      <w:bookmarkEnd w:id="741"/>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7.9.2 发包人要求承包人提前竣工，或承包人提出提前竣工的建议能够给发包人带来效益的，合同当事人可以在专用合同条款中约定提前竣工的奖励。</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742" w:name="_Toc7473"/>
      <w:bookmarkStart w:id="743" w:name="_Toc8837"/>
      <w:bookmarkStart w:id="744" w:name="_Toc8575"/>
      <w:r>
        <w:rPr>
          <w:rFonts w:hint="eastAsia" w:ascii="方正仿宋_GB2312" w:hAnsi="方正仿宋_GB2312" w:eastAsia="方正仿宋_GB2312" w:cs="方正仿宋_GB2312"/>
          <w:b w:val="0"/>
          <w:color w:val="000000"/>
          <w:sz w:val="32"/>
          <w:szCs w:val="32"/>
        </w:rPr>
        <w:t>8</w:t>
      </w:r>
      <w:bookmarkStart w:id="745" w:name="_Toc337558776"/>
      <w:bookmarkStart w:id="746" w:name="_Toc296503058"/>
      <w:bookmarkStart w:id="747" w:name="_Toc296346559"/>
      <w:r>
        <w:rPr>
          <w:rFonts w:hint="eastAsia" w:ascii="方正仿宋_GB2312" w:hAnsi="方正仿宋_GB2312" w:eastAsia="方正仿宋_GB2312" w:cs="方正仿宋_GB2312"/>
          <w:b w:val="0"/>
          <w:color w:val="000000"/>
          <w:sz w:val="32"/>
          <w:szCs w:val="32"/>
        </w:rPr>
        <w:t>. 材料与设备</w:t>
      </w:r>
      <w:bookmarkEnd w:id="742"/>
      <w:bookmarkEnd w:id="743"/>
      <w:bookmarkEnd w:id="744"/>
    </w:p>
    <w:bookmarkEnd w:id="745"/>
    <w:bookmarkEnd w:id="746"/>
    <w:bookmarkEnd w:id="747"/>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48" w:name="_Toc15775"/>
      <w:r>
        <w:rPr>
          <w:rFonts w:hint="eastAsia" w:ascii="方正仿宋_GB2312" w:hAnsi="方正仿宋_GB2312" w:eastAsia="方正仿宋_GB2312" w:cs="方正仿宋_GB2312"/>
          <w:b w:val="0"/>
          <w:color w:val="000000"/>
          <w:sz w:val="32"/>
          <w:szCs w:val="32"/>
        </w:rPr>
        <w:t>8</w:t>
      </w:r>
      <w:bookmarkStart w:id="749" w:name="_Toc337558777"/>
      <w:bookmarkStart w:id="750" w:name="_Toc296346560"/>
      <w:bookmarkStart w:id="751" w:name="_Toc296503059"/>
      <w:bookmarkStart w:id="752" w:name="_Toc468936960"/>
      <w:r>
        <w:rPr>
          <w:rFonts w:hint="eastAsia" w:ascii="方正仿宋_GB2312" w:hAnsi="方正仿宋_GB2312" w:eastAsia="方正仿宋_GB2312" w:cs="方正仿宋_GB2312"/>
          <w:b w:val="0"/>
          <w:color w:val="000000"/>
          <w:sz w:val="32"/>
          <w:szCs w:val="32"/>
        </w:rPr>
        <w:t>.1发包人供应材料与工程设备</w:t>
      </w:r>
      <w:bookmarkEnd w:id="748"/>
    </w:p>
    <w:bookmarkEnd w:id="749"/>
    <w:bookmarkEnd w:id="750"/>
    <w:bookmarkEnd w:id="751"/>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发包人自行供应材料、工程设备的，应在签订合同时在专用合同条款的附件《发包人供应材料设备一览表》中明确材料、工程设备的品种、规格、型号、数量、单价、质量等级和送达地点。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bookmarkStart w:id="753" w:name="_Toc27864"/>
      <w:r>
        <w:rPr>
          <w:rFonts w:hint="eastAsia" w:ascii="方正仿宋_GB2312" w:hAnsi="方正仿宋_GB2312" w:eastAsia="方正仿宋_GB2312" w:cs="方正仿宋_GB2312"/>
          <w:b w:val="0"/>
          <w:color w:val="000000"/>
          <w:sz w:val="32"/>
          <w:szCs w:val="32"/>
        </w:rPr>
        <w:t>8</w:t>
      </w:r>
      <w:bookmarkStart w:id="754" w:name="_Toc337558778"/>
      <w:bookmarkStart w:id="755" w:name="_Toc296503060"/>
      <w:bookmarkStart w:id="756" w:name="_Toc296346561"/>
      <w:r>
        <w:rPr>
          <w:rFonts w:hint="eastAsia" w:ascii="方正仿宋_GB2312" w:hAnsi="方正仿宋_GB2312" w:eastAsia="方正仿宋_GB2312" w:cs="方正仿宋_GB2312"/>
          <w:b w:val="0"/>
          <w:color w:val="000000"/>
          <w:sz w:val="32"/>
          <w:szCs w:val="32"/>
        </w:rPr>
        <w:t>.2承包人采购材料与工程设备</w:t>
      </w:r>
      <w:bookmarkEnd w:id="753"/>
    </w:p>
    <w:bookmarkEnd w:id="754"/>
    <w:bookmarkEnd w:id="755"/>
    <w:bookmarkEnd w:id="756"/>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57" w:name="_Toc2709"/>
      <w:r>
        <w:rPr>
          <w:rFonts w:hint="eastAsia" w:ascii="方正仿宋_GB2312" w:hAnsi="方正仿宋_GB2312" w:eastAsia="方正仿宋_GB2312" w:cs="方正仿宋_GB2312"/>
          <w:b w:val="0"/>
          <w:color w:val="000000"/>
          <w:sz w:val="32"/>
          <w:szCs w:val="32"/>
        </w:rPr>
        <w:t>8</w:t>
      </w:r>
      <w:bookmarkStart w:id="758" w:name="_Toc337558779"/>
      <w:bookmarkStart w:id="759" w:name="_Toc296503061"/>
      <w:bookmarkStart w:id="760" w:name="_Toc296346562"/>
      <w:r>
        <w:rPr>
          <w:rFonts w:hint="eastAsia" w:ascii="方正仿宋_GB2312" w:hAnsi="方正仿宋_GB2312" w:eastAsia="方正仿宋_GB2312" w:cs="方正仿宋_GB2312"/>
          <w:b w:val="0"/>
          <w:color w:val="000000"/>
          <w:sz w:val="32"/>
          <w:szCs w:val="32"/>
        </w:rPr>
        <w:t>.3材料与工程设备的接收与拒收</w:t>
      </w:r>
      <w:bookmarkEnd w:id="757"/>
    </w:p>
    <w:bookmarkEnd w:id="758"/>
    <w:bookmarkEnd w:id="759"/>
    <w:bookmarkEnd w:id="760"/>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发包人提供的材料和工程设备的规格、数量或质量不符合合同约定的，或因发包人原因导致交货日期延误或交货地点变更等情况的，按照第16.1款〔发包人违约〕约定办理。</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8.3.2 承包人采购的材料和工程设备，应保证产品质量合格，承包人应在材料和工程设备到货前24小时通知监理人检验。承</w:t>
      </w:r>
      <w:bookmarkStart w:id="761" w:name="_Toc250655469"/>
      <w:r>
        <w:rPr>
          <w:rFonts w:hint="eastAsia" w:ascii="方正仿宋_GB2312" w:hAnsi="方正仿宋_GB2312" w:eastAsia="方正仿宋_GB2312" w:cs="方正仿宋_GB2312"/>
          <w:color w:val="000000"/>
          <w:kern w:val="0"/>
          <w:sz w:val="32"/>
          <w:szCs w:val="32"/>
        </w:rPr>
        <w:t>包人进行永久设备、材料的制造和生产的，应符合相关质量标准，并向监理人提交材料的样本以及有关资料，并应在使用该材料或工程设备之前获得监理人同意。</w:t>
      </w:r>
    </w:p>
    <w:bookmarkEnd w:id="761"/>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62" w:name="_Toc19604"/>
      <w:r>
        <w:rPr>
          <w:rFonts w:hint="eastAsia" w:ascii="方正仿宋_GB2312" w:hAnsi="方正仿宋_GB2312" w:eastAsia="方正仿宋_GB2312" w:cs="方正仿宋_GB2312"/>
          <w:b w:val="0"/>
          <w:color w:val="000000"/>
          <w:sz w:val="32"/>
          <w:szCs w:val="32"/>
        </w:rPr>
        <w:t>8</w:t>
      </w:r>
      <w:bookmarkStart w:id="763" w:name="_Toc296346563"/>
      <w:bookmarkStart w:id="764" w:name="_Toc337558780"/>
      <w:bookmarkStart w:id="765" w:name="_Toc296503062"/>
      <w:r>
        <w:rPr>
          <w:rFonts w:hint="eastAsia" w:ascii="方正仿宋_GB2312" w:hAnsi="方正仿宋_GB2312" w:eastAsia="方正仿宋_GB2312" w:cs="方正仿宋_GB2312"/>
          <w:b w:val="0"/>
          <w:color w:val="000000"/>
          <w:sz w:val="32"/>
          <w:szCs w:val="32"/>
        </w:rPr>
        <w:t>.4材料与工程设备的保管与使用</w:t>
      </w:r>
      <w:bookmarkEnd w:id="762"/>
    </w:p>
    <w:bookmarkEnd w:id="763"/>
    <w:bookmarkEnd w:id="764"/>
    <w:bookmarkEnd w:id="765"/>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8.4.1 发包人供应</w:t>
      </w:r>
      <w:r>
        <w:rPr>
          <w:rFonts w:hint="eastAsia" w:ascii="方正仿宋_GB2312" w:hAnsi="方正仿宋_GB2312" w:eastAsia="方正仿宋_GB2312" w:cs="方正仿宋_GB2312"/>
          <w:color w:val="000000"/>
          <w:sz w:val="32"/>
          <w:szCs w:val="32"/>
        </w:rPr>
        <w:t>材料与</w:t>
      </w:r>
      <w:r>
        <w:rPr>
          <w:rFonts w:hint="eastAsia" w:ascii="方正仿宋_GB2312" w:hAnsi="方正仿宋_GB2312" w:eastAsia="方正仿宋_GB2312" w:cs="方正仿宋_GB2312"/>
          <w:color w:val="000000"/>
          <w:kern w:val="0"/>
          <w:sz w:val="32"/>
          <w:szCs w:val="32"/>
        </w:rPr>
        <w:t>工程</w:t>
      </w:r>
      <w:r>
        <w:rPr>
          <w:rFonts w:hint="eastAsia" w:ascii="方正仿宋_GB2312" w:hAnsi="方正仿宋_GB2312" w:eastAsia="方正仿宋_GB2312" w:cs="方正仿宋_GB2312"/>
          <w:color w:val="000000"/>
          <w:sz w:val="32"/>
          <w:szCs w:val="32"/>
        </w:rPr>
        <w:t>设备的保管与使用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发包人供应的材料和工程设备使用前，由承包人负责检验，检验费用由发包人承担，不合格的不得使用。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8.4.2 承包人采购</w:t>
      </w:r>
      <w:r>
        <w:rPr>
          <w:rFonts w:hint="eastAsia" w:ascii="方正仿宋_GB2312" w:hAnsi="方正仿宋_GB2312" w:eastAsia="方正仿宋_GB2312" w:cs="方正仿宋_GB2312"/>
          <w:color w:val="000000"/>
          <w:sz w:val="32"/>
          <w:szCs w:val="32"/>
        </w:rPr>
        <w:t>材料与</w:t>
      </w:r>
      <w:r>
        <w:rPr>
          <w:rFonts w:hint="eastAsia" w:ascii="方正仿宋_GB2312" w:hAnsi="方正仿宋_GB2312" w:eastAsia="方正仿宋_GB2312" w:cs="方正仿宋_GB2312"/>
          <w:color w:val="000000"/>
          <w:kern w:val="0"/>
          <w:sz w:val="32"/>
          <w:szCs w:val="32"/>
        </w:rPr>
        <w:t>工程</w:t>
      </w:r>
      <w:r>
        <w:rPr>
          <w:rFonts w:hint="eastAsia" w:ascii="方正仿宋_GB2312" w:hAnsi="方正仿宋_GB2312" w:eastAsia="方正仿宋_GB2312" w:cs="方正仿宋_GB2312"/>
          <w:color w:val="000000"/>
          <w:sz w:val="32"/>
          <w:szCs w:val="32"/>
        </w:rPr>
        <w:t>设备的保管与使用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发包人或监理人发现承包人使用不符合设计或有关标准要求的材料和工程设备时，有权要求承包人进行修复、拆除或重新采购，由此增加的费用和（或）延误的工期，由承包人承担。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66" w:name="_Toc7333"/>
      <w:r>
        <w:rPr>
          <w:rFonts w:hint="eastAsia" w:ascii="方正仿宋_GB2312" w:hAnsi="方正仿宋_GB2312" w:eastAsia="方正仿宋_GB2312" w:cs="方正仿宋_GB2312"/>
          <w:b w:val="0"/>
          <w:color w:val="000000"/>
          <w:sz w:val="32"/>
          <w:szCs w:val="32"/>
        </w:rPr>
        <w:t>8.5禁止使用不合格的材料和工程设备</w:t>
      </w:r>
      <w:bookmarkEnd w:id="766"/>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8.5.1 监理人有权拒绝承包人提供的不合格材料或工程设备，并要求承包人立即进行更换。监理人应在更换后再次进行检查和检验，由此增加的费用和（或）延误的工期由承包人承担。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8.5.2 监理人发现承包人使用了不合格的材料和工程设备，承包人应按照监理人的指示立即改正，并禁止在工程中继续使用不合格的材料和工程设备。</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8.5.3 发包人提供的材料或工程设备不符合合同要求的，承包人有权拒绝，并可要求发包人更换，由此增加的费用和（或）延误的工期由发包人承担，并支付承包人合理的利润。</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67" w:name="_Toc29497"/>
      <w:r>
        <w:rPr>
          <w:rFonts w:hint="eastAsia" w:ascii="方正仿宋_GB2312" w:hAnsi="方正仿宋_GB2312" w:eastAsia="方正仿宋_GB2312" w:cs="方正仿宋_GB2312"/>
          <w:b w:val="0"/>
          <w:color w:val="000000"/>
          <w:sz w:val="32"/>
          <w:szCs w:val="32"/>
        </w:rPr>
        <w:t>8.6 样品</w:t>
      </w:r>
      <w:bookmarkEnd w:id="767"/>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8.6.1</w:t>
      </w:r>
      <w:r>
        <w:rPr>
          <w:rFonts w:hint="eastAsia" w:ascii="方正仿宋_GB2312" w:hAnsi="方正仿宋_GB2312" w:eastAsia="方正仿宋_GB2312" w:cs="方正仿宋_GB2312"/>
          <w:color w:val="000000"/>
          <w:kern w:val="0"/>
          <w:sz w:val="32"/>
          <w:szCs w:val="32"/>
        </w:rPr>
        <w:tab/>
      </w:r>
      <w:r>
        <w:rPr>
          <w:rFonts w:hint="eastAsia" w:ascii="方正仿宋_GB2312" w:hAnsi="方正仿宋_GB2312" w:eastAsia="方正仿宋_GB2312" w:cs="方正仿宋_GB2312"/>
          <w:color w:val="000000"/>
          <w:kern w:val="0"/>
          <w:sz w:val="32"/>
          <w:szCs w:val="32"/>
        </w:rPr>
        <w:t>样品的报送与封存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需要承包人报送样品的材料或工程设备，样品的种类、名称、规格、数量等要求均应在专用合同条款中约定。样品的报送程序如下：</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（3）经发包人和监理人审批确认的样品应按约定的方法封样，封存的样品作为检验工程相关部分的标准之一。承包人在施工过程中不得使用与样品不符的材料或工程设备。</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8.6.2 样品的保管</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经批准的样品应由监理人负责封存于现场，承包人应在现场为保存样品提供适当和固定的场所并保持适当和良好的存储环境条件。</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68" w:name="_Toc16470"/>
      <w:r>
        <w:rPr>
          <w:rFonts w:hint="eastAsia" w:ascii="方正仿宋_GB2312" w:hAnsi="方正仿宋_GB2312" w:eastAsia="方正仿宋_GB2312" w:cs="方正仿宋_GB2312"/>
          <w:b w:val="0"/>
          <w:color w:val="000000"/>
          <w:sz w:val="32"/>
          <w:szCs w:val="32"/>
        </w:rPr>
        <w:t>8.7材料与工程设备的替代</w:t>
      </w:r>
      <w:bookmarkEnd w:id="768"/>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8.7.1 出现下列情况需要使用替代材料和工程设备的，承包人应按照第8.7.2项约定的程序执行：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（1）基准日期后生效的法律规定禁止使用的；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（2）发包人要求使用替代品的；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（3）因其他原因必须使用替代品的。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8.7.2 承包人应在使用替代材料和工程设备28天前书面通知监理人，并附下列文件：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（1）被替代的材料和工程设备的名称、数量、规格、型号、品牌、性能、价格及其他相关资料；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（2）替代品的名称、数量、规格、型号、品牌、性能、价格及其他相关资料；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（3）替代品与被替代产品之间的差异以及使用替代品可能对工程产生的影响；</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（4）替代品与被替代产品的价格差异；</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（5）使用替代品的理由和原因说明；</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（6）监理人要求的其他文件。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监理人应在收到通知后14天内向承包人发出经发包人签认的书面指示；监理人逾期发出书面指示的，视为发包人和监理人同意使用替代品。</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69" w:name="_Toc14052"/>
      <w:r>
        <w:rPr>
          <w:rFonts w:hint="eastAsia" w:ascii="方正仿宋_GB2312" w:hAnsi="方正仿宋_GB2312" w:eastAsia="方正仿宋_GB2312" w:cs="方正仿宋_GB2312"/>
          <w:b w:val="0"/>
          <w:color w:val="000000"/>
          <w:sz w:val="32"/>
          <w:szCs w:val="32"/>
        </w:rPr>
        <w:t>8.8施工设备和临时设施</w:t>
      </w:r>
      <w:bookmarkEnd w:id="769"/>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8.8.1 承包人提供的施工设备和临时设施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承包人应按合同进度计划的要求，及时配置施工设备和修建临时设施。进入施工场地的承包人设备需经监理人核查后才能投入使用。承包人更换合同约定的承包人设备的，应报监理人批准。</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除专用合同条款另有约定外，承包人应自行承担修建临时设施的费用，需要临时占地的，应由发包人办理申请手续并承担相应费用。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8.8.2发包人提供的施工设备和临时设施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发包人提供的施工设备或临时设施在专用合同条款中约定。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8.8.3要求承包人增加或更换施工设备</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承包人使用的施工设备不能满足合同进度计划和（或）质量要求时，监理人有权要求承包人增加或更换施工设备，承包人应及时增加或更换，由此增加的费用和（或）延误的工期由承包人承担。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70" w:name="_Toc2109"/>
      <w:r>
        <w:rPr>
          <w:rFonts w:hint="eastAsia" w:ascii="方正仿宋_GB2312" w:hAnsi="方正仿宋_GB2312" w:eastAsia="方正仿宋_GB2312" w:cs="方正仿宋_GB2312"/>
          <w:b w:val="0"/>
          <w:color w:val="000000"/>
          <w:sz w:val="32"/>
          <w:szCs w:val="32"/>
        </w:rPr>
        <w:t>8</w:t>
      </w:r>
      <w:bookmarkStart w:id="771" w:name="_Toc296346564"/>
      <w:bookmarkStart w:id="772" w:name="_Toc337558781"/>
      <w:bookmarkStart w:id="773" w:name="_Toc296503063"/>
      <w:r>
        <w:rPr>
          <w:rFonts w:hint="eastAsia" w:ascii="方正仿宋_GB2312" w:hAnsi="方正仿宋_GB2312" w:eastAsia="方正仿宋_GB2312" w:cs="方正仿宋_GB2312"/>
          <w:b w:val="0"/>
          <w:color w:val="000000"/>
          <w:sz w:val="32"/>
          <w:szCs w:val="32"/>
        </w:rPr>
        <w:t>.9材料与设备专用要求</w:t>
      </w:r>
      <w:bookmarkEnd w:id="770"/>
    </w:p>
    <w:bookmarkEnd w:id="771"/>
    <w:bookmarkEnd w:id="772"/>
    <w:bookmarkEnd w:id="773"/>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承包人运入施工现场的材料、工程设备、施工设备以及在施工场地建设的临时设施，包括备品备件、安装工具与资料，必须专用于工程。未经发包人批准，承包人不得运出施工现场或挪作他用；</w:t>
      </w:r>
      <w:bookmarkEnd w:id="752"/>
      <w:r>
        <w:rPr>
          <w:rFonts w:hint="eastAsia" w:ascii="方正仿宋_GB2312" w:hAnsi="方正仿宋_GB2312" w:eastAsia="方正仿宋_GB2312" w:cs="方正仿宋_GB2312"/>
          <w:color w:val="000000"/>
          <w:kern w:val="0"/>
          <w:sz w:val="32"/>
          <w:szCs w:val="32"/>
        </w:rPr>
        <w:t>经发包人批准，承包人可以根据施工进度计划撤走闲置的施工设备和其他物品。</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774" w:name="_Toc1555"/>
      <w:bookmarkStart w:id="775" w:name="_Toc22869"/>
      <w:bookmarkStart w:id="776" w:name="_Toc18711"/>
      <w:r>
        <w:rPr>
          <w:rFonts w:hint="eastAsia" w:ascii="方正仿宋_GB2312" w:hAnsi="方正仿宋_GB2312" w:eastAsia="方正仿宋_GB2312" w:cs="方正仿宋_GB2312"/>
          <w:b w:val="0"/>
          <w:color w:val="000000"/>
          <w:sz w:val="32"/>
          <w:szCs w:val="32"/>
        </w:rPr>
        <w:t>9</w:t>
      </w:r>
      <w:bookmarkStart w:id="777" w:name="_Toc337558782"/>
      <w:bookmarkStart w:id="778" w:name="_Toc296503083"/>
      <w:bookmarkStart w:id="779" w:name="_Toc296346584"/>
      <w:r>
        <w:rPr>
          <w:rFonts w:hint="eastAsia" w:ascii="方正仿宋_GB2312" w:hAnsi="方正仿宋_GB2312" w:eastAsia="方正仿宋_GB2312" w:cs="方正仿宋_GB2312"/>
          <w:b w:val="0"/>
          <w:color w:val="000000"/>
          <w:sz w:val="32"/>
          <w:szCs w:val="32"/>
        </w:rPr>
        <w:t>. 试验与检验</w:t>
      </w:r>
      <w:bookmarkEnd w:id="774"/>
      <w:bookmarkEnd w:id="775"/>
      <w:bookmarkEnd w:id="776"/>
    </w:p>
    <w:bookmarkEnd w:id="777"/>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80" w:name="_Toc11279"/>
      <w:r>
        <w:rPr>
          <w:rFonts w:hint="eastAsia" w:ascii="方正仿宋_GB2312" w:hAnsi="方正仿宋_GB2312" w:eastAsia="方正仿宋_GB2312" w:cs="方正仿宋_GB2312"/>
          <w:b w:val="0"/>
          <w:color w:val="000000"/>
          <w:sz w:val="32"/>
          <w:szCs w:val="32"/>
        </w:rPr>
        <w:t>9</w:t>
      </w:r>
      <w:bookmarkStart w:id="781" w:name="_Toc337558783"/>
      <w:r>
        <w:rPr>
          <w:rFonts w:hint="eastAsia" w:ascii="方正仿宋_GB2312" w:hAnsi="方正仿宋_GB2312" w:eastAsia="方正仿宋_GB2312" w:cs="方正仿宋_GB2312"/>
          <w:b w:val="0"/>
          <w:color w:val="000000"/>
          <w:sz w:val="32"/>
          <w:szCs w:val="32"/>
        </w:rPr>
        <w:t>.1试验设备与试验人员</w:t>
      </w:r>
      <w:bookmarkEnd w:id="780"/>
    </w:p>
    <w:bookmarkEnd w:id="781"/>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9.1.2 承包人应按专用合同条款的约定提供试验设备、取样装置、试验场所和试验条件，并向监理人提交相应进场计划表。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承包人配置的试验设备要符合相应试验规程的要求并经过具有资质的检测单位检测，且在正式使用该试验设备前，需要经过监理人与承包人共同校定。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9.1.3 承包人应向监理人提交试验人员的名单及其岗位、资格等证明资料，试验人员必须能够熟练进行相应的检测试验，承包人对试验人员的试验程序和试验结果的正确性负责。</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82" w:name="_Toc1541"/>
      <w:r>
        <w:rPr>
          <w:rFonts w:hint="eastAsia" w:ascii="方正仿宋_GB2312" w:hAnsi="方正仿宋_GB2312" w:eastAsia="方正仿宋_GB2312" w:cs="方正仿宋_GB2312"/>
          <w:b w:val="0"/>
          <w:color w:val="000000"/>
          <w:sz w:val="32"/>
          <w:szCs w:val="32"/>
        </w:rPr>
        <w:t>9</w:t>
      </w:r>
      <w:bookmarkStart w:id="783" w:name="_Toc337558784"/>
      <w:r>
        <w:rPr>
          <w:rFonts w:hint="eastAsia" w:ascii="方正仿宋_GB2312" w:hAnsi="方正仿宋_GB2312" w:eastAsia="方正仿宋_GB2312" w:cs="方正仿宋_GB2312"/>
          <w:b w:val="0"/>
          <w:color w:val="000000"/>
          <w:sz w:val="32"/>
          <w:szCs w:val="32"/>
        </w:rPr>
        <w:t>.2取样</w:t>
      </w:r>
      <w:bookmarkEnd w:id="782"/>
    </w:p>
    <w:bookmarkEnd w:id="783"/>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试验属于自检性质的，承包人可以单独取样。试验属于监理人抽检性质的，可由监理人取样，也可由承包人的试验人员在监理人的监督下取样。</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84" w:name="_Toc21817"/>
      <w:r>
        <w:rPr>
          <w:rFonts w:hint="eastAsia" w:ascii="方正仿宋_GB2312" w:hAnsi="方正仿宋_GB2312" w:eastAsia="方正仿宋_GB2312" w:cs="方正仿宋_GB2312"/>
          <w:b w:val="0"/>
          <w:color w:val="000000"/>
          <w:sz w:val="32"/>
          <w:szCs w:val="32"/>
        </w:rPr>
        <w:t>9</w:t>
      </w:r>
      <w:bookmarkStart w:id="785" w:name="_Toc337558785"/>
      <w:r>
        <w:rPr>
          <w:rFonts w:hint="eastAsia" w:ascii="方正仿宋_GB2312" w:hAnsi="方正仿宋_GB2312" w:eastAsia="方正仿宋_GB2312" w:cs="方正仿宋_GB2312"/>
          <w:b w:val="0"/>
          <w:color w:val="000000"/>
          <w:sz w:val="32"/>
          <w:szCs w:val="32"/>
        </w:rPr>
        <w:t>.3材料、工程设备和工程的试验和检验</w:t>
      </w:r>
      <w:bookmarkEnd w:id="784"/>
    </w:p>
    <w:bookmarkEnd w:id="785"/>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86" w:name="_Toc24390"/>
      <w:r>
        <w:rPr>
          <w:rFonts w:hint="eastAsia" w:ascii="方正仿宋_GB2312" w:hAnsi="方正仿宋_GB2312" w:eastAsia="方正仿宋_GB2312" w:cs="方正仿宋_GB2312"/>
          <w:b w:val="0"/>
          <w:color w:val="000000"/>
          <w:sz w:val="32"/>
          <w:szCs w:val="32"/>
        </w:rPr>
        <w:t>9</w:t>
      </w:r>
      <w:bookmarkStart w:id="787" w:name="_Toc337558786"/>
      <w:r>
        <w:rPr>
          <w:rFonts w:hint="eastAsia" w:ascii="方正仿宋_GB2312" w:hAnsi="方正仿宋_GB2312" w:eastAsia="方正仿宋_GB2312" w:cs="方正仿宋_GB2312"/>
          <w:b w:val="0"/>
          <w:color w:val="000000"/>
          <w:sz w:val="32"/>
          <w:szCs w:val="32"/>
        </w:rPr>
        <w:t>.4现场工艺试验</w:t>
      </w:r>
      <w:bookmarkEnd w:id="786"/>
    </w:p>
    <w:bookmarkEnd w:id="787"/>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承包人应按合同约定或监理人指示进行现场工艺试验。对大型的现场工艺试验，监理人认为必要时，承包人应根据监理人提出的工艺试验要求，编制工艺试验措施计划，报送监理人审查。</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788" w:name="_Toc21017"/>
      <w:bookmarkStart w:id="789" w:name="_Toc11854"/>
      <w:bookmarkStart w:id="790" w:name="_Toc27984"/>
      <w:r>
        <w:rPr>
          <w:rFonts w:hint="eastAsia" w:ascii="方正仿宋_GB2312" w:hAnsi="方正仿宋_GB2312" w:eastAsia="方正仿宋_GB2312" w:cs="方正仿宋_GB2312"/>
          <w:b w:val="0"/>
          <w:color w:val="000000"/>
          <w:sz w:val="32"/>
          <w:szCs w:val="32"/>
        </w:rPr>
        <w:t>1</w:t>
      </w:r>
      <w:bookmarkStart w:id="791" w:name="_Toc337558787"/>
      <w:r>
        <w:rPr>
          <w:rFonts w:hint="eastAsia" w:ascii="方正仿宋_GB2312" w:hAnsi="方正仿宋_GB2312" w:eastAsia="方正仿宋_GB2312" w:cs="方正仿宋_GB2312"/>
          <w:b w:val="0"/>
          <w:color w:val="000000"/>
          <w:sz w:val="32"/>
          <w:szCs w:val="32"/>
        </w:rPr>
        <w:t>0. 变更</w:t>
      </w:r>
      <w:bookmarkEnd w:id="778"/>
      <w:bookmarkEnd w:id="779"/>
      <w:bookmarkEnd w:id="788"/>
      <w:bookmarkEnd w:id="789"/>
      <w:bookmarkEnd w:id="790"/>
    </w:p>
    <w:bookmarkEnd w:id="791"/>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92" w:name="_Toc17684"/>
      <w:r>
        <w:rPr>
          <w:rFonts w:hint="eastAsia" w:ascii="方正仿宋_GB2312" w:hAnsi="方正仿宋_GB2312" w:eastAsia="方正仿宋_GB2312" w:cs="方正仿宋_GB2312"/>
          <w:b w:val="0"/>
          <w:color w:val="000000"/>
          <w:sz w:val="32"/>
          <w:szCs w:val="32"/>
        </w:rPr>
        <w:t>1</w:t>
      </w:r>
      <w:bookmarkStart w:id="793" w:name="_Toc296503084"/>
      <w:bookmarkStart w:id="794" w:name="_Toc296346585"/>
      <w:bookmarkStart w:id="795" w:name="_Toc337558788"/>
      <w:r>
        <w:rPr>
          <w:rFonts w:hint="eastAsia" w:ascii="方正仿宋_GB2312" w:hAnsi="方正仿宋_GB2312" w:eastAsia="方正仿宋_GB2312" w:cs="方正仿宋_GB2312"/>
          <w:b w:val="0"/>
          <w:color w:val="000000"/>
          <w:sz w:val="32"/>
          <w:szCs w:val="32"/>
        </w:rPr>
        <w:t>0.1变更的范围</w:t>
      </w:r>
      <w:bookmarkEnd w:id="792"/>
    </w:p>
    <w:bookmarkEnd w:id="793"/>
    <w:bookmarkEnd w:id="794"/>
    <w:bookmarkEnd w:id="795"/>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除专用合同条款另有约定外，合同履行过程中发生以下情形的，应按照本条约定进行变更：</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（1）增加或减少合同中任何工作，或追加额外的工作；</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（2）取消合同中任何工作，但转由他人实施的工作除外；</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（3）改变合同中任何工作的质量标准或其他特性；</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（4）改变工程的基线、标高、位置和尺寸；</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（5）改变工程的时间安排或实施顺序。</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796" w:name="_Toc25805"/>
      <w:r>
        <w:rPr>
          <w:rFonts w:hint="eastAsia" w:ascii="方正仿宋_GB2312" w:hAnsi="方正仿宋_GB2312" w:eastAsia="方正仿宋_GB2312" w:cs="方正仿宋_GB2312"/>
          <w:b w:val="0"/>
          <w:color w:val="000000"/>
          <w:sz w:val="32"/>
          <w:szCs w:val="32"/>
        </w:rPr>
        <w:t>1</w:t>
      </w:r>
      <w:bookmarkStart w:id="797" w:name="_Toc296346586"/>
      <w:bookmarkStart w:id="798" w:name="_Toc296503085"/>
      <w:bookmarkStart w:id="799" w:name="_Toc337558789"/>
      <w:r>
        <w:rPr>
          <w:rFonts w:hint="eastAsia" w:ascii="方正仿宋_GB2312" w:hAnsi="方正仿宋_GB2312" w:eastAsia="方正仿宋_GB2312" w:cs="方正仿宋_GB2312"/>
          <w:b w:val="0"/>
          <w:color w:val="000000"/>
          <w:sz w:val="32"/>
          <w:szCs w:val="32"/>
        </w:rPr>
        <w:t>0.2变更权</w:t>
      </w:r>
      <w:bookmarkEnd w:id="796"/>
    </w:p>
    <w:bookmarkEnd w:id="797"/>
    <w:bookmarkEnd w:id="798"/>
    <w:bookmarkEnd w:id="799"/>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涉及设计变更的，应由设计人提供变更后的图纸和说明。如变更超过原设计标准或批准的建设规模时，发包人应及时办理规划、设计变更等审批手续。</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00" w:name="_Toc19073"/>
      <w:r>
        <w:rPr>
          <w:rFonts w:hint="eastAsia" w:ascii="方正仿宋_GB2312" w:hAnsi="方正仿宋_GB2312" w:eastAsia="方正仿宋_GB2312" w:cs="方正仿宋_GB2312"/>
          <w:b w:val="0"/>
          <w:color w:val="000000"/>
          <w:sz w:val="32"/>
          <w:szCs w:val="32"/>
        </w:rPr>
        <w:t>1</w:t>
      </w:r>
      <w:bookmarkStart w:id="801" w:name="_Toc296503086"/>
      <w:bookmarkStart w:id="802" w:name="_Toc296346587"/>
      <w:bookmarkStart w:id="803" w:name="_Toc337558790"/>
      <w:r>
        <w:rPr>
          <w:rFonts w:hint="eastAsia" w:ascii="方正仿宋_GB2312" w:hAnsi="方正仿宋_GB2312" w:eastAsia="方正仿宋_GB2312" w:cs="方正仿宋_GB2312"/>
          <w:b w:val="0"/>
          <w:color w:val="000000"/>
          <w:sz w:val="32"/>
          <w:szCs w:val="32"/>
        </w:rPr>
        <w:t>0.3变更程序</w:t>
      </w:r>
      <w:bookmarkEnd w:id="800"/>
    </w:p>
    <w:bookmarkEnd w:id="801"/>
    <w:bookmarkEnd w:id="802"/>
    <w:bookmarkEnd w:id="803"/>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10</w:t>
      </w:r>
      <w:r>
        <w:rPr>
          <w:rFonts w:hint="eastAsia" w:ascii="方正仿宋_GB2312" w:hAnsi="方正仿宋_GB2312" w:eastAsia="方正仿宋_GB2312" w:cs="方正仿宋_GB2312"/>
          <w:color w:val="000000"/>
          <w:kern w:val="0"/>
          <w:sz w:val="32"/>
          <w:szCs w:val="32"/>
        </w:rPr>
        <w:t>.3.1 发包人提出变更</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发包人提出变更的，应通过监理人向承包人发出变更指示，变更指示应说明计划变更的工程范围和变更的内容。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10</w:t>
      </w:r>
      <w:r>
        <w:rPr>
          <w:rFonts w:hint="eastAsia" w:ascii="方正仿宋_GB2312" w:hAnsi="方正仿宋_GB2312" w:eastAsia="方正仿宋_GB2312" w:cs="方正仿宋_GB2312"/>
          <w:color w:val="000000"/>
          <w:kern w:val="0"/>
          <w:sz w:val="32"/>
          <w:szCs w:val="32"/>
        </w:rPr>
        <w:t>.3.2 监理人提出变更建议</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10.3.3 变更执行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04" w:name="_Toc23803"/>
      <w:r>
        <w:rPr>
          <w:rFonts w:hint="eastAsia" w:ascii="方正仿宋_GB2312" w:hAnsi="方正仿宋_GB2312" w:eastAsia="方正仿宋_GB2312" w:cs="方正仿宋_GB2312"/>
          <w:b w:val="0"/>
          <w:color w:val="000000"/>
          <w:sz w:val="32"/>
          <w:szCs w:val="32"/>
        </w:rPr>
        <w:t>1</w:t>
      </w:r>
      <w:bookmarkStart w:id="805" w:name="_Toc296346588"/>
      <w:bookmarkStart w:id="806" w:name="_Toc337558791"/>
      <w:bookmarkStart w:id="807" w:name="_Toc296503087"/>
      <w:r>
        <w:rPr>
          <w:rFonts w:hint="eastAsia" w:ascii="方正仿宋_GB2312" w:hAnsi="方正仿宋_GB2312" w:eastAsia="方正仿宋_GB2312" w:cs="方正仿宋_GB2312"/>
          <w:b w:val="0"/>
          <w:color w:val="000000"/>
          <w:sz w:val="32"/>
          <w:szCs w:val="32"/>
        </w:rPr>
        <w:t>0.4变更估价</w:t>
      </w:r>
      <w:bookmarkEnd w:id="804"/>
    </w:p>
    <w:bookmarkEnd w:id="805"/>
    <w:bookmarkEnd w:id="806"/>
    <w:bookmarkEnd w:id="807"/>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10.4.1 变更估价原则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除专用合同条款另有约定外，变更估价按照本款约定处理：</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（1）已标价工程量清单或预算书有相同项目的，按照相同项目单价认定；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（2）已标价工程量清单或预算书中无相同项目，但有类似项目的，参照类似项目的单价认定；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10.4.2 变更估价程序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因变更引起的价格调整应计入最近一期的进度款中支付。</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08" w:name="_Toc25666"/>
      <w:r>
        <w:rPr>
          <w:rFonts w:hint="eastAsia" w:ascii="方正仿宋_GB2312" w:hAnsi="方正仿宋_GB2312" w:eastAsia="方正仿宋_GB2312" w:cs="方正仿宋_GB2312"/>
          <w:b w:val="0"/>
          <w:color w:val="000000"/>
          <w:sz w:val="32"/>
          <w:szCs w:val="32"/>
        </w:rPr>
        <w:t>1</w:t>
      </w:r>
      <w:bookmarkStart w:id="809" w:name="_Toc296503094"/>
      <w:bookmarkStart w:id="810" w:name="_Toc296346595"/>
      <w:bookmarkStart w:id="811" w:name="_Toc337558792"/>
      <w:r>
        <w:rPr>
          <w:rFonts w:hint="eastAsia" w:ascii="方正仿宋_GB2312" w:hAnsi="方正仿宋_GB2312" w:eastAsia="方正仿宋_GB2312" w:cs="方正仿宋_GB2312"/>
          <w:b w:val="0"/>
          <w:color w:val="000000"/>
          <w:sz w:val="32"/>
          <w:szCs w:val="32"/>
        </w:rPr>
        <w:t>0.5承包人的合理化建议</w:t>
      </w:r>
      <w:bookmarkEnd w:id="808"/>
    </w:p>
    <w:bookmarkEnd w:id="809"/>
    <w:bookmarkEnd w:id="810"/>
    <w:bookmarkEnd w:id="811"/>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承包人提出合理化建议的，应向监理人提交合理化建议说明，说明建议的内容和理由，以及实施该建议对合同价格和工期的影响。</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合理化建议降低了合同价格或者提高了工程经济效益的，发包人可对承包人给予奖励，奖励的方法和金额在专用合同条款中约定。</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bookmarkStart w:id="812" w:name="_Toc13820"/>
      <w:r>
        <w:rPr>
          <w:rFonts w:hint="eastAsia" w:ascii="方正仿宋_GB2312" w:hAnsi="方正仿宋_GB2312" w:eastAsia="方正仿宋_GB2312" w:cs="方正仿宋_GB2312"/>
          <w:b w:val="0"/>
          <w:color w:val="000000"/>
          <w:sz w:val="32"/>
          <w:szCs w:val="32"/>
        </w:rPr>
        <w:t>1</w:t>
      </w:r>
      <w:bookmarkStart w:id="813" w:name="_Toc337558793"/>
      <w:r>
        <w:rPr>
          <w:rFonts w:hint="eastAsia" w:ascii="方正仿宋_GB2312" w:hAnsi="方正仿宋_GB2312" w:eastAsia="方正仿宋_GB2312" w:cs="方正仿宋_GB2312"/>
          <w:b w:val="0"/>
          <w:color w:val="000000"/>
          <w:sz w:val="32"/>
          <w:szCs w:val="32"/>
        </w:rPr>
        <w:t>0.6变更引起的工期调整</w:t>
      </w:r>
      <w:bookmarkEnd w:id="812"/>
      <w:r>
        <w:rPr>
          <w:rFonts w:hint="eastAsia" w:ascii="方正仿宋_GB2312" w:hAnsi="方正仿宋_GB2312" w:eastAsia="方正仿宋_GB2312" w:cs="方正仿宋_GB2312"/>
          <w:b w:val="0"/>
          <w:color w:val="000000"/>
          <w:sz w:val="32"/>
          <w:szCs w:val="32"/>
        </w:rPr>
        <w:t xml:space="preserve"> </w:t>
      </w:r>
      <w:bookmarkEnd w:id="813"/>
      <w:r>
        <w:rPr>
          <w:rFonts w:hint="eastAsia" w:ascii="方正仿宋_GB2312" w:hAnsi="方正仿宋_GB2312" w:eastAsia="方正仿宋_GB2312" w:cs="方正仿宋_GB2312"/>
          <w:b w:val="0"/>
          <w:color w:val="000000"/>
          <w:sz w:val="32"/>
          <w:szCs w:val="32"/>
        </w:rPr>
        <w:t xml:space="preserve"> </w:t>
      </w:r>
      <w:r>
        <w:rPr>
          <w:rFonts w:hint="eastAsia" w:ascii="方正仿宋_GB2312" w:hAnsi="方正仿宋_GB2312" w:eastAsia="方正仿宋_GB2312" w:cs="方正仿宋_GB2312"/>
          <w:color w:val="000000"/>
          <w:sz w:val="32"/>
          <w:szCs w:val="32"/>
        </w:rPr>
        <w:t xml:space="preserve">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因变更引起工期变化的，合同当事人均可要求调整合同工期，由合同当事人按照第4.4款〔商定或确定〕并参考工程所在地的工期定额标准确定增减工期天数。</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14" w:name="_Toc24331"/>
      <w:r>
        <w:rPr>
          <w:rFonts w:hint="eastAsia" w:ascii="方正仿宋_GB2312" w:hAnsi="方正仿宋_GB2312" w:eastAsia="方正仿宋_GB2312" w:cs="方正仿宋_GB2312"/>
          <w:b w:val="0"/>
          <w:color w:val="000000"/>
          <w:sz w:val="32"/>
          <w:szCs w:val="32"/>
        </w:rPr>
        <w:t>10.7暂估价</w:t>
      </w:r>
      <w:bookmarkEnd w:id="814"/>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暂估价专业分包工程、服务、材料和工程设备的明细由合同当事人在专用合同条款中约定。</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10.7.1</w:t>
      </w:r>
      <w:r>
        <w:rPr>
          <w:rFonts w:hint="eastAsia" w:ascii="方正仿宋_GB2312" w:hAnsi="方正仿宋_GB2312" w:eastAsia="方正仿宋_GB2312" w:cs="方正仿宋_GB2312"/>
          <w:color w:val="000000"/>
          <w:kern w:val="0"/>
          <w:sz w:val="32"/>
          <w:szCs w:val="32"/>
        </w:rPr>
        <w:t xml:space="preserve"> 依法必须招标的暂估价项目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对于依法必须招标的暂估价项目，采取以下第1种方式确定。合同当事人也可以在专用合同条款中选择其他招标方式。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第1种方式：对于依法必须招标的暂估价项目，由承包人招标，对该暂估价项目的确认和批准按照以下约定执行：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10.7.2</w:t>
      </w:r>
      <w:r>
        <w:rPr>
          <w:rFonts w:hint="eastAsia" w:ascii="方正仿宋_GB2312" w:hAnsi="方正仿宋_GB2312" w:eastAsia="方正仿宋_GB2312" w:cs="方正仿宋_GB2312"/>
          <w:color w:val="000000"/>
          <w:kern w:val="0"/>
          <w:sz w:val="32"/>
          <w:szCs w:val="32"/>
        </w:rPr>
        <w:t>不属于依法必须招标的暂估价项目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除专用合同条款另有约定外，对于不属于依法必须招标的暂估价项目，采取以下第1种方式确定：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第1种方式：对于不属于依法必须招标的暂估价项目，按本项约定确认和批准：</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（2）发包人认为承包人确定的供应商、分包人无法满足工程质量或合同要求的，发包人可以要求承包人重新确定暂估价项目的供应商、分包人;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（3）承包人应当在签订暂估价合同后7天内，将暂估价合同副本报送发包人留存。</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第2种方式：承包人按照第10.7.1项〔依法必须招标的暂估价项目〕约定的第1种方式确定暂估价项目。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第3种方式：</w:t>
      </w:r>
      <w:r>
        <w:rPr>
          <w:rFonts w:hint="eastAsia" w:ascii="方正仿宋_GB2312" w:hAnsi="方正仿宋_GB2312" w:eastAsia="方正仿宋_GB2312" w:cs="方正仿宋_GB2312"/>
          <w:color w:val="000000"/>
          <w:kern w:val="0"/>
          <w:sz w:val="32"/>
          <w:szCs w:val="32"/>
        </w:rPr>
        <w:t>承包人直接实施的暂估价项目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承包人具备实施暂估价项目的资格和条件的，经发包人和承包人协商一致后，可由承包人自行实施暂估价项目，合同当事人可以在专用合同条款约定具体事项。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15" w:name="_Toc19027"/>
      <w:r>
        <w:rPr>
          <w:rFonts w:hint="eastAsia" w:ascii="方正仿宋_GB2312" w:hAnsi="方正仿宋_GB2312" w:eastAsia="方正仿宋_GB2312" w:cs="方正仿宋_GB2312"/>
          <w:b w:val="0"/>
          <w:color w:val="000000"/>
          <w:sz w:val="32"/>
          <w:szCs w:val="32"/>
        </w:rPr>
        <w:t>1</w:t>
      </w:r>
      <w:bookmarkStart w:id="816" w:name="_Toc337558794"/>
      <w:bookmarkStart w:id="817" w:name="_Toc296346591"/>
      <w:bookmarkStart w:id="818" w:name="_Toc322522561"/>
      <w:bookmarkStart w:id="819" w:name="_Toc296503090"/>
      <w:r>
        <w:rPr>
          <w:rFonts w:hint="eastAsia" w:ascii="方正仿宋_GB2312" w:hAnsi="方正仿宋_GB2312" w:eastAsia="方正仿宋_GB2312" w:cs="方正仿宋_GB2312"/>
          <w:b w:val="0"/>
          <w:color w:val="000000"/>
          <w:sz w:val="32"/>
          <w:szCs w:val="32"/>
        </w:rPr>
        <w:t>0.8暂列金额</w:t>
      </w:r>
      <w:bookmarkEnd w:id="815"/>
    </w:p>
    <w:bookmarkEnd w:id="816"/>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暂列金额应按照发包人的要求使用，发包人的要求应通过监理人发出。合同当事人可以在专用合同条款中协商确定有关事项。</w:t>
      </w:r>
    </w:p>
    <w:bookmarkEnd w:id="817"/>
    <w:bookmarkEnd w:id="818"/>
    <w:bookmarkEnd w:id="819"/>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20" w:name="_Toc20879"/>
      <w:r>
        <w:rPr>
          <w:rFonts w:hint="eastAsia" w:ascii="方正仿宋_GB2312" w:hAnsi="方正仿宋_GB2312" w:eastAsia="方正仿宋_GB2312" w:cs="方正仿宋_GB2312"/>
          <w:b w:val="0"/>
          <w:color w:val="000000"/>
          <w:sz w:val="32"/>
          <w:szCs w:val="32"/>
        </w:rPr>
        <w:t>1</w:t>
      </w:r>
      <w:bookmarkStart w:id="821" w:name="_Toc296346592"/>
      <w:bookmarkStart w:id="822" w:name="_Toc337558796"/>
      <w:bookmarkStart w:id="823" w:name="_Toc296503091"/>
      <w:r>
        <w:rPr>
          <w:rFonts w:hint="eastAsia" w:ascii="方正仿宋_GB2312" w:hAnsi="方正仿宋_GB2312" w:eastAsia="方正仿宋_GB2312" w:cs="方正仿宋_GB2312"/>
          <w:b w:val="0"/>
          <w:color w:val="000000"/>
          <w:sz w:val="32"/>
          <w:szCs w:val="32"/>
        </w:rPr>
        <w:t>0.9计日工</w:t>
      </w:r>
      <w:bookmarkEnd w:id="820"/>
      <w:r>
        <w:rPr>
          <w:rFonts w:hint="eastAsia" w:ascii="方正仿宋_GB2312" w:hAnsi="方正仿宋_GB2312" w:eastAsia="方正仿宋_GB2312" w:cs="方正仿宋_GB2312"/>
          <w:b w:val="0"/>
          <w:color w:val="000000"/>
          <w:sz w:val="32"/>
          <w:szCs w:val="32"/>
        </w:rPr>
        <w:t xml:space="preserve"> </w:t>
      </w:r>
      <w:bookmarkEnd w:id="821"/>
      <w:bookmarkEnd w:id="822"/>
      <w:bookmarkEnd w:id="823"/>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采用计日工计价的任何一项工作，承包人应在该项工作实施过程中，每天提交以下报表和有关凭证报送监理人审查：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（1）工作名称、内容和数量；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（2）投入该工作的所有人员的姓名、专业、工种、级别和耗用工时；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（3）投入该工作的材料类别和数量；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（4）投入该工作的施工设备型号、台数和耗用台时；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（5）其他有关资料和凭证。</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 计日工由承包人汇总后，列入最近一期进度付款申请单，由监理人审查并经发包人批准后列入进度付款。</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824" w:name="_Toc19256"/>
      <w:bookmarkStart w:id="825" w:name="_Toc30101"/>
      <w:bookmarkStart w:id="826" w:name="_Toc11089"/>
      <w:r>
        <w:rPr>
          <w:rFonts w:hint="eastAsia" w:ascii="方正仿宋_GB2312" w:hAnsi="方正仿宋_GB2312" w:eastAsia="方正仿宋_GB2312" w:cs="方正仿宋_GB2312"/>
          <w:b w:val="0"/>
          <w:color w:val="000000"/>
          <w:sz w:val="32"/>
          <w:szCs w:val="32"/>
        </w:rPr>
        <w:t>11. 价格调整</w:t>
      </w:r>
      <w:bookmarkEnd w:id="824"/>
      <w:bookmarkEnd w:id="825"/>
      <w:bookmarkEnd w:id="826"/>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27" w:name="_Toc12183"/>
      <w:bookmarkStart w:id="828" w:name="_Toc296503092"/>
      <w:bookmarkStart w:id="829" w:name="_Toc337558797"/>
      <w:bookmarkStart w:id="830" w:name="_Toc296346593"/>
      <w:r>
        <w:rPr>
          <w:rFonts w:hint="eastAsia" w:ascii="方正仿宋_GB2312" w:hAnsi="方正仿宋_GB2312" w:eastAsia="方正仿宋_GB2312" w:cs="方正仿宋_GB2312"/>
          <w:b w:val="0"/>
          <w:color w:val="000000"/>
          <w:sz w:val="32"/>
          <w:szCs w:val="32"/>
        </w:rPr>
        <w:t>11.1市场价格波动引起的调整</w:t>
      </w:r>
      <w:bookmarkEnd w:id="827"/>
    </w:p>
    <w:bookmarkEnd w:id="828"/>
    <w:bookmarkEnd w:id="829"/>
    <w:bookmarkEnd w:id="830"/>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除专用合同条款另有约定外，市场价格波动超过合同当事人约定的范围，合同价格应当调整。合同当事人可以在专用合同条款中约定选择以下一种方式对合同价格进行调整：</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第1种方式：采用价格指数进行价格调整。</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（1）价格调整公式</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因人工、材料和设备等价格波动影响合同价格时，根据专用合同条款中约定的数据，按以下公式计算差额并调整合同价格：</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position w:val="-30"/>
          <w:sz w:val="32"/>
          <w:szCs w:val="32"/>
        </w:rPr>
        <w:object>
          <v:shape id="_x0000_i1025" o:spt="75" type="#_x0000_t75" style="height:43.9pt;width:359.85pt;" o:ole="t" filled="f" stroked="f" coordsize="21600,21600">
            <v:path/>
            <v:fill on="f" focussize="0,0"/>
            <v:stroke on="f"/>
            <v:imagedata r:id="rId14" o:title=""/>
            <o:lock v:ext="edit" grouping="f" rotation="f" text="f" aspectratio="t"/>
            <w10:wrap type="none"/>
            <w10:anchorlock/>
          </v:shape>
          <o:OLEObject Type="Embed" ProgID="Equation.KSEE3" ShapeID="_x0000_i1025" DrawAspect="Content" ObjectID="_1468075725" r:id="rId13">
            <o:LockedField>false</o:LockedField>
          </o:OLEObject>
        </w:objec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公式中：ΔP——需调整的价格差额；</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position w:val="-6"/>
          <w:sz w:val="32"/>
          <w:szCs w:val="32"/>
        </w:rPr>
        <w:object>
          <v:shape id="_x0000_i1026" o:spt="75" type="#_x0000_t75" style="height:17.95pt;width:17.95pt;" o:ole="t" filled="f" stroked="f" coordsize="21600,21600">
            <v:path/>
            <v:fill on="f" focussize="0,0"/>
            <v:stroke on="f"/>
            <v:imagedata r:id="rId16" o:title=""/>
            <o:lock v:ext="edit" grouping="f" rotation="f" text="f" aspectratio="t"/>
            <w10:wrap type="none"/>
            <w10:anchorlock/>
          </v:shape>
          <o:OLEObject Type="Embed" ProgID="Equation.KSEE3" ShapeID="_x0000_i1026" DrawAspect="Content" ObjectID="_1468075726" r:id="rId15">
            <o:LockedField>false</o:LockedField>
          </o:OLEObject>
        </w:object>
      </w:r>
      <w:r>
        <w:rPr>
          <w:rFonts w:hint="eastAsia" w:ascii="方正仿宋_GB2312" w:hAnsi="方正仿宋_GB2312" w:eastAsia="方正仿宋_GB2312" w:cs="方正仿宋_GB2312"/>
          <w:color w:val="000000"/>
          <w:sz w:val="32"/>
          <w:szCs w:val="32"/>
        </w:rPr>
        <w:t>——约定的付款证书中承包人应得到的已完成工程量的金额。此项金额应不包括价格调整、不计质量保证金的扣留和支付、预付款的支付和扣回。约定的变更及其他金额已按现行价格计价的，也不计在内；</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A——定值权重（即不调部分的权重）；</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position w:val="-10"/>
          <w:sz w:val="32"/>
          <w:szCs w:val="32"/>
        </w:rPr>
        <w:object>
          <v:shape id="_x0000_i1027" o:spt="75" type="#_x0000_t75" style="height:21.05pt;width:101pt;" o:ole="t" filled="f" stroked="f" coordsize="21600,21600">
            <v:path/>
            <v:fill on="f" focussize="0,0"/>
            <v:stroke on="f"/>
            <v:imagedata r:id="rId18" o:title=""/>
            <o:lock v:ext="edit" grouping="f" rotation="f" text="f" aspectratio="t"/>
            <w10:wrap type="none"/>
            <w10:anchorlock/>
          </v:shape>
          <o:OLEObject Type="Embed" ProgID="Equation.KSEE3" ShapeID="_x0000_i1027" DrawAspect="Content" ObjectID="_1468075727" r:id="rId17">
            <o:LockedField>false</o:LockedField>
          </o:OLEObject>
        </w:object>
      </w:r>
      <w:r>
        <w:rPr>
          <w:rFonts w:hint="eastAsia" w:ascii="方正仿宋_GB2312" w:hAnsi="方正仿宋_GB2312" w:eastAsia="方正仿宋_GB2312" w:cs="方正仿宋_GB2312"/>
          <w:color w:val="000000"/>
          <w:sz w:val="32"/>
          <w:szCs w:val="32"/>
        </w:rPr>
        <w:t>——各可调因子的变值权重（即可调部分的权重），为各可调因子在签约合同价中所占的比例；</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position w:val="-10"/>
          <w:sz w:val="32"/>
          <w:szCs w:val="32"/>
        </w:rPr>
        <w:object>
          <v:shape id="_x0000_i1028" o:spt="75" type="#_x0000_t75" style="height:20.6pt;width:102.05pt;" o:ole="t" filled="f" stroked="f" coordsize="21600,21600">
            <v:path/>
            <v:fill on="f" focussize="0,0"/>
            <v:stroke on="f"/>
            <v:imagedata r:id="rId20" o:title=""/>
            <o:lock v:ext="edit" grouping="f" rotation="f" text="f" aspectratio="t"/>
            <w10:wrap type="none"/>
            <w10:anchorlock/>
          </v:shape>
          <o:OLEObject Type="Embed" ProgID="Equation.KSEE3" ShapeID="_x0000_i1028" DrawAspect="Content" ObjectID="_1468075728" r:id="rId19">
            <o:LockedField>false</o:LockedField>
          </o:OLEObject>
        </w:object>
      </w:r>
      <w:r>
        <w:rPr>
          <w:rFonts w:hint="eastAsia" w:ascii="方正仿宋_GB2312" w:hAnsi="方正仿宋_GB2312" w:eastAsia="方正仿宋_GB2312" w:cs="方正仿宋_GB2312"/>
          <w:color w:val="000000"/>
          <w:sz w:val="32"/>
          <w:szCs w:val="32"/>
        </w:rPr>
        <w:t>——各可调因子的现行价格指数，指约定的付款证书相关周期最后一天的前42天的各可调因子的价格指数；</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position w:val="-10"/>
          <w:sz w:val="32"/>
          <w:szCs w:val="32"/>
        </w:rPr>
        <w:object>
          <v:shape id="_x0000_i1029" o:spt="75" type="#_x0000_t75" style="height:20.2pt;width:108pt;" o:ole="t" filled="f" stroked="f" coordsize="21600,21600">
            <v:path/>
            <v:fill on="f" focussize="0,0"/>
            <v:stroke on="f"/>
            <v:imagedata r:id="rId22" o:title=""/>
            <o:lock v:ext="edit" grouping="f" rotation="f" text="f" aspectratio="t"/>
            <w10:wrap type="none"/>
            <w10:anchorlock/>
          </v:shape>
          <o:OLEObject Type="Embed" ProgID="Equation.KSEE3" ShapeID="_x0000_i1029" DrawAspect="Content" ObjectID="_1468075729" r:id="rId21">
            <o:LockedField>false</o:LockedField>
          </o:OLEObject>
        </w:object>
      </w:r>
      <w:r>
        <w:rPr>
          <w:rFonts w:hint="eastAsia" w:ascii="方正仿宋_GB2312" w:hAnsi="方正仿宋_GB2312" w:eastAsia="方正仿宋_GB2312" w:cs="方正仿宋_GB2312"/>
          <w:color w:val="000000"/>
          <w:sz w:val="32"/>
          <w:szCs w:val="32"/>
        </w:rPr>
        <w:t>——各可调因子的基本价格指数，指基准日期的各可调因子的价格指数。</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（2）暂时确定调整差额</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在计算调整差额时无现行价格指数的，合同当事人同意暂用前次价格指数计算。实际价格指数有调整的，合同当事人进行相应调整。</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（3）权重的调整</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因变更导致合同约定的权重不合理时，按照第4.4款〔商定或确定〕执行。</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（4）因承包人原因工期延误后的价格调整</w:t>
      </w:r>
    </w:p>
    <w:p>
      <w:pPr>
        <w:pageBreakBefore w:val="0"/>
        <w:widowControl w:val="0"/>
        <w:tabs>
          <w:tab w:val="left" w:pos="0"/>
          <w:tab w:val="left" w:pos="360"/>
          <w:tab w:val="left" w:pos="540"/>
        </w:tabs>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因承包人原因未按期竣工的，对合同约定的竣工日期后继续施工的工程，在使用价格调整公式时，应采用计划竣工日期与实际竣工日期的两个价格指数中较低的一个作为现行价格指数。</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第2种方式：采用造价信息进行价格调整。</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（2）材料、工程设备价格变化的价款调整按照发包人提供的基准价格，按以下风险范围规定执行:</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③承包人在已标价工程量清单或预算书中载明材料单价等于基准价格的：除专用合同条款另有约定外，合同履行期间材料单价涨跌幅以基准价格为基础超过±5%时，其超过部分据实调整。</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bookmarkStart w:id="831" w:name="OLE_LINK3"/>
      <w:r>
        <w:rPr>
          <w:rFonts w:hint="eastAsia" w:ascii="方正仿宋_GB2312" w:hAnsi="方正仿宋_GB2312" w:eastAsia="方正仿宋_GB2312" w:cs="方正仿宋_GB2312"/>
          <w:color w:val="000000"/>
          <w:sz w:val="32"/>
          <w:szCs w:val="32"/>
        </w:rPr>
        <w:t>前述基准价格是指由发包人在招标文件或专用合同条款中给定的材料、工程设备的价格，该价格原则上应当按照省级或行业建设主管部门或其授权的工程造价管理机构发布的信息价编制。</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（3）施工机械台班单价或施工机械使用费发生变化超过省级或行业建设主管部门或其授权的工程造价管理机构规定的范围时，按规定调整合同价格。</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第3种方式：专用合同条款约定的其他方式。</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32" w:name="_Toc3670"/>
      <w:bookmarkStart w:id="833" w:name="_Toc296503093"/>
      <w:bookmarkStart w:id="834" w:name="_Toc337558798"/>
      <w:bookmarkStart w:id="835" w:name="_Toc296346594"/>
      <w:r>
        <w:rPr>
          <w:rFonts w:hint="eastAsia" w:ascii="方正仿宋_GB2312" w:hAnsi="方正仿宋_GB2312" w:eastAsia="方正仿宋_GB2312" w:cs="方正仿宋_GB2312"/>
          <w:b w:val="0"/>
          <w:color w:val="000000"/>
          <w:sz w:val="32"/>
          <w:szCs w:val="32"/>
        </w:rPr>
        <w:t>11.2法律变化引起的调整</w:t>
      </w:r>
      <w:bookmarkEnd w:id="832"/>
    </w:p>
    <w:bookmarkEnd w:id="833"/>
    <w:bookmarkEnd w:id="834"/>
    <w:bookmarkEnd w:id="835"/>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因法律变化引起的合同价格和工期调整，合同当事人无法达成一致的，由总监理工程师按第4.4款〔商定或确定〕的约定处理。</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因承包人原因造成工期延误，在工期延误期间出现法律变化的，由此增加的费用和（或）延误的工期由承包人承担。</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836" w:name="_Toc3798"/>
      <w:bookmarkStart w:id="837" w:name="_Toc14514"/>
      <w:bookmarkStart w:id="838" w:name="_Toc13496"/>
      <w:bookmarkStart w:id="839" w:name="_Toc337558799"/>
      <w:bookmarkStart w:id="840" w:name="_Toc296503096"/>
      <w:bookmarkStart w:id="841" w:name="_Toc296346597"/>
      <w:r>
        <w:rPr>
          <w:rFonts w:hint="eastAsia" w:ascii="方正仿宋_GB2312" w:hAnsi="方正仿宋_GB2312" w:eastAsia="方正仿宋_GB2312" w:cs="方正仿宋_GB2312"/>
          <w:b w:val="0"/>
          <w:color w:val="000000"/>
          <w:sz w:val="32"/>
          <w:szCs w:val="32"/>
        </w:rPr>
        <w:t>12. 合同价格、计量与支付</w:t>
      </w:r>
      <w:bookmarkEnd w:id="836"/>
      <w:bookmarkEnd w:id="837"/>
      <w:bookmarkEnd w:id="838"/>
    </w:p>
    <w:bookmarkEnd w:id="839"/>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42" w:name="_Toc22735"/>
      <w:bookmarkStart w:id="843" w:name="_Toc337558800"/>
      <w:r>
        <w:rPr>
          <w:rFonts w:hint="eastAsia" w:ascii="方正仿宋_GB2312" w:hAnsi="方正仿宋_GB2312" w:eastAsia="方正仿宋_GB2312" w:cs="方正仿宋_GB2312"/>
          <w:b w:val="0"/>
          <w:color w:val="000000"/>
          <w:sz w:val="32"/>
          <w:szCs w:val="32"/>
        </w:rPr>
        <w:t>12.1 合同价</w:t>
      </w:r>
      <w:bookmarkEnd w:id="840"/>
      <w:bookmarkEnd w:id="841"/>
      <w:r>
        <w:rPr>
          <w:rFonts w:hint="eastAsia" w:ascii="方正仿宋_GB2312" w:hAnsi="方正仿宋_GB2312" w:eastAsia="方正仿宋_GB2312" w:cs="方正仿宋_GB2312"/>
          <w:b w:val="0"/>
          <w:color w:val="000000"/>
          <w:sz w:val="32"/>
          <w:szCs w:val="32"/>
        </w:rPr>
        <w:t>格形式</w:t>
      </w:r>
      <w:bookmarkEnd w:id="842"/>
    </w:p>
    <w:bookmarkEnd w:id="843"/>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发包人和承包人应在合同协议书中选择下列一种合同价格形式：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w:t>
      </w:r>
      <w:r>
        <w:rPr>
          <w:rFonts w:hint="eastAsia" w:ascii="方正仿宋_GB2312" w:hAnsi="方正仿宋_GB2312" w:eastAsia="方正仿宋_GB2312" w:cs="方正仿宋_GB2312"/>
          <w:color w:val="000000"/>
          <w:kern w:val="0"/>
          <w:sz w:val="32"/>
          <w:szCs w:val="32"/>
          <w:lang w:val="en-US" w:eastAsia="zh-CN"/>
        </w:rPr>
        <w:t>.</w:t>
      </w:r>
      <w:r>
        <w:rPr>
          <w:rFonts w:hint="eastAsia" w:ascii="方正仿宋_GB2312" w:hAnsi="方正仿宋_GB2312" w:eastAsia="方正仿宋_GB2312" w:cs="方正仿宋_GB2312"/>
          <w:color w:val="000000"/>
          <w:kern w:val="0"/>
          <w:sz w:val="32"/>
          <w:szCs w:val="32"/>
        </w:rPr>
        <w:t>单价合同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单价合同是指合同当事人约定以工程量清单及其综合单价进行合同价格计算、调整和确认的建设工程施工合同，</w:t>
      </w:r>
      <w:r>
        <w:rPr>
          <w:rFonts w:hint="eastAsia" w:ascii="方正仿宋_GB2312" w:hAnsi="方正仿宋_GB2312" w:eastAsia="方正仿宋_GB2312" w:cs="方正仿宋_GB2312"/>
          <w:sz w:val="32"/>
          <w:szCs w:val="32"/>
        </w:rPr>
        <w:t>在约定的范围内合同单价不作调整</w:t>
      </w:r>
      <w:r>
        <w:rPr>
          <w:rFonts w:hint="eastAsia" w:ascii="方正仿宋_GB2312" w:hAnsi="方正仿宋_GB2312" w:eastAsia="方正仿宋_GB2312" w:cs="方正仿宋_GB2312"/>
          <w:color w:val="000000"/>
          <w:kern w:val="0"/>
          <w:sz w:val="32"/>
          <w:szCs w:val="32"/>
        </w:rPr>
        <w:t>。合同当事人应在专用合同条款中约定综合单价包含的风险范围和风险费用的计算方法</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kern w:val="0"/>
          <w:sz w:val="32"/>
          <w:szCs w:val="32"/>
        </w:rPr>
        <w:t>并约定风险范围以外的合同价格的调整方法，其中因市场价格波动引起的调整按第11.1款〔市场价格波动引起的调整〕约定执行。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w:t>
      </w:r>
      <w:r>
        <w:rPr>
          <w:rFonts w:hint="eastAsia" w:ascii="方正仿宋_GB2312" w:hAnsi="方正仿宋_GB2312" w:eastAsia="方正仿宋_GB2312" w:cs="方正仿宋_GB2312"/>
          <w:color w:val="000000"/>
          <w:kern w:val="0"/>
          <w:sz w:val="32"/>
          <w:szCs w:val="32"/>
          <w:lang w:val="en-US" w:eastAsia="zh-CN"/>
        </w:rPr>
        <w:t>.</w:t>
      </w:r>
      <w:r>
        <w:rPr>
          <w:rFonts w:hint="eastAsia" w:ascii="方正仿宋_GB2312" w:hAnsi="方正仿宋_GB2312" w:eastAsia="方正仿宋_GB2312" w:cs="方正仿宋_GB2312"/>
          <w:color w:val="000000"/>
          <w:kern w:val="0"/>
          <w:sz w:val="32"/>
          <w:szCs w:val="32"/>
        </w:rPr>
        <w:t>总价合同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总价合同是指合同当事人约定以施工图、已标价工程量清单或预算书及有关条件进行合同价格计算、调整和确认的建设工程施工合同，</w:t>
      </w:r>
      <w:r>
        <w:rPr>
          <w:rFonts w:hint="eastAsia" w:ascii="方正仿宋_GB2312" w:hAnsi="方正仿宋_GB2312" w:eastAsia="方正仿宋_GB2312" w:cs="方正仿宋_GB2312"/>
          <w:sz w:val="32"/>
          <w:szCs w:val="32"/>
        </w:rPr>
        <w:t>在约定的范围内合同总价不作调整</w:t>
      </w:r>
      <w:r>
        <w:rPr>
          <w:rFonts w:hint="eastAsia" w:ascii="方正仿宋_GB2312" w:hAnsi="方正仿宋_GB2312" w:eastAsia="方正仿宋_GB2312" w:cs="方正仿宋_GB2312"/>
          <w:color w:val="000000"/>
          <w:kern w:val="0"/>
          <w:sz w:val="32"/>
          <w:szCs w:val="32"/>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w:t>
      </w:r>
      <w:r>
        <w:rPr>
          <w:rFonts w:hint="eastAsia" w:ascii="方正仿宋_GB2312" w:hAnsi="方正仿宋_GB2312" w:eastAsia="方正仿宋_GB2312" w:cs="方正仿宋_GB2312"/>
          <w:color w:val="000000"/>
          <w:kern w:val="0"/>
          <w:sz w:val="32"/>
          <w:szCs w:val="32"/>
          <w:lang w:val="en-US" w:eastAsia="zh-CN"/>
        </w:rPr>
        <w:t>.</w:t>
      </w:r>
      <w:r>
        <w:rPr>
          <w:rFonts w:hint="eastAsia" w:ascii="方正仿宋_GB2312" w:hAnsi="方正仿宋_GB2312" w:eastAsia="方正仿宋_GB2312" w:cs="方正仿宋_GB2312"/>
          <w:color w:val="000000"/>
          <w:kern w:val="0"/>
          <w:sz w:val="32"/>
          <w:szCs w:val="32"/>
        </w:rPr>
        <w:t>其它价格形式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合同当事人可在专用合同条款中约定其他合同价格形式。</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44" w:name="_Toc296346598"/>
      <w:bookmarkStart w:id="845" w:name="_Toc296503097"/>
      <w:bookmarkStart w:id="846" w:name="_Toc29542"/>
      <w:bookmarkStart w:id="847" w:name="_Toc337558801"/>
      <w:r>
        <w:rPr>
          <w:rFonts w:hint="eastAsia" w:ascii="方正仿宋_GB2312" w:hAnsi="方正仿宋_GB2312" w:eastAsia="方正仿宋_GB2312" w:cs="方正仿宋_GB2312"/>
          <w:b w:val="0"/>
          <w:color w:val="000000"/>
          <w:sz w:val="32"/>
          <w:szCs w:val="32"/>
        </w:rPr>
        <w:t>12.2预</w:t>
      </w:r>
      <w:bookmarkEnd w:id="844"/>
      <w:bookmarkEnd w:id="845"/>
      <w:bookmarkStart w:id="848" w:name="_Toc296503100"/>
      <w:bookmarkStart w:id="849" w:name="_Toc296346601"/>
      <w:r>
        <w:rPr>
          <w:rFonts w:hint="eastAsia" w:ascii="方正仿宋_GB2312" w:hAnsi="方正仿宋_GB2312" w:eastAsia="方正仿宋_GB2312" w:cs="方正仿宋_GB2312"/>
          <w:b w:val="0"/>
          <w:color w:val="000000"/>
          <w:sz w:val="32"/>
          <w:szCs w:val="32"/>
        </w:rPr>
        <w:t>付款</w:t>
      </w:r>
      <w:bookmarkEnd w:id="846"/>
    </w:p>
    <w:bookmarkEnd w:id="847"/>
    <w:bookmarkEnd w:id="848"/>
    <w:bookmarkEnd w:id="849"/>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12.2.</w:t>
      </w:r>
      <w:r>
        <w:rPr>
          <w:rFonts w:hint="eastAsia" w:ascii="方正仿宋_GB2312" w:hAnsi="方正仿宋_GB2312" w:eastAsia="方正仿宋_GB2312" w:cs="方正仿宋_GB2312"/>
          <w:color w:val="000000"/>
          <w:kern w:val="0"/>
          <w:sz w:val="32"/>
          <w:szCs w:val="32"/>
        </w:rPr>
        <w:t>1预付款的支付</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预付款的支付按照专用合同条款约定执行，但至迟应在开工通知载明的开工日期7天前支付。预付款应当用于材料、工程设备、施工设备的采购及修建临时工程、组织施工队伍进场等。</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除专用合同条款另有约定外，预付款在进度付款中同比例扣回。</w:t>
      </w:r>
      <w:bookmarkEnd w:id="831"/>
      <w:r>
        <w:rPr>
          <w:rFonts w:hint="eastAsia" w:ascii="方正仿宋_GB2312" w:hAnsi="方正仿宋_GB2312" w:eastAsia="方正仿宋_GB2312" w:cs="方正仿宋_GB2312"/>
          <w:color w:val="000000"/>
          <w:kern w:val="0"/>
          <w:sz w:val="32"/>
          <w:szCs w:val="32"/>
        </w:rPr>
        <w:t>在颁发工程接收证书前，提前解除合同的，尚未扣完的预付款应与合同价款一并结算。</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发包人逾期支付预付款超过7天的，承包人有权向发包人发出要求预付的催告通知，发包人收到通知后7天内仍未支付的，承包人有权暂停施工，并按第16.1.1项〔发包人违约的情形〕执行。</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12.2.2 预付款担保</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发包人在工程款中逐期扣回预付款后，预付款担保额度应相应减少，但剩余的预付款担保金额不得低于未被扣回的预付款金额。</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50" w:name="_Toc26957"/>
      <w:bookmarkStart w:id="851" w:name="_Toc337558802"/>
      <w:r>
        <w:rPr>
          <w:rFonts w:hint="eastAsia" w:ascii="方正仿宋_GB2312" w:hAnsi="方正仿宋_GB2312" w:eastAsia="方正仿宋_GB2312" w:cs="方正仿宋_GB2312"/>
          <w:b w:val="0"/>
          <w:color w:val="000000"/>
          <w:sz w:val="32"/>
          <w:szCs w:val="32"/>
        </w:rPr>
        <w:t>12.3计量</w:t>
      </w:r>
      <w:bookmarkEnd w:id="850"/>
    </w:p>
    <w:bookmarkEnd w:id="851"/>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12.3.1 计量原则</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工程量计量按照合同约定的工程量计算规则、图纸及变更指示等进行计量。工程量计算规则应以相关的国家标准、行业标准等为依据，由合同当事人在专用合同条款中约定。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12.3.2 计量周期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除专用合同条款另有约定外，工程量的计量按月进行。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12.3.3 单价合同的计量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除专用合同条款另有约定外，单价合同的计量按照本项约定执行：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（1）承包人应于每月25日向监理人报送上月20日至当月19日已完成的工程量报告，并附具进度付款申请单、已完成工程量报表和有关资料。</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（3）监理人未在收到承包人提交的工程量报表后的7天内完成审核的，承包人报送的工程量报告中的工程量视为承包人实际完成的工程量，据此计算工程价款。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12.3.4 总价合同的计量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除专用合同条款另有约定外，按月计量支付的总价合同，按照本项约定执行：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（1）承包人应于每月25日向监理人报送上月20日至当月19日已完成的工程量报告，并附具进度付款申请单、已完成工程量报表和有关资料。</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（3）监理人未在收到承包人提交的工程量报表后的7天内完成复核的，承包人提交的工程量报告中的工程量视为承包人实际完成的工程量。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12.3.5 总价合同采用支付分解表计量支付的，可以按照第12.3.4项〔总价合同的计量〕约定进行计量，但合同价款按照支付分解表进行支付。</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12.3.6 其他价格形式合同的计量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合同当事人可在专用合同条款中约定其他价格形式合同的计量方式和程序。</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52" w:name="_Toc296346602"/>
      <w:bookmarkStart w:id="853" w:name="_Toc296503101"/>
      <w:bookmarkStart w:id="854" w:name="_Toc26890"/>
      <w:bookmarkStart w:id="855" w:name="_Toc337558803"/>
      <w:r>
        <w:rPr>
          <w:rFonts w:hint="eastAsia" w:ascii="方正仿宋_GB2312" w:hAnsi="方正仿宋_GB2312" w:eastAsia="方正仿宋_GB2312" w:cs="方正仿宋_GB2312"/>
          <w:b w:val="0"/>
          <w:color w:val="000000"/>
          <w:sz w:val="32"/>
          <w:szCs w:val="32"/>
        </w:rPr>
        <w:t>12.4工程进度款支</w:t>
      </w:r>
      <w:bookmarkEnd w:id="852"/>
      <w:bookmarkEnd w:id="853"/>
      <w:r>
        <w:rPr>
          <w:rFonts w:hint="eastAsia" w:ascii="方正仿宋_GB2312" w:hAnsi="方正仿宋_GB2312" w:eastAsia="方正仿宋_GB2312" w:cs="方正仿宋_GB2312"/>
          <w:b w:val="0"/>
          <w:color w:val="000000"/>
          <w:sz w:val="32"/>
          <w:szCs w:val="32"/>
        </w:rPr>
        <w:t>付</w:t>
      </w:r>
      <w:bookmarkEnd w:id="854"/>
    </w:p>
    <w:bookmarkEnd w:id="855"/>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bookmarkStart w:id="856" w:name="_Toc28202"/>
      <w:r>
        <w:rPr>
          <w:rFonts w:hint="eastAsia" w:ascii="方正仿宋_GB2312" w:hAnsi="方正仿宋_GB2312" w:eastAsia="方正仿宋_GB2312" w:cs="方正仿宋_GB2312"/>
          <w:color w:val="000000"/>
          <w:sz w:val="32"/>
          <w:szCs w:val="32"/>
        </w:rPr>
        <w:t>12.4</w:t>
      </w:r>
      <w:r>
        <w:rPr>
          <w:rFonts w:hint="eastAsia" w:ascii="方正仿宋_GB2312" w:hAnsi="方正仿宋_GB2312" w:eastAsia="方正仿宋_GB2312" w:cs="方正仿宋_GB2312"/>
          <w:color w:val="000000"/>
          <w:kern w:val="0"/>
          <w:sz w:val="32"/>
          <w:szCs w:val="32"/>
        </w:rPr>
        <w:t>.1 付款周期</w:t>
      </w:r>
      <w:bookmarkEnd w:id="856"/>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除专用合同条款另有约定外，付款周期应按照第12.3.2项〔计量周期〕的约定与计量周期保持一致。</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12.4</w:t>
      </w:r>
      <w:r>
        <w:rPr>
          <w:rFonts w:hint="eastAsia" w:ascii="方正仿宋_GB2312" w:hAnsi="方正仿宋_GB2312" w:eastAsia="方正仿宋_GB2312" w:cs="方正仿宋_GB2312"/>
          <w:color w:val="000000"/>
          <w:kern w:val="0"/>
          <w:sz w:val="32"/>
          <w:szCs w:val="32"/>
        </w:rPr>
        <w:t>.2 进度付款申请单的编制</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除专用合同条款另有约定外，进度付款申请单应包括下列内容：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（1）截至本次付款周期已完成工作对应的金额；</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（2）根据第10条〔变更〕应增加和扣减的变更金额；</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（3）根据第12.2款〔预付款〕约定应支付的预付款和扣减的返还预付款；</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（4）根据第15.3款〔质量保证金〕约定应扣减的质量保证金；</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（5）根据第19条〔索赔〕应增加和扣减的索赔金额；</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（6）对已签发的进度款支付证书中出现错误的修正，应在本次进度付款中支付或扣除的金额；</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（7）根据合同约定应增加和扣减的其他金额。</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bookmarkStart w:id="857" w:name="_Toc6063"/>
      <w:r>
        <w:rPr>
          <w:rFonts w:hint="eastAsia" w:ascii="方正仿宋_GB2312" w:hAnsi="方正仿宋_GB2312" w:eastAsia="方正仿宋_GB2312" w:cs="方正仿宋_GB2312"/>
          <w:color w:val="000000"/>
          <w:kern w:val="0"/>
          <w:sz w:val="32"/>
          <w:szCs w:val="32"/>
        </w:rPr>
        <w:t>12.4.3 进度付款申请单的提交</w:t>
      </w:r>
      <w:bookmarkEnd w:id="857"/>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（1）单价合同进度付款申请单的提交</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（2）总价合同进度付款申请单的提交</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总价合同按月计量支付的，承包人按照第12.3.4项〔总价合同的计量〕约定的时间按月向监理人提交进度付款申请单，并附上已完成工程量报表和有关资料。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总价合同按支付分解表支付的，承包人应按照第12.4.6项〔支付分解表〕及第12.4.2项〔进度付款申请单的编制〕的约定向监理人提交进度付款申请单。</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（3）其他价格形式合同的进度付款申请单的提交</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合同当事人可在专用合同条款中约定其他价格形式合同的进度付款申请单的编制和提交程序。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12.4</w:t>
      </w:r>
      <w:r>
        <w:rPr>
          <w:rFonts w:hint="eastAsia" w:ascii="方正仿宋_GB2312" w:hAnsi="方正仿宋_GB2312" w:eastAsia="方正仿宋_GB2312" w:cs="方正仿宋_GB2312"/>
          <w:color w:val="000000"/>
          <w:kern w:val="0"/>
          <w:sz w:val="32"/>
          <w:szCs w:val="32"/>
        </w:rPr>
        <w:t>.4 进度款审核和支付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（2）除专用合同条款另有约定外，发包人应在进度款支付证书或临时进度款支付证书签发后14天内完成支付，发包人逾期支付进度款的，应按照中国人民银行发布的同期同类贷款基准利率支付违约金。</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（3）发包人签发进度款支付证书或临时进度款支付证书，不表明发包人已同意、批准或接受了承包人完成的相应部分的工作。</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12.4.5 进度付款的修正</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在对已签发的进度款支付证书进行阶段汇总和复核中发现错误、遗漏或重复的，发包人和承包人均有权提出修正申请。经发包人和承包人同意的修正，应在下期进度付款中支付或扣除。</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12.4.6 支付分解表</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w:t>
      </w:r>
      <w:r>
        <w:rPr>
          <w:rFonts w:hint="eastAsia" w:ascii="方正仿宋_GB2312" w:hAnsi="方正仿宋_GB2312" w:eastAsia="方正仿宋_GB2312" w:cs="方正仿宋_GB2312"/>
          <w:color w:val="000000"/>
          <w:kern w:val="0"/>
          <w:sz w:val="32"/>
          <w:szCs w:val="32"/>
          <w:lang w:val="en-US" w:eastAsia="zh-CN"/>
        </w:rPr>
        <w:t>.</w:t>
      </w:r>
      <w:r>
        <w:rPr>
          <w:rFonts w:hint="eastAsia" w:ascii="方正仿宋_GB2312" w:hAnsi="方正仿宋_GB2312" w:eastAsia="方正仿宋_GB2312" w:cs="方正仿宋_GB2312"/>
          <w:color w:val="000000"/>
          <w:kern w:val="0"/>
          <w:sz w:val="32"/>
          <w:szCs w:val="32"/>
        </w:rPr>
        <w:t>支付分解表的编制要求</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（1）支付分解表中所列的每期付款金额，应为第12.4.2项〔进度付款申请单的编制〕第（1）目的估算金额；</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（2）实际进度与施工进度计划不一致的，合同当事人可按照第4.4款〔商定或确定〕修改支付分解表；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（3）不采用支付分解表的，承包人应向发包人和监理人提交按季度编制的支付估算分解表，用于支付参考。</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w:t>
      </w:r>
      <w:r>
        <w:rPr>
          <w:rFonts w:hint="eastAsia" w:ascii="方正仿宋_GB2312" w:hAnsi="方正仿宋_GB2312" w:eastAsia="方正仿宋_GB2312" w:cs="方正仿宋_GB2312"/>
          <w:color w:val="000000"/>
          <w:kern w:val="0"/>
          <w:sz w:val="32"/>
          <w:szCs w:val="32"/>
          <w:lang w:val="en-US" w:eastAsia="zh-CN"/>
        </w:rPr>
        <w:t>.</w:t>
      </w:r>
      <w:r>
        <w:rPr>
          <w:rFonts w:hint="eastAsia" w:ascii="方正仿宋_GB2312" w:hAnsi="方正仿宋_GB2312" w:eastAsia="方正仿宋_GB2312" w:cs="方正仿宋_GB2312"/>
          <w:color w:val="000000"/>
          <w:kern w:val="0"/>
          <w:sz w:val="32"/>
          <w:szCs w:val="32"/>
        </w:rPr>
        <w:t>总价合同支付分解表的编制与审批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（2）监理人应在收到支付分解表后7天内完成审核并报送发包人。发包人应在收到经监理人审核的支付分解表后7天内完成审批，经发包人批准的支付分解表为有约束力的支付分解表。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    （3）发包人逾期未完成支付分解表审批的，也未及时要求承包人进行修正和提供补充资料的，则承包人提交的支付分解表视为已经获得发包人批准。</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w:t>
      </w:r>
      <w:r>
        <w:rPr>
          <w:rFonts w:hint="eastAsia" w:ascii="方正仿宋_GB2312" w:hAnsi="方正仿宋_GB2312" w:eastAsia="方正仿宋_GB2312" w:cs="方正仿宋_GB2312"/>
          <w:color w:val="000000"/>
          <w:kern w:val="0"/>
          <w:sz w:val="32"/>
          <w:szCs w:val="32"/>
          <w:lang w:val="en-US" w:eastAsia="zh-CN"/>
        </w:rPr>
        <w:t>.</w:t>
      </w:r>
      <w:r>
        <w:rPr>
          <w:rFonts w:hint="eastAsia" w:ascii="方正仿宋_GB2312" w:hAnsi="方正仿宋_GB2312" w:eastAsia="方正仿宋_GB2312" w:cs="方正仿宋_GB2312"/>
          <w:color w:val="000000"/>
          <w:kern w:val="0"/>
          <w:sz w:val="32"/>
          <w:szCs w:val="32"/>
        </w:rPr>
        <w:t>单价合同的总价项目支付分解表的编制与审批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58" w:name="_Toc24225"/>
      <w:r>
        <w:rPr>
          <w:rFonts w:hint="eastAsia" w:ascii="方正仿宋_GB2312" w:hAnsi="方正仿宋_GB2312" w:eastAsia="方正仿宋_GB2312" w:cs="方正仿宋_GB2312"/>
          <w:b w:val="0"/>
          <w:color w:val="000000"/>
          <w:sz w:val="32"/>
          <w:szCs w:val="32"/>
        </w:rPr>
        <w:t>12.5支付账户</w:t>
      </w:r>
      <w:bookmarkEnd w:id="858"/>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发包人应将合同价款支付至合同协议书中约定的承包人账户。</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859" w:name="_Toc4966"/>
      <w:bookmarkStart w:id="860" w:name="_Toc29774"/>
      <w:bookmarkStart w:id="861" w:name="_Toc13503"/>
      <w:bookmarkStart w:id="862" w:name="_Toc337558804"/>
      <w:bookmarkStart w:id="863" w:name="_Toc322522574"/>
      <w:bookmarkStart w:id="864" w:name="_Toc296346607"/>
      <w:bookmarkStart w:id="865" w:name="_Toc296503106"/>
      <w:r>
        <w:rPr>
          <w:rFonts w:hint="eastAsia" w:ascii="方正仿宋_GB2312" w:hAnsi="方正仿宋_GB2312" w:eastAsia="方正仿宋_GB2312" w:cs="方正仿宋_GB2312"/>
          <w:b w:val="0"/>
          <w:color w:val="000000"/>
          <w:sz w:val="32"/>
          <w:szCs w:val="32"/>
        </w:rPr>
        <w:t>13. 验收和工程试车</w:t>
      </w:r>
      <w:bookmarkEnd w:id="859"/>
      <w:bookmarkEnd w:id="860"/>
      <w:bookmarkEnd w:id="861"/>
    </w:p>
    <w:bookmarkEnd w:id="862"/>
    <w:bookmarkEnd w:id="863"/>
    <w:bookmarkEnd w:id="864"/>
    <w:bookmarkEnd w:id="865"/>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66" w:name="_Toc67"/>
      <w:bookmarkStart w:id="867" w:name="_Toc337558805"/>
      <w:bookmarkStart w:id="868" w:name="_Toc296503110"/>
      <w:bookmarkStart w:id="869" w:name="_Toc296346611"/>
      <w:r>
        <w:rPr>
          <w:rFonts w:hint="eastAsia" w:ascii="方正仿宋_GB2312" w:hAnsi="方正仿宋_GB2312" w:eastAsia="方正仿宋_GB2312" w:cs="方正仿宋_GB2312"/>
          <w:b w:val="0"/>
          <w:color w:val="000000"/>
          <w:sz w:val="32"/>
          <w:szCs w:val="32"/>
        </w:rPr>
        <w:t>13.1分部分项工程验收</w:t>
      </w:r>
      <w:bookmarkEnd w:id="866"/>
    </w:p>
    <w:bookmarkEnd w:id="867"/>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13.1.1 分部分项工程质量应符合国家有关工程施工验收规范、标准及合同约定，承包人应按照施工组织设计的要求完成分部分项工程施工。</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13.1.2 除专用合同条款另有约定外，分部分项工程经承包人自检合格并具备验收条件的，承包人应提前48小时通知监理人进行验收。</w:t>
      </w:r>
      <w:r>
        <w:rPr>
          <w:rFonts w:hint="eastAsia" w:ascii="方正仿宋_GB2312" w:hAnsi="方正仿宋_GB2312" w:eastAsia="方正仿宋_GB2312" w:cs="方正仿宋_GB2312"/>
          <w:color w:val="000000"/>
          <w:kern w:val="0"/>
          <w:sz w:val="32"/>
          <w:szCs w:val="32"/>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方正仿宋_GB2312" w:hAnsi="方正仿宋_GB2312" w:eastAsia="方正仿宋_GB2312" w:cs="方正仿宋_GB2312"/>
          <w:color w:val="000000"/>
          <w:sz w:val="32"/>
          <w:szCs w:val="32"/>
        </w:rPr>
        <w:t>分部分项工程未经验收的，不得进入下一道工序施工。</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分部分项工程的验收资料应当作为竣工资料的组成部分。</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70" w:name="_Toc752"/>
      <w:bookmarkStart w:id="871" w:name="_Toc337558806"/>
      <w:r>
        <w:rPr>
          <w:rFonts w:hint="eastAsia" w:ascii="方正仿宋_GB2312" w:hAnsi="方正仿宋_GB2312" w:eastAsia="方正仿宋_GB2312" w:cs="方正仿宋_GB2312"/>
          <w:b w:val="0"/>
          <w:color w:val="000000"/>
          <w:sz w:val="32"/>
          <w:szCs w:val="32"/>
        </w:rPr>
        <w:t>13.2竣工验收</w:t>
      </w:r>
      <w:bookmarkEnd w:id="870"/>
    </w:p>
    <w:bookmarkEnd w:id="868"/>
    <w:bookmarkEnd w:id="869"/>
    <w:bookmarkEnd w:id="871"/>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13.2.1竣工验收条件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工程具备以下条件的，承包人可以申请竣工验收：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（1）除发包人同意的甩项工作和缺陷修补工作外，合同范围内的全部工程以及有关工作，包括合同要求的试验、试运行以及检验均已完成，并符合合同要求；</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（2）已按合同约定编制了甩项工作和缺陷修补工作清单以及相应的施工计划；</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（3）已按合同约定的内容和份数备齐竣工资料。</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13.2.2竣工验收程序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除专用合同条款另有约定外，承包人申请竣工验收的，应当按照以下程序进行：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（3）竣工验收合格的，发包人应在验收合格后14天内向承包人签发工程接收证书。发包人无正当理由逾期不颁发工程接收证书的，自验收合格后第15天起视为已颁发工程接收证书。</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（5）工程未经验收或验收不合格，发包人擅自使用的，应在转移占有工程后7天内向承包人颁发工程接收证书；发包人无正当理由逾期不颁发工程接收证书的，自转移占有后第15天起视为已颁发工程接收证书。</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除专用合同条款另有约定外，发包人不按照本项约定组织竣工验收、颁发工程接收证书的，每逾期一天，应以签约合同价为基数，按照中国人民银行发布的同期同类贷款基准利率支付违约金。</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13.2.3竣工日期</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872" w:name="#go14"/>
      <w:bookmarkEnd w:id="872"/>
      <w:r>
        <w:rPr>
          <w:rFonts w:hint="eastAsia" w:ascii="方正仿宋_GB2312" w:hAnsi="方正仿宋_GB2312" w:eastAsia="方正仿宋_GB2312" w:cs="方正仿宋_GB2312"/>
          <w:color w:val="000000"/>
          <w:kern w:val="0"/>
          <w:sz w:val="32"/>
          <w:szCs w:val="32"/>
        </w:rPr>
        <w:t>收申请报告的日期为实际竣工日期；工程未经竣工验收，发包人擅自使用的，以转移占有工程之日为实际竣工日期。</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bookmarkStart w:id="873" w:name="_Toc13292"/>
      <w:r>
        <w:rPr>
          <w:rFonts w:hint="eastAsia" w:ascii="方正仿宋_GB2312" w:hAnsi="方正仿宋_GB2312" w:eastAsia="方正仿宋_GB2312" w:cs="方正仿宋_GB2312"/>
          <w:color w:val="000000"/>
          <w:kern w:val="0"/>
          <w:sz w:val="32"/>
          <w:szCs w:val="32"/>
        </w:rPr>
        <w:t>13.2.4 拒绝接收全部或部分工程</w:t>
      </w:r>
      <w:bookmarkEnd w:id="873"/>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13.2.5 移交、接收全部与部分工程</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除专用合同条款另有约定外，合同当事人应当在颁发工程接收证书后7天内完成工程的移交。</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发包人无正当理由不接收工程的，发包人自应当接收工程之日起，承担工程照管、成品保护、保管等与工程有关的各项费用，合同当事人可以在专用合同条款中另行约定发包人逾期接收工程的违约责任。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承包人无正当理由不移交工程的，承包人应承担工程照管、成品保护、保管等与工程有关的各项费用，合同当事人可以在专用合同条款中另行约定承包人无正当理由不移交工程的违约责任。</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74" w:name="_Toc15522"/>
      <w:bookmarkStart w:id="875" w:name="_Toc296346612"/>
      <w:bookmarkStart w:id="876" w:name="_Toc296503111"/>
      <w:bookmarkStart w:id="877" w:name="_Toc337558807"/>
      <w:r>
        <w:rPr>
          <w:rFonts w:hint="eastAsia" w:ascii="方正仿宋_GB2312" w:hAnsi="方正仿宋_GB2312" w:eastAsia="方正仿宋_GB2312" w:cs="方正仿宋_GB2312"/>
          <w:b w:val="0"/>
          <w:color w:val="000000"/>
          <w:sz w:val="32"/>
          <w:szCs w:val="32"/>
        </w:rPr>
        <w:t>13.3工程试车</w:t>
      </w:r>
      <w:bookmarkEnd w:id="874"/>
    </w:p>
    <w:bookmarkEnd w:id="875"/>
    <w:bookmarkEnd w:id="876"/>
    <w:bookmarkEnd w:id="877"/>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13.3.1试车程序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工程需要试车的，除专用合同条款另有约定外，试车内容应与承包人承包范围相一致，试车费用由承包人承担。工程试车应按如下程序进行：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13.3.2 试车中的责任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13.3.3 投料试车</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如需进行投料试车的，发包人应在工程竣工验收后组织投料试车。发包人要求在工程竣工验收前进行或需要承包人配合时，应征得承包人同意，并在专用合同条款中约定有关事项。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78" w:name="_Toc15217"/>
      <w:bookmarkStart w:id="879" w:name="_Toc337558808"/>
      <w:r>
        <w:rPr>
          <w:rFonts w:hint="eastAsia" w:ascii="方正仿宋_GB2312" w:hAnsi="方正仿宋_GB2312" w:eastAsia="方正仿宋_GB2312" w:cs="方正仿宋_GB2312"/>
          <w:b w:val="0"/>
          <w:color w:val="000000"/>
          <w:sz w:val="32"/>
          <w:szCs w:val="32"/>
        </w:rPr>
        <w:t>13.4提前交付单位工程的验收</w:t>
      </w:r>
      <w:bookmarkEnd w:id="878"/>
    </w:p>
    <w:bookmarkEnd w:id="879"/>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13.4.1 发包人需要在工程竣工前使用单位工程的，或承包人提出提前交付已经竣工的单位工程且经发包人同意的，可进行单位工程验收，验收的程序按照第13.2款〔竣工验收〕的约定进行。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验收合格后，由监理人向承包人出具经发包人签认的单位工程接收证书。已签发单位工程接收证书的单位工程由发包人负责照管。单位工程的验收成果和结论作为整体工程竣工验收申请报告的附件。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13.4.2 发包人要求在工程竣工前交付单位工程，由此导致承包人费用增加和（或）工期延误的，由发包人承担由此增加的费用和（或）延误的工期，并支付承包人合理的利润。</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80" w:name="_Toc28768"/>
      <w:r>
        <w:rPr>
          <w:rFonts w:hint="eastAsia" w:ascii="方正仿宋_GB2312" w:hAnsi="方正仿宋_GB2312" w:eastAsia="方正仿宋_GB2312" w:cs="方正仿宋_GB2312"/>
          <w:b w:val="0"/>
          <w:color w:val="000000"/>
          <w:sz w:val="32"/>
          <w:szCs w:val="32"/>
        </w:rPr>
        <w:t>13.5 施工期运行</w:t>
      </w:r>
      <w:bookmarkEnd w:id="880"/>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13.5.2 在施工期运行中发现工程或工程设备损坏或存在缺陷的，由承包人按第15.2款〔缺陷责任期〕约定进行修复。</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81" w:name="_Toc296346613"/>
      <w:bookmarkStart w:id="882" w:name="_Toc296503112"/>
      <w:bookmarkStart w:id="883" w:name="_Toc2287"/>
      <w:bookmarkStart w:id="884" w:name="_Toc337558809"/>
      <w:r>
        <w:rPr>
          <w:rFonts w:hint="eastAsia" w:ascii="方正仿宋_GB2312" w:hAnsi="方正仿宋_GB2312" w:eastAsia="方正仿宋_GB2312" w:cs="方正仿宋_GB2312"/>
          <w:b w:val="0"/>
          <w:color w:val="000000"/>
          <w:sz w:val="32"/>
          <w:szCs w:val="32"/>
        </w:rPr>
        <w:t>13.6 竣工退</w:t>
      </w:r>
      <w:bookmarkEnd w:id="881"/>
      <w:bookmarkEnd w:id="882"/>
      <w:r>
        <w:rPr>
          <w:rFonts w:hint="eastAsia" w:ascii="方正仿宋_GB2312" w:hAnsi="方正仿宋_GB2312" w:eastAsia="方正仿宋_GB2312" w:cs="方正仿宋_GB2312"/>
          <w:b w:val="0"/>
          <w:color w:val="000000"/>
          <w:sz w:val="32"/>
          <w:szCs w:val="32"/>
        </w:rPr>
        <w:t>场</w:t>
      </w:r>
      <w:bookmarkEnd w:id="883"/>
    </w:p>
    <w:bookmarkEnd w:id="884"/>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13.6.1 竣工退场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颁发工程接收证书后，承包人应按以下要求对施工现场进行清理：</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（1）施工现场内残留的垃圾已全部清除出场；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（2）临时工程已拆除，场地已进行清理、平整或复原；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（3）按合同约定应撤离的人员、承包人施工设备和剩余的材料，包括废弃的施工设备和材料，已按计划撤离施工现场；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（4）施工现场周边及其附近道路、河道的施工堆积物，已全部清理；</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（5）施工现场其他场地清理工作已全部完成。</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13.6.2 地表还原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885" w:name="_Toc4418"/>
      <w:bookmarkStart w:id="886" w:name="_Toc30431"/>
      <w:bookmarkStart w:id="887" w:name="_Toc3840"/>
      <w:bookmarkStart w:id="888" w:name="_Toc337558810"/>
      <w:bookmarkStart w:id="889" w:name="_Toc296503113"/>
      <w:bookmarkStart w:id="890" w:name="_Toc296346614"/>
      <w:r>
        <w:rPr>
          <w:rFonts w:hint="eastAsia" w:ascii="方正仿宋_GB2312" w:hAnsi="方正仿宋_GB2312" w:eastAsia="方正仿宋_GB2312" w:cs="方正仿宋_GB2312"/>
          <w:b w:val="0"/>
          <w:color w:val="000000"/>
          <w:sz w:val="32"/>
          <w:szCs w:val="32"/>
        </w:rPr>
        <w:t>14. 竣工结算</w:t>
      </w:r>
      <w:bookmarkEnd w:id="885"/>
      <w:bookmarkEnd w:id="886"/>
      <w:bookmarkEnd w:id="887"/>
    </w:p>
    <w:bookmarkEnd w:id="888"/>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91" w:name="_Toc11559"/>
      <w:bookmarkStart w:id="892" w:name="_Toc337558811"/>
      <w:r>
        <w:rPr>
          <w:rFonts w:hint="eastAsia" w:ascii="方正仿宋_GB2312" w:hAnsi="方正仿宋_GB2312" w:eastAsia="方正仿宋_GB2312" w:cs="方正仿宋_GB2312"/>
          <w:b w:val="0"/>
          <w:color w:val="000000"/>
          <w:sz w:val="32"/>
          <w:szCs w:val="32"/>
        </w:rPr>
        <w:t>14.1 竣工结算申请</w:t>
      </w:r>
      <w:bookmarkEnd w:id="891"/>
    </w:p>
    <w:bookmarkEnd w:id="892"/>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除专用合同条款另有约定外，</w:t>
      </w:r>
      <w:r>
        <w:rPr>
          <w:rFonts w:hint="eastAsia" w:ascii="方正仿宋_GB2312" w:hAnsi="方正仿宋_GB2312" w:eastAsia="方正仿宋_GB2312" w:cs="方正仿宋_GB2312"/>
          <w:color w:val="000000"/>
          <w:sz w:val="32"/>
          <w:szCs w:val="32"/>
        </w:rPr>
        <w:t>承包人应在工程竣工验收合格后28天内向发包人和监理人提交竣工结算申请单，并提交完整的结算资料，有关竣工结算申请单的资料清单和份数等要求由合同当事人在专用合同条款中约定。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除专用合同条款另有约定外，竣工结算申请单应包括以下内容：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（1）竣工结算合同价格；</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（2）发包人已支付承包人的款项；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 xml:space="preserve">（3）应扣留的质量保证金。已缴纳履约保证金的或提供其他工程质量担保方式的除外；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（4）发包人应支付承包人的合同价款。</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93" w:name="_Toc21811"/>
      <w:bookmarkStart w:id="894" w:name="_Toc337558812"/>
      <w:r>
        <w:rPr>
          <w:rFonts w:hint="eastAsia" w:ascii="方正仿宋_GB2312" w:hAnsi="方正仿宋_GB2312" w:eastAsia="方正仿宋_GB2312" w:cs="方正仿宋_GB2312"/>
          <w:b w:val="0"/>
          <w:color w:val="000000"/>
          <w:sz w:val="32"/>
          <w:szCs w:val="32"/>
        </w:rPr>
        <w:t>14.2 竣工结算审核</w:t>
      </w:r>
      <w:bookmarkEnd w:id="893"/>
    </w:p>
    <w:bookmarkEnd w:id="89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方正仿宋_GB2312" w:hAnsi="方正仿宋_GB2312" w:eastAsia="方正仿宋_GB2312" w:cs="方正仿宋_GB2312"/>
          <w:color w:val="000000"/>
          <w:sz w:val="32"/>
          <w:szCs w:val="32"/>
        </w:rPr>
        <w:t>发包人对竣工</w:t>
      </w:r>
      <w:r>
        <w:rPr>
          <w:rFonts w:hint="eastAsia" w:ascii="方正仿宋_GB2312" w:hAnsi="方正仿宋_GB2312" w:eastAsia="方正仿宋_GB2312" w:cs="方正仿宋_GB2312"/>
          <w:color w:val="000000"/>
          <w:kern w:val="0"/>
          <w:sz w:val="32"/>
          <w:szCs w:val="32"/>
        </w:rPr>
        <w:t>结算</w:t>
      </w:r>
      <w:r>
        <w:rPr>
          <w:rFonts w:hint="eastAsia" w:ascii="方正仿宋_GB2312" w:hAnsi="方正仿宋_GB2312" w:eastAsia="方正仿宋_GB2312" w:cs="方正仿宋_GB2312"/>
          <w:color w:val="000000"/>
          <w:sz w:val="32"/>
          <w:szCs w:val="32"/>
        </w:rPr>
        <w:t>申请单有异议的，有权要求承包人进行修正和提供补充资料，承包人应提交修正后的竣工</w:t>
      </w:r>
      <w:r>
        <w:rPr>
          <w:rFonts w:hint="eastAsia" w:ascii="方正仿宋_GB2312" w:hAnsi="方正仿宋_GB2312" w:eastAsia="方正仿宋_GB2312" w:cs="方正仿宋_GB2312"/>
          <w:color w:val="000000"/>
          <w:kern w:val="0"/>
          <w:sz w:val="32"/>
          <w:szCs w:val="32"/>
        </w:rPr>
        <w:t>结算</w:t>
      </w:r>
      <w:r>
        <w:rPr>
          <w:rFonts w:hint="eastAsia" w:ascii="方正仿宋_GB2312" w:hAnsi="方正仿宋_GB2312" w:eastAsia="方正仿宋_GB2312" w:cs="方正仿宋_GB2312"/>
          <w:color w:val="000000"/>
          <w:sz w:val="32"/>
          <w:szCs w:val="32"/>
        </w:rPr>
        <w:t>申请单。</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95" w:name="_Toc23249"/>
      <w:bookmarkStart w:id="896" w:name="_Toc337558813"/>
      <w:r>
        <w:rPr>
          <w:rFonts w:hint="eastAsia" w:ascii="方正仿宋_GB2312" w:hAnsi="方正仿宋_GB2312" w:eastAsia="方正仿宋_GB2312" w:cs="方正仿宋_GB2312"/>
          <w:b w:val="0"/>
          <w:color w:val="000000"/>
          <w:sz w:val="32"/>
          <w:szCs w:val="32"/>
        </w:rPr>
        <w:t>14.3 甩项竣工协议</w:t>
      </w:r>
      <w:bookmarkEnd w:id="895"/>
    </w:p>
    <w:bookmarkEnd w:id="896"/>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sz w:val="32"/>
          <w:szCs w:val="32"/>
        </w:rPr>
        <w:t>发包人要求甩项竣工的，合同当事人应签订甩项竣工协议。在甩项竣工协议中应明确，合同当事人按照第14.1款〔竣工结算申请〕及14.2款〔竣工结算审核〕的约定，对已完合格工程进行结算，并支付相应合同价款。</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897" w:name="_Toc30051"/>
      <w:bookmarkStart w:id="898" w:name="_Toc337558814"/>
      <w:r>
        <w:rPr>
          <w:rFonts w:hint="eastAsia" w:ascii="方正仿宋_GB2312" w:hAnsi="方正仿宋_GB2312" w:eastAsia="方正仿宋_GB2312" w:cs="方正仿宋_GB2312"/>
          <w:b w:val="0"/>
          <w:color w:val="000000"/>
          <w:sz w:val="32"/>
          <w:szCs w:val="32"/>
        </w:rPr>
        <w:t>14.4 最终结清</w:t>
      </w:r>
      <w:bookmarkEnd w:id="897"/>
    </w:p>
    <w:bookmarkEnd w:id="898"/>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14.4.1 最终结清申请单</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（1）除专用合同条款另有约定外，承包人应在缺陷责任期终止证书颁发后7天内，按专用合同条款约定的份数向发包人提交最终结清申请单，并提供相关证明材料。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除专用合同条款另有约定外，</w:t>
      </w:r>
      <w:r>
        <w:rPr>
          <w:rFonts w:hint="eastAsia" w:ascii="方正仿宋_GB2312" w:hAnsi="方正仿宋_GB2312" w:eastAsia="方正仿宋_GB2312" w:cs="方正仿宋_GB2312"/>
          <w:color w:val="000000"/>
          <w:kern w:val="0"/>
          <w:sz w:val="32"/>
          <w:szCs w:val="32"/>
        </w:rPr>
        <w:t>最终结清申请单</w:t>
      </w:r>
      <w:r>
        <w:rPr>
          <w:rFonts w:hint="eastAsia" w:ascii="方正仿宋_GB2312" w:hAnsi="方正仿宋_GB2312" w:eastAsia="方正仿宋_GB2312" w:cs="方正仿宋_GB2312"/>
          <w:color w:val="000000"/>
          <w:sz w:val="32"/>
          <w:szCs w:val="32"/>
        </w:rPr>
        <w:t>应列明质量保证金、应扣除的质量保证金、缺陷责任期内发生的增减费用。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（2）发包人对最终结清申请单内容有异议的，有权要求承包人进行修正和提供补充资料，承包人应向发包人提交修正后的最终结清申请单。</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14.4.2 最终结清证书和支付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（3）承包人对发包人颁发的最终结清证书有异议的，按第20条〔争议解决〕的约定办理。</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899" w:name="_Toc22724"/>
      <w:bookmarkStart w:id="900" w:name="_Toc30578"/>
      <w:bookmarkStart w:id="901" w:name="_Toc30043"/>
      <w:bookmarkStart w:id="902" w:name="_Toc337558815"/>
      <w:r>
        <w:rPr>
          <w:rFonts w:hint="eastAsia" w:ascii="方正仿宋_GB2312" w:hAnsi="方正仿宋_GB2312" w:eastAsia="方正仿宋_GB2312" w:cs="方正仿宋_GB2312"/>
          <w:b w:val="0"/>
          <w:color w:val="000000"/>
          <w:sz w:val="32"/>
          <w:szCs w:val="32"/>
        </w:rPr>
        <w:t>15. 缺陷责任与保修</w:t>
      </w:r>
      <w:bookmarkEnd w:id="899"/>
      <w:bookmarkEnd w:id="900"/>
      <w:bookmarkEnd w:id="901"/>
    </w:p>
    <w:bookmarkEnd w:id="889"/>
    <w:bookmarkEnd w:id="890"/>
    <w:bookmarkEnd w:id="902"/>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03" w:name="_Toc20636"/>
      <w:bookmarkStart w:id="904" w:name="_Toc337558816"/>
      <w:bookmarkStart w:id="905" w:name="_Toc296346615"/>
      <w:bookmarkStart w:id="906" w:name="_Toc296503114"/>
      <w:r>
        <w:rPr>
          <w:rFonts w:hint="eastAsia" w:ascii="方正仿宋_GB2312" w:hAnsi="方正仿宋_GB2312" w:eastAsia="方正仿宋_GB2312" w:cs="方正仿宋_GB2312"/>
          <w:b w:val="0"/>
          <w:color w:val="000000"/>
          <w:sz w:val="32"/>
          <w:szCs w:val="32"/>
        </w:rPr>
        <w:t>15.1 工程保修的原则</w:t>
      </w:r>
      <w:bookmarkEnd w:id="903"/>
    </w:p>
    <w:bookmarkEnd w:id="90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在工程移交发包人后，因承包人原因产生的质量缺陷，承包人应承担质量缺陷责任和保修义务。缺陷责任期届满，承包人仍应按合同约定的工程各部位保修年限承担保修义务。</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07" w:name="_Toc3788"/>
      <w:bookmarkStart w:id="908" w:name="_Toc337558817"/>
      <w:r>
        <w:rPr>
          <w:rFonts w:hint="eastAsia" w:ascii="方正仿宋_GB2312" w:hAnsi="方正仿宋_GB2312" w:eastAsia="方正仿宋_GB2312" w:cs="方正仿宋_GB2312"/>
          <w:b w:val="0"/>
          <w:color w:val="000000"/>
          <w:sz w:val="32"/>
          <w:szCs w:val="32"/>
        </w:rPr>
        <w:t>15.2 缺陷责任期</w:t>
      </w:r>
      <w:bookmarkEnd w:id="905"/>
      <w:bookmarkEnd w:id="906"/>
      <w:bookmarkEnd w:id="907"/>
    </w:p>
    <w:bookmarkEnd w:id="908"/>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15.2.1 缺陷责任期从工程通过竣工验收之日起计算，合同当事人应在专用合同条款约定缺陷责任期的具体期限，但该期限最长不超过24个月。</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方正仿宋_GB2312" w:hAnsi="方正仿宋_GB2312" w:eastAsia="方正仿宋_GB2312" w:cs="方正仿宋_GB2312"/>
          <w:bCs/>
          <w:color w:val="000000"/>
          <w:sz w:val="32"/>
          <w:szCs w:val="32"/>
        </w:rPr>
        <w:t>包人延长缺陷责任期，</w:t>
      </w:r>
      <w:r>
        <w:rPr>
          <w:rFonts w:hint="eastAsia" w:ascii="方正仿宋_GB2312" w:hAnsi="方正仿宋_GB2312" w:eastAsia="方正仿宋_GB2312" w:cs="方正仿宋_GB2312"/>
          <w:color w:val="000000"/>
          <w:kern w:val="0"/>
          <w:sz w:val="32"/>
          <w:szCs w:val="32"/>
        </w:rPr>
        <w:t>并应在原缺陷责任期届满前发出延长通知</w:t>
      </w:r>
      <w:r>
        <w:rPr>
          <w:rFonts w:hint="eastAsia" w:ascii="方正仿宋_GB2312" w:hAnsi="方正仿宋_GB2312" w:eastAsia="方正仿宋_GB2312" w:cs="方正仿宋_GB2312"/>
          <w:color w:val="000000"/>
          <w:kern w:val="0"/>
          <w:sz w:val="32"/>
          <w:szCs w:val="32"/>
          <w:lang w:eastAsia="zh-CN"/>
        </w:rPr>
        <w:t>。</w:t>
      </w:r>
      <w:r>
        <w:rPr>
          <w:rFonts w:hint="eastAsia" w:ascii="方正仿宋_GB2312" w:hAnsi="方正仿宋_GB2312" w:eastAsia="方正仿宋_GB2312" w:cs="方正仿宋_GB2312"/>
          <w:bCs/>
          <w:color w:val="000000"/>
          <w:sz w:val="32"/>
          <w:szCs w:val="32"/>
        </w:rPr>
        <w:t>但缺陷责任期</w:t>
      </w:r>
      <w:r>
        <w:rPr>
          <w:rFonts w:hint="eastAsia" w:ascii="方正仿宋_GB2312" w:hAnsi="方正仿宋_GB2312" w:eastAsia="方正仿宋_GB2312" w:cs="方正仿宋_GB2312"/>
          <w:bCs/>
          <w:color w:val="000000"/>
          <w:sz w:val="32"/>
          <w:szCs w:val="32"/>
          <w:lang w:eastAsia="zh-CN"/>
        </w:rPr>
        <w:t>（含延长部分）</w:t>
      </w:r>
      <w:r>
        <w:rPr>
          <w:rFonts w:hint="eastAsia" w:ascii="方正仿宋_GB2312" w:hAnsi="方正仿宋_GB2312" w:eastAsia="方正仿宋_GB2312" w:cs="方正仿宋_GB2312"/>
          <w:bCs/>
          <w:color w:val="000000"/>
          <w:sz w:val="32"/>
          <w:szCs w:val="32"/>
        </w:rPr>
        <w:t>最长</w:t>
      </w:r>
      <w:r>
        <w:rPr>
          <w:rFonts w:hint="eastAsia" w:ascii="方正仿宋_GB2312" w:hAnsi="方正仿宋_GB2312" w:eastAsia="方正仿宋_GB2312" w:cs="方正仿宋_GB2312"/>
          <w:color w:val="000000"/>
          <w:kern w:val="0"/>
          <w:sz w:val="32"/>
          <w:szCs w:val="32"/>
        </w:rPr>
        <w:t>不能超过24个月。</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由他人原因造成的缺陷，发包人负责组织维修，承包人不承担费用，且发包人不得从保证金中扣除费用。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15.2.3 任何一项缺陷或损坏修复后，经检查证明其影响了工程或工程设备的使用性能，承包人应重新进行合同约定的试验和试运行，试验和试运行的全部费用应由责任方承担。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09" w:name="_Toc19"/>
      <w:bookmarkStart w:id="910" w:name="_Toc337558818"/>
      <w:bookmarkStart w:id="911" w:name="_Toc296503115"/>
      <w:bookmarkStart w:id="912" w:name="_Toc296346616"/>
      <w:r>
        <w:rPr>
          <w:rFonts w:hint="eastAsia" w:ascii="方正仿宋_GB2312" w:hAnsi="方正仿宋_GB2312" w:eastAsia="方正仿宋_GB2312" w:cs="方正仿宋_GB2312"/>
          <w:b w:val="0"/>
          <w:color w:val="000000"/>
          <w:sz w:val="32"/>
          <w:szCs w:val="32"/>
        </w:rPr>
        <w:t>15.3 质量保证金</w:t>
      </w:r>
      <w:bookmarkEnd w:id="909"/>
    </w:p>
    <w:bookmarkEnd w:id="910"/>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经合同当事人协商一致扣留质量保证金的，应在专用合同条款中予以明确。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在工程项目竣工前，承包人已经提供履约担保的，发包人不得同时预留工程质量保证金。</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15.3.1 承包人提供质量保证金的方式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承包人提供质量保证金有以下三种方式：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（1）质量保证金保函；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（2）相应比例的工程款；</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（3）双方约定的其他方式。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除专用合同条款另有约定外，质量保证金原则上采用上述第（1）种方式。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15.3.2 质量保证金的扣留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质量保证金的扣留有以下三种方式：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（2）工</w:t>
      </w:r>
      <w:bookmarkStart w:id="913" w:name="#go6"/>
      <w:bookmarkEnd w:id="913"/>
      <w:r>
        <w:rPr>
          <w:rFonts w:hint="eastAsia" w:ascii="方正仿宋_GB2312" w:hAnsi="方正仿宋_GB2312" w:eastAsia="方正仿宋_GB2312" w:cs="方正仿宋_GB2312"/>
          <w:color w:val="000000"/>
          <w:kern w:val="0"/>
          <w:sz w:val="32"/>
          <w:szCs w:val="32"/>
        </w:rPr>
        <w:t>程竣工结算时一次性扣留质量保证金；</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（3）双方约定的其他扣留方式。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除专用合同条款另有约定外，质量保证金的扣留原则上采用上述第（1）种方式。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w:t>
      </w:r>
      <w:bookmarkStart w:id="914" w:name="#go4"/>
      <w:bookmarkEnd w:id="914"/>
      <w:r>
        <w:rPr>
          <w:rFonts w:hint="eastAsia" w:ascii="方正仿宋_GB2312" w:hAnsi="方正仿宋_GB2312" w:eastAsia="方正仿宋_GB2312" w:cs="方正仿宋_GB2312"/>
          <w:color w:val="000000"/>
          <w:kern w:val="0"/>
          <w:sz w:val="32"/>
          <w:szCs w:val="32"/>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发包人在退还质量保证金的同时按照中国人民银行发布的同期同类贷款基准利率支付利息。</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15.3.3 </w:t>
      </w:r>
      <w:r>
        <w:rPr>
          <w:rFonts w:hint="eastAsia" w:ascii="方正仿宋_GB2312" w:hAnsi="方正仿宋_GB2312" w:eastAsia="方正仿宋_GB2312" w:cs="方正仿宋_GB2312"/>
          <w:color w:val="000000"/>
          <w:sz w:val="32"/>
          <w:szCs w:val="32"/>
        </w:rPr>
        <w:t>质量保证金</w:t>
      </w:r>
      <w:r>
        <w:rPr>
          <w:rFonts w:hint="eastAsia" w:ascii="方正仿宋_GB2312" w:hAnsi="方正仿宋_GB2312" w:eastAsia="方正仿宋_GB2312" w:cs="方正仿宋_GB2312"/>
          <w:color w:val="000000"/>
          <w:kern w:val="0"/>
          <w:sz w:val="32"/>
          <w:szCs w:val="32"/>
        </w:rPr>
        <w:t>的退还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缺陷责任期内，承包人认真履行合同约定的责任，到期后，承包人可向发包人申请返还保证金。</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发包人和承包人对保证金预留、返还以及工程维修质量、费用有争议的，按本合同第20条约定的争议和纠纷解决程序处理。</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15" w:name="_Toc5545"/>
      <w:bookmarkStart w:id="916" w:name="_Toc337558819"/>
      <w:r>
        <w:rPr>
          <w:rFonts w:hint="eastAsia" w:ascii="方正仿宋_GB2312" w:hAnsi="方正仿宋_GB2312" w:eastAsia="方正仿宋_GB2312" w:cs="方正仿宋_GB2312"/>
          <w:b w:val="0"/>
          <w:color w:val="000000"/>
          <w:sz w:val="32"/>
          <w:szCs w:val="32"/>
        </w:rPr>
        <w:t>15.4 保修</w:t>
      </w:r>
      <w:bookmarkEnd w:id="915"/>
    </w:p>
    <w:bookmarkEnd w:id="911"/>
    <w:bookmarkEnd w:id="912"/>
    <w:bookmarkEnd w:id="916"/>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15.4.1保修责任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发包人未经竣工验收擅自使用工程的，保修期自</w:t>
      </w:r>
      <w:r>
        <w:rPr>
          <w:rFonts w:hint="eastAsia" w:ascii="方正仿宋_GB2312" w:hAnsi="方正仿宋_GB2312" w:eastAsia="方正仿宋_GB2312" w:cs="方正仿宋_GB2312"/>
          <w:color w:val="000000"/>
          <w:kern w:val="0"/>
          <w:sz w:val="32"/>
          <w:szCs w:val="32"/>
        </w:rPr>
        <w:t>转移占有之日起算</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15.4.2 修复费用</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保修期内，修复的费用按照以下约定处理：</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（1）保修期内，因承包人原因造成工程的缺陷、损坏，承包人应负责修复，并承担修复的费用以及因工程的缺陷、损坏造成的人身伤害和财产损失；</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（2）保修期内，因发包人使用不当造成工程的缺陷、损坏，可以委托承包人修复，但发包人应承担修复的费用，并支付承包人合理利润；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（3）因其他原因造成工程的缺陷、损坏，可以委托承包人修复，发包人应承担修复的费用，并支付承包人合理的利润，因工程的缺陷、损坏造成的人身伤害和财产损失由责任方承担。</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15.4.3 修复通知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15.4.4 未能修复</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15.4.5 承包人出入权</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917" w:name="_Toc23850"/>
      <w:bookmarkStart w:id="918" w:name="_Toc4561"/>
      <w:bookmarkStart w:id="919" w:name="_Toc26287"/>
      <w:bookmarkStart w:id="920" w:name="_Toc337558820"/>
      <w:r>
        <w:rPr>
          <w:rFonts w:hint="eastAsia" w:ascii="方正仿宋_GB2312" w:hAnsi="方正仿宋_GB2312" w:eastAsia="方正仿宋_GB2312" w:cs="方正仿宋_GB2312"/>
          <w:b w:val="0"/>
          <w:color w:val="000000"/>
          <w:sz w:val="32"/>
          <w:szCs w:val="32"/>
        </w:rPr>
        <w:t>16. 违约</w:t>
      </w:r>
      <w:bookmarkEnd w:id="917"/>
      <w:bookmarkEnd w:id="918"/>
      <w:bookmarkEnd w:id="919"/>
    </w:p>
    <w:bookmarkEnd w:id="920"/>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21" w:name="_Toc296503129"/>
      <w:bookmarkStart w:id="922" w:name="_Toc296346630"/>
      <w:bookmarkStart w:id="923" w:name="_Toc15114"/>
      <w:bookmarkStart w:id="924" w:name="_Toc337558821"/>
      <w:r>
        <w:rPr>
          <w:rFonts w:hint="eastAsia" w:ascii="方正仿宋_GB2312" w:hAnsi="方正仿宋_GB2312" w:eastAsia="方正仿宋_GB2312" w:cs="方正仿宋_GB2312"/>
          <w:b w:val="0"/>
          <w:color w:val="000000"/>
          <w:sz w:val="32"/>
          <w:szCs w:val="32"/>
        </w:rPr>
        <w:t>16.1 发</w:t>
      </w:r>
      <w:bookmarkEnd w:id="921"/>
      <w:bookmarkEnd w:id="922"/>
      <w:r>
        <w:rPr>
          <w:rFonts w:hint="eastAsia" w:ascii="方正仿宋_GB2312" w:hAnsi="方正仿宋_GB2312" w:eastAsia="方正仿宋_GB2312" w:cs="方正仿宋_GB2312"/>
          <w:b w:val="0"/>
          <w:color w:val="000000"/>
          <w:sz w:val="32"/>
          <w:szCs w:val="32"/>
        </w:rPr>
        <w:t>包人违约</w:t>
      </w:r>
      <w:bookmarkEnd w:id="923"/>
    </w:p>
    <w:bookmarkEnd w:id="92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16.1.1 发包人违约的情形</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在合同履行过程中发生的下列情形，属于发包人违约：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（1）因发包人原因未能在计划开工日期前7天内下达开工通知的；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（2）因发包人原因未能按合同约定支付合同价款的；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（3）发包人违反第10.1款〔变更的范围〕第（2）项约定，自行实施被取消的工作或转由他人实施的；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（4）发包人提供的材料、工程设备的规格、数量或质量不符合合同约定，或因发包人原因导致交货日期延误或交货地点变更等情况的；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（5）因发包人违反合同约定造成暂停施工的；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（6）发包人无正当理由没有在约定期限内发出复工指示，导致承包人无法复工的；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（7）发包人明确表示或者以其行为表明不履行合同主要义务的；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（8）发包人未能按照合同约定履行其他义务的。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16.1.2 发包人违约的责任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发包人应承担因其违约给承包人增加的费用和（或）延误的工期，并支付承包人合理的利润。此外，合同当事人可在专用合同条款中另行约定发包人违约责任的承担方式和计算方法。</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16.1.3 因发包人违约解除合同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16.1.4 因发包人违约解除合同后的付款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承包人按照本款约定解除合同的，发包人应在解除合同后28天内支付下列款项，并解除履约担保：</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（1）合同解除前所完成工作的价款；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（2）承包人为工程施工订购并已付款的材料、工程设备和其他物品的价款；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（3）承包人撤离施工现场以及遣散承包人人员的款项；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（4）按照合同约定在合同解除前应支付的违约金；</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（5）按照合同约定应当支付给承包人的其他款项；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（6）按照合同约定应退还的质量保证金；</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（7）因解除合同给承包人造成的损失。</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合同当事人未能就解除合同后的结清达成一致的，按照第20条〔争议解决〕的约定处理。</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承包人应妥善做好已完工程和与工程有关的已购材料、工程设备的保护和移交工作，并将施工设备和人员撤出施工现场，发包人应为承包人撤出提供必要条件。</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25" w:name="_Toc10493"/>
      <w:bookmarkStart w:id="926" w:name="_Toc337558822"/>
      <w:bookmarkStart w:id="927" w:name="_Toc296503131"/>
      <w:bookmarkStart w:id="928" w:name="_Toc296346632"/>
      <w:r>
        <w:rPr>
          <w:rFonts w:hint="eastAsia" w:ascii="方正仿宋_GB2312" w:hAnsi="方正仿宋_GB2312" w:eastAsia="方正仿宋_GB2312" w:cs="方正仿宋_GB2312"/>
          <w:b w:val="0"/>
          <w:color w:val="000000"/>
          <w:sz w:val="32"/>
          <w:szCs w:val="32"/>
        </w:rPr>
        <w:t>16.2 承包人违约</w:t>
      </w:r>
      <w:bookmarkEnd w:id="925"/>
    </w:p>
    <w:bookmarkEnd w:id="926"/>
    <w:bookmarkEnd w:id="927"/>
    <w:bookmarkEnd w:id="928"/>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16.2.1 承包人违约的情形</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在合同履行过程中发生的下列情形，属于承包人违约：</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（1）承包人违反合同约定进行转包或违法分包的；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（2）承包人违反合同约定采购和使用不合格的材料和工程设备的；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（3）因承包人原因导致工程质量不符合合同要求的；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（4）承包人违反第8.9款〔材料与设备专用要求〕的约定，未经批准，私自将已按照合同约定进入施工现场的材料或设备撤离施工现场的；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（5）承包人未能按施工进度计划及时完成合同约定的工作，造成工期延误的；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（6）承包人在缺陷责任期及保修期内，未能在合理期限对工程缺陷进行修复，或拒绝按发包人要求进行修复的；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（7）承包人明确表示或者以其行为表明不履行合同主要义务的；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（8）承包人未能按照合同约定履行其他义务的。</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承包人发生除本项第（7）目约定以外的其他违约情况时，监理人可向承包人发出整改通知，要求其在指定的期限内改正。</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16.2.2 承包人违约的责任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承包人应承担因其违约行为而增加的费用和（或）延误的工期。此外，合同当事人可在专用合同条款中另行约定承包人违约责任的承担方式和计算方法。</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16.2.3 因承包人违约解除合同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16.2.4因承包人违约解除合同后的处理</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因承包人原因导致合同解除的，则合同当事人应在合同解除后28天内完成估价、付款和清算，并按以下约定执行：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（1）合同解除后，按第4.4款〔商定或确定〕商定或确定承包人实际完成工作对应的合同价款，以及承包人已提供的材料、工程设备、施工设备和临时工程等的价值；</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（2）合同解除后，承包人应支付的违约金；</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（3）合同解除后，因解除合同给发包人造成的损失；</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（4）合同解除后，承包人应按照发包人要求和监理人的指示完成现场的清理和撤离；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（5）发包人和承包人应在合同解除后进行清算，出具最终结清付款证书，结清全部款项。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因承包人违约解除合同的，发包人有权暂停对承包人的付款，查清各项付款和已扣款项。发包人和承包人未能就合同解除后的清算和款项支付达成一致的，按照第20条〔争议解决〕的约定处理。</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16.2.5采购合同权益转让</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29" w:name="_Toc6718"/>
      <w:r>
        <w:rPr>
          <w:rFonts w:hint="eastAsia" w:ascii="方正仿宋_GB2312" w:hAnsi="方正仿宋_GB2312" w:eastAsia="方正仿宋_GB2312" w:cs="方正仿宋_GB2312"/>
          <w:b w:val="0"/>
          <w:color w:val="000000"/>
          <w:sz w:val="32"/>
          <w:szCs w:val="32"/>
        </w:rPr>
        <w:t>16.3 第三人造成的违约</w:t>
      </w:r>
      <w:bookmarkEnd w:id="929"/>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在履行合同过程中，一方当事人因第三人的原因造成违约的，应当向对方当事人承担违约责任。一方当事人和第三人之间的纠纷，依照法律规定或者按照约定解决。</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930" w:name="_Toc22652"/>
      <w:bookmarkStart w:id="931" w:name="_Toc24123"/>
      <w:bookmarkStart w:id="932" w:name="_Toc28002"/>
      <w:bookmarkStart w:id="933" w:name="_Toc296503116"/>
      <w:bookmarkStart w:id="934" w:name="_Toc296346617"/>
      <w:bookmarkStart w:id="935" w:name="_Toc337558823"/>
      <w:r>
        <w:rPr>
          <w:rFonts w:hint="eastAsia" w:ascii="方正仿宋_GB2312" w:hAnsi="方正仿宋_GB2312" w:eastAsia="方正仿宋_GB2312" w:cs="方正仿宋_GB2312"/>
          <w:b w:val="0"/>
          <w:color w:val="000000"/>
          <w:sz w:val="32"/>
          <w:szCs w:val="32"/>
        </w:rPr>
        <w:t>17. 不可抗力</w:t>
      </w:r>
      <w:bookmarkEnd w:id="930"/>
      <w:bookmarkEnd w:id="931"/>
      <w:bookmarkEnd w:id="932"/>
      <w:r>
        <w:rPr>
          <w:rFonts w:hint="eastAsia" w:ascii="方正仿宋_GB2312" w:hAnsi="方正仿宋_GB2312" w:eastAsia="方正仿宋_GB2312" w:cs="方正仿宋_GB2312"/>
          <w:b w:val="0"/>
          <w:color w:val="000000"/>
          <w:sz w:val="32"/>
          <w:szCs w:val="32"/>
        </w:rPr>
        <w:t xml:space="preserve"> </w:t>
      </w:r>
      <w:bookmarkEnd w:id="933"/>
      <w:bookmarkEnd w:id="934"/>
      <w:bookmarkEnd w:id="935"/>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36" w:name="_Toc14000"/>
      <w:bookmarkStart w:id="937" w:name="_Toc296503117"/>
      <w:bookmarkStart w:id="938" w:name="_Toc296346618"/>
      <w:bookmarkStart w:id="939" w:name="_Toc337558824"/>
      <w:r>
        <w:rPr>
          <w:rFonts w:hint="eastAsia" w:ascii="方正仿宋_GB2312" w:hAnsi="方正仿宋_GB2312" w:eastAsia="方正仿宋_GB2312" w:cs="方正仿宋_GB2312"/>
          <w:b w:val="0"/>
          <w:color w:val="000000"/>
          <w:sz w:val="32"/>
          <w:szCs w:val="32"/>
        </w:rPr>
        <w:t>17.1 不可抗力的确认</w:t>
      </w:r>
      <w:bookmarkEnd w:id="936"/>
    </w:p>
    <w:bookmarkEnd w:id="937"/>
    <w:bookmarkEnd w:id="938"/>
    <w:bookmarkEnd w:id="939"/>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不可抗力是指合同当事人在签订合同时不可预见，在合同履行过程中不可避免且不能克服的自然灾害和社会性突发事件，如地震、海啸、瘟疫、骚乱、戒严、暴动、战争和专用合同条款中约定的其他情形。</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40" w:name="_Toc11334"/>
      <w:bookmarkStart w:id="941" w:name="_Toc337558825"/>
      <w:bookmarkStart w:id="942" w:name="_Toc296503118"/>
      <w:bookmarkStart w:id="943" w:name="_Toc296346619"/>
      <w:r>
        <w:rPr>
          <w:rFonts w:hint="eastAsia" w:ascii="方正仿宋_GB2312" w:hAnsi="方正仿宋_GB2312" w:eastAsia="方正仿宋_GB2312" w:cs="方正仿宋_GB2312"/>
          <w:b w:val="0"/>
          <w:color w:val="000000"/>
          <w:sz w:val="32"/>
          <w:szCs w:val="32"/>
        </w:rPr>
        <w:t>17.2 不可抗力的通知</w:t>
      </w:r>
      <w:bookmarkEnd w:id="940"/>
    </w:p>
    <w:bookmarkEnd w:id="941"/>
    <w:bookmarkEnd w:id="942"/>
    <w:bookmarkEnd w:id="943"/>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合同一方当事人遇到不可抗力事件，使其履行合同义务受到阻碍时，应立即通知合同另一方当事人和监理人，书面说明不可抗力和受阻碍的详细情况，并提供必要的证明。</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不可抗力持续发生的，合同一方当事人应及时向合同另一方当事人和监理人提交中间报告，说明不可抗力和履行合同受阻的情况，并于不可抗力事件结束后28天内提交最终报告及有关资料。</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44" w:name="_Toc18932"/>
      <w:bookmarkStart w:id="945" w:name="_Toc296346620"/>
      <w:bookmarkStart w:id="946" w:name="_Toc337558826"/>
      <w:bookmarkStart w:id="947" w:name="_Toc296503119"/>
      <w:r>
        <w:rPr>
          <w:rFonts w:hint="eastAsia" w:ascii="方正仿宋_GB2312" w:hAnsi="方正仿宋_GB2312" w:eastAsia="方正仿宋_GB2312" w:cs="方正仿宋_GB2312"/>
          <w:b w:val="0"/>
          <w:color w:val="000000"/>
          <w:sz w:val="32"/>
          <w:szCs w:val="32"/>
        </w:rPr>
        <w:t>17.3 不可抗力后果的承担</w:t>
      </w:r>
      <w:bookmarkEnd w:id="944"/>
    </w:p>
    <w:bookmarkEnd w:id="945"/>
    <w:bookmarkEnd w:id="946"/>
    <w:bookmarkEnd w:id="947"/>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17.3.1 不可抗力引起的后果及造成的损失由合同当事人按照法律规定及合同约定各自承担。不可抗力发生前已完成的工程应当按照合同约定进行计量支付。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17.3.2 不可抗力导致的人员伤亡、财产损失、费用增加和（或）工期延误等后果，由合同当事人按以下原则承担：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（1）永久工程、已运至施工现场的材料和工程设备的损坏，以及因工程损坏造成的第三人人员伤亡和财产损失由发包人承担；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（2）承包人施工设备的损坏由承包人承担；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（3）发包人和承包人承担各自人员伤亡和财产的损失；</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（4）因不可抗力影响承包人履行合同约定的义务，已经引起或将引起工期延误的，应当顺延工期，由此导致承包人停工的费用损失由发包人和承包人合理分担，停工期间必须支付的工人工资由发包人承担；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（5）因不可抗力引起或将引起工期延误，发包人要求赶工的，由此增加的赶工费用由发包人承担；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（6）承包人在停工期间按照发包人要求照管、清理和修复工程的费用由发包人承担。</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不可抗力发生后，合同当事人均应采取措施尽量避免和减少损失的扩大，任何一方当事人没有采取有效措施导致损失扩大的，应对扩大的损失承担责任。</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因合同一方迟延履行合同义务，在迟延履行期间遭遇不可抗力的，不免除其违约责任。</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48" w:name="_Toc23753"/>
      <w:bookmarkStart w:id="949" w:name="_Toc337558827"/>
      <w:r>
        <w:rPr>
          <w:rFonts w:hint="eastAsia" w:ascii="方正仿宋_GB2312" w:hAnsi="方正仿宋_GB2312" w:eastAsia="方正仿宋_GB2312" w:cs="方正仿宋_GB2312"/>
          <w:b w:val="0"/>
          <w:color w:val="000000"/>
          <w:sz w:val="32"/>
          <w:szCs w:val="32"/>
        </w:rPr>
        <w:t>17.4 因不可抗力解除合同</w:t>
      </w:r>
      <w:bookmarkEnd w:id="948"/>
    </w:p>
    <w:bookmarkEnd w:id="949"/>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因不可抗力导致合同无法履行连续超过84天或累计超过140天的，发包人和承包人均有权解除合同。合同解除后，由双方当事人按照第4.4款〔商定或确定〕商定或确定发包人应支付的款项，该款项包括：</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（1）合同解除前承包人已完成工作的价款；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（2）承包人为工程订购的并已交付给承包人，或承包人有责任接受交付的材料、工程设备和其他物品的价款；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（3）发包人要求承包人退货或解除订货合同而产生的费用，或因不能退货或解除合同而产生的损失；</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（4）承包人撤离施工现场以及遣散承包人人员的费用；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（5）按照合同约定在合同解除前应支付给承包人的其他款项；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（6）扣减承包人按照合同约定应向发包人支付的款项；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（7）双方商定或确定的其他款项。</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除专用合同条款另有约定外，合同解除后，发包人应在商定或确定上述款项后28天内完成上述款项的支付。</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950" w:name="_Toc27419"/>
      <w:bookmarkStart w:id="951" w:name="_Toc12280"/>
      <w:bookmarkStart w:id="952" w:name="_Toc22743"/>
      <w:bookmarkStart w:id="953" w:name="_Toc337558828"/>
      <w:bookmarkStart w:id="954" w:name="_Toc296503120"/>
      <w:bookmarkStart w:id="955" w:name="_Toc296346621"/>
      <w:r>
        <w:rPr>
          <w:rFonts w:hint="eastAsia" w:ascii="方正仿宋_GB2312" w:hAnsi="方正仿宋_GB2312" w:eastAsia="方正仿宋_GB2312" w:cs="方正仿宋_GB2312"/>
          <w:b w:val="0"/>
          <w:color w:val="000000"/>
          <w:sz w:val="32"/>
          <w:szCs w:val="32"/>
        </w:rPr>
        <w:t>18. 保险</w:t>
      </w:r>
      <w:bookmarkEnd w:id="950"/>
      <w:bookmarkEnd w:id="951"/>
      <w:bookmarkEnd w:id="952"/>
    </w:p>
    <w:bookmarkEnd w:id="953"/>
    <w:bookmarkEnd w:id="954"/>
    <w:bookmarkEnd w:id="955"/>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56" w:name="_Toc3171"/>
      <w:bookmarkStart w:id="957" w:name="_Toc296346622"/>
      <w:bookmarkStart w:id="958" w:name="_Toc296503121"/>
      <w:bookmarkStart w:id="959" w:name="_Toc337558829"/>
      <w:r>
        <w:rPr>
          <w:rFonts w:hint="eastAsia" w:ascii="方正仿宋_GB2312" w:hAnsi="方正仿宋_GB2312" w:eastAsia="方正仿宋_GB2312" w:cs="方正仿宋_GB2312"/>
          <w:b w:val="0"/>
          <w:color w:val="000000"/>
          <w:sz w:val="32"/>
          <w:szCs w:val="32"/>
        </w:rPr>
        <w:t>18.1 工程保险</w:t>
      </w:r>
      <w:bookmarkEnd w:id="956"/>
    </w:p>
    <w:bookmarkEnd w:id="957"/>
    <w:bookmarkEnd w:id="958"/>
    <w:bookmarkEnd w:id="959"/>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除专用合同条款另有约定外，发包人应投保建筑工程一切险或安装工程一切险；发包人委托承包人投保的，因投保产生的保险费和其他相关费用由发包人承担。</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60" w:name="_Toc8638"/>
      <w:bookmarkStart w:id="961" w:name="_Toc296346623"/>
      <w:bookmarkStart w:id="962" w:name="_Toc296503122"/>
      <w:bookmarkStart w:id="963" w:name="_Toc337558830"/>
      <w:r>
        <w:rPr>
          <w:rFonts w:hint="eastAsia" w:ascii="方正仿宋_GB2312" w:hAnsi="方正仿宋_GB2312" w:eastAsia="方正仿宋_GB2312" w:cs="方正仿宋_GB2312"/>
          <w:b w:val="0"/>
          <w:color w:val="000000"/>
          <w:sz w:val="32"/>
          <w:szCs w:val="32"/>
        </w:rPr>
        <w:t>18.2 工伤保险</w:t>
      </w:r>
      <w:bookmarkEnd w:id="960"/>
    </w:p>
    <w:bookmarkEnd w:id="961"/>
    <w:bookmarkEnd w:id="962"/>
    <w:bookmarkEnd w:id="963"/>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18.2.1 发包人应依照法律规定参加工伤保险，并为在施工现场的全部员工办理工伤保险，缴纳工伤保险费，并要求监理人及由发包人为履行合同聘请的第三方依法参加工伤保险。</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18.2.2 承包人应依照法律规定参加工伤保险，并为其履行合同的全部员工办理工伤保险，缴纳工伤保险费，并要求分包人及由承包人为履行合同聘请的第三方依法参加工伤保险。</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64" w:name="_Toc7234"/>
      <w:bookmarkStart w:id="965" w:name="_Toc337558831"/>
      <w:bookmarkStart w:id="966" w:name="_Toc296503125"/>
      <w:bookmarkStart w:id="967" w:name="_Toc296346626"/>
      <w:r>
        <w:rPr>
          <w:rFonts w:hint="eastAsia" w:ascii="方正仿宋_GB2312" w:hAnsi="方正仿宋_GB2312" w:eastAsia="方正仿宋_GB2312" w:cs="方正仿宋_GB2312"/>
          <w:b w:val="0"/>
          <w:color w:val="000000"/>
          <w:sz w:val="32"/>
          <w:szCs w:val="32"/>
        </w:rPr>
        <w:t>18.3其他保险</w:t>
      </w:r>
      <w:bookmarkEnd w:id="964"/>
    </w:p>
    <w:bookmarkEnd w:id="965"/>
    <w:bookmarkEnd w:id="966"/>
    <w:bookmarkEnd w:id="967"/>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发包人和承包人可以为其施工现场的全部人员办理意外伤害保险并支付保险费，包括其员工及为履行合同聘请的第三方的人员，具体事项由合同当事人在专用合同条款约定。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除专用合同条款另有约定外，承包人应为其施工设备等办理财产保险。</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68" w:name="_Toc19049"/>
      <w:r>
        <w:rPr>
          <w:rFonts w:hint="eastAsia" w:ascii="方正仿宋_GB2312" w:hAnsi="方正仿宋_GB2312" w:eastAsia="方正仿宋_GB2312" w:cs="方正仿宋_GB2312"/>
          <w:b w:val="0"/>
          <w:color w:val="000000"/>
          <w:sz w:val="32"/>
          <w:szCs w:val="32"/>
        </w:rPr>
        <w:t>18.4持续保险</w:t>
      </w:r>
      <w:bookmarkEnd w:id="968"/>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合同当事人应与保险人保持联系，使保险人能够随时了解工程实施中的变动，并确保按保险合同条款要求持续保险。</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69" w:name="_Toc16012"/>
      <w:bookmarkStart w:id="970" w:name="_Toc296346627"/>
      <w:bookmarkStart w:id="971" w:name="_Toc337558832"/>
      <w:bookmarkStart w:id="972" w:name="_Toc296503126"/>
      <w:r>
        <w:rPr>
          <w:rFonts w:hint="eastAsia" w:ascii="方正仿宋_GB2312" w:hAnsi="方正仿宋_GB2312" w:eastAsia="方正仿宋_GB2312" w:cs="方正仿宋_GB2312"/>
          <w:b w:val="0"/>
          <w:color w:val="000000"/>
          <w:sz w:val="32"/>
          <w:szCs w:val="32"/>
        </w:rPr>
        <w:t>18.5 保险凭证</w:t>
      </w:r>
      <w:bookmarkEnd w:id="969"/>
    </w:p>
    <w:bookmarkEnd w:id="970"/>
    <w:bookmarkEnd w:id="971"/>
    <w:bookmarkEnd w:id="972"/>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合同当事人应及时向另一方当事人提交其已投保的各项保险的凭证和保险单复印件。</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73" w:name="_Toc8007"/>
      <w:bookmarkStart w:id="974" w:name="_Toc296503127"/>
      <w:bookmarkStart w:id="975" w:name="_Toc296346628"/>
      <w:bookmarkStart w:id="976" w:name="_Toc337558833"/>
      <w:r>
        <w:rPr>
          <w:rFonts w:hint="eastAsia" w:ascii="方正仿宋_GB2312" w:hAnsi="方正仿宋_GB2312" w:eastAsia="方正仿宋_GB2312" w:cs="方正仿宋_GB2312"/>
          <w:b w:val="0"/>
          <w:color w:val="000000"/>
          <w:sz w:val="32"/>
          <w:szCs w:val="32"/>
        </w:rPr>
        <w:t>18.6 未按约定投保的补救</w:t>
      </w:r>
      <w:bookmarkEnd w:id="973"/>
    </w:p>
    <w:bookmarkEnd w:id="974"/>
    <w:bookmarkEnd w:id="975"/>
    <w:bookmarkEnd w:id="976"/>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18.6.1发包人未按合同约定办理保险，或未能使保险持续有效的，则承包人可代为办理，所需费用由发包人承担。发包人未按合同约定办理保险，导致未能得到足额赔偿的，由发包人负责补足。</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18.6.2承包人未按合同约定办理保险，或未能使保险持续有效的，则发包人可代为办理，所需费用由承包人承担。承包人未按合同约定办理保险，导致未能得到足额赔偿的，由承包人负责补足。</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77" w:name="_Toc23261"/>
      <w:bookmarkStart w:id="978" w:name="_Toc337558834"/>
      <w:r>
        <w:rPr>
          <w:rFonts w:hint="eastAsia" w:ascii="方正仿宋_GB2312" w:hAnsi="方正仿宋_GB2312" w:eastAsia="方正仿宋_GB2312" w:cs="方正仿宋_GB2312"/>
          <w:b w:val="0"/>
          <w:color w:val="000000"/>
          <w:sz w:val="32"/>
          <w:szCs w:val="32"/>
        </w:rPr>
        <w:t>18.7 通知义务</w:t>
      </w:r>
      <w:bookmarkEnd w:id="977"/>
    </w:p>
    <w:bookmarkEnd w:id="978"/>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除专用合同条款另有约定外，发包人变更除工伤保险之外的保险合同时，应事先征得承包人同意，并通知监理人；承包人变更除工伤保险之外的保险合同时，应事先征得发包人同意，并通知监理人。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保险事故发生时，投保人应按照保险合同规定的条件和期限及时向保险人报告。发包人和承包人应当在知道保险事故发生后及时通知对方。</w:t>
      </w:r>
      <w:bookmarkStart w:id="979" w:name="_Toc3900"/>
      <w:bookmarkStart w:id="980" w:name="_Toc296346641"/>
      <w:bookmarkStart w:id="981" w:name="_Toc337558835"/>
      <w:bookmarkStart w:id="982" w:name="_Toc296503140"/>
    </w:p>
    <w:p>
      <w:pPr>
        <w:pageBreakBefore w:val="0"/>
        <w:widowControl w:val="0"/>
        <w:kinsoku/>
        <w:wordWrap/>
        <w:overflowPunct/>
        <w:topLinePunct w:val="0"/>
        <w:bidi w:val="0"/>
        <w:snapToGrid/>
        <w:spacing w:line="440" w:lineRule="exact"/>
        <w:ind w:firstLine="640" w:firstLineChars="200"/>
        <w:jc w:val="left"/>
        <w:textAlignment w:val="auto"/>
        <w:outlineLvl w:val="2"/>
        <w:rPr>
          <w:rFonts w:hint="eastAsia" w:ascii="方正仿宋_GB2312" w:hAnsi="方正仿宋_GB2312" w:eastAsia="方正仿宋_GB2312" w:cs="方正仿宋_GB2312"/>
          <w:b w:val="0"/>
          <w:color w:val="000000"/>
          <w:sz w:val="32"/>
          <w:szCs w:val="32"/>
        </w:rPr>
      </w:pPr>
      <w:bookmarkStart w:id="983" w:name="_Toc29569"/>
      <w:r>
        <w:rPr>
          <w:rFonts w:hint="eastAsia" w:ascii="方正仿宋_GB2312" w:hAnsi="方正仿宋_GB2312" w:eastAsia="方正仿宋_GB2312" w:cs="方正仿宋_GB2312"/>
          <w:b w:val="0"/>
          <w:color w:val="000000"/>
          <w:sz w:val="32"/>
          <w:szCs w:val="32"/>
        </w:rPr>
        <w:t>19. 索赔</w:t>
      </w:r>
      <w:bookmarkEnd w:id="979"/>
      <w:bookmarkEnd w:id="983"/>
    </w:p>
    <w:bookmarkEnd w:id="980"/>
    <w:bookmarkEnd w:id="981"/>
    <w:bookmarkEnd w:id="982"/>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84" w:name="_Toc31598"/>
      <w:bookmarkStart w:id="985" w:name="_Toc337558836"/>
      <w:bookmarkStart w:id="986" w:name="_Toc296346642"/>
      <w:bookmarkStart w:id="987" w:name="_Toc296503141"/>
      <w:r>
        <w:rPr>
          <w:rFonts w:hint="eastAsia" w:ascii="方正仿宋_GB2312" w:hAnsi="方正仿宋_GB2312" w:eastAsia="方正仿宋_GB2312" w:cs="方正仿宋_GB2312"/>
          <w:b w:val="0"/>
          <w:color w:val="000000"/>
          <w:sz w:val="32"/>
          <w:szCs w:val="32"/>
        </w:rPr>
        <w:t>19.1承包人的索赔</w:t>
      </w:r>
      <w:bookmarkEnd w:id="984"/>
    </w:p>
    <w:bookmarkEnd w:id="985"/>
    <w:bookmarkEnd w:id="986"/>
    <w:bookmarkEnd w:id="987"/>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根据合同约定，承包人认为有权得到追加付款和（或）延长工期的，应按以下程序向发包人提出索赔：</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（1）承包人应在知道或应当知道索赔事件发生后28天内，向监理人递交索赔意向通知书，并说明发生索赔事件的事由；承包人未在前述28天内发出索赔意向通知书的，丧失要求追加付款和（或）延长工期的权利；</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（2）承包人应在发出索赔意向通知书后28天内，向监理人正式递交索赔报告；索赔报告应详细说明索赔理由以及要求追加的付款金额和（或）延长的工期，并附必要的记录和证明材料；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（3）索赔事件具有持续影响的，承包人应按合理时间间隔继续递交延续索赔通知，说明持续影响的实际情况和记录，列出累计的追加付款金额和（或）工期延长天数；</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（4）在索赔事件影响结束后28天内，承包人应向监理人递交最终索赔报告，说明最终要求索赔的追加付款金额和（或）延长的工期，并附必要的记录和证明材料。</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88" w:name="_Toc7894"/>
      <w:bookmarkStart w:id="989" w:name="_Toc296346643"/>
      <w:bookmarkStart w:id="990" w:name="_Toc337558837"/>
      <w:bookmarkStart w:id="991" w:name="_Toc296503142"/>
      <w:r>
        <w:rPr>
          <w:rFonts w:hint="eastAsia" w:ascii="方正仿宋_GB2312" w:hAnsi="方正仿宋_GB2312" w:eastAsia="方正仿宋_GB2312" w:cs="方正仿宋_GB2312"/>
          <w:b w:val="0"/>
          <w:color w:val="000000"/>
          <w:sz w:val="32"/>
          <w:szCs w:val="32"/>
        </w:rPr>
        <w:t>19.2 对承包人索赔的处理</w:t>
      </w:r>
      <w:bookmarkEnd w:id="988"/>
    </w:p>
    <w:bookmarkEnd w:id="989"/>
    <w:bookmarkEnd w:id="990"/>
    <w:bookmarkEnd w:id="991"/>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对承包人索赔的处理如下：</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（1）监理人应在收到索赔报告后14天内完成审查并报送发包人。监理人对索赔报告存在异议的，有权要求承包人提交全部原始记录副本；</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（2）发包人应在监理人收到索赔报告或有关索赔的进一步证明材料后的28天内，由监理人向承包人出具经发包人签认的索赔处理结果。发包人逾期答复的，则视为认可承包人的索赔要求；</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（3）承包人接受索赔处理结果的，索赔款项在当期进度款中进行支付；承包人不接受索赔处理结果的，按照第20条〔争议解决〕约定处理。</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92" w:name="_Toc12497"/>
      <w:bookmarkStart w:id="993" w:name="_Toc337558838"/>
      <w:bookmarkStart w:id="994" w:name="_Toc296346644"/>
      <w:bookmarkStart w:id="995" w:name="_Toc296503143"/>
      <w:r>
        <w:rPr>
          <w:rFonts w:hint="eastAsia" w:ascii="方正仿宋_GB2312" w:hAnsi="方正仿宋_GB2312" w:eastAsia="方正仿宋_GB2312" w:cs="方正仿宋_GB2312"/>
          <w:b w:val="0"/>
          <w:color w:val="000000"/>
          <w:sz w:val="32"/>
          <w:szCs w:val="32"/>
        </w:rPr>
        <w:t>19.3发包人的索赔</w:t>
      </w:r>
      <w:bookmarkEnd w:id="992"/>
    </w:p>
    <w:bookmarkEnd w:id="993"/>
    <w:bookmarkEnd w:id="994"/>
    <w:bookmarkEnd w:id="995"/>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根据合同约定，发包人认为有权得到赔付金额和（或）延长缺陷责任期的，监理人应向承包人发出通知并附有详细的证明。</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996" w:name="_Toc10682"/>
      <w:bookmarkStart w:id="997" w:name="_Toc337558839"/>
      <w:bookmarkStart w:id="998" w:name="_Toc296346645"/>
      <w:bookmarkStart w:id="999" w:name="_Toc296503144"/>
      <w:r>
        <w:rPr>
          <w:rFonts w:hint="eastAsia" w:ascii="方正仿宋_GB2312" w:hAnsi="方正仿宋_GB2312" w:eastAsia="方正仿宋_GB2312" w:cs="方正仿宋_GB2312"/>
          <w:b w:val="0"/>
          <w:color w:val="000000"/>
          <w:sz w:val="32"/>
          <w:szCs w:val="32"/>
        </w:rPr>
        <w:t>19.4 对发包人索赔的处理</w:t>
      </w:r>
      <w:bookmarkEnd w:id="996"/>
    </w:p>
    <w:bookmarkEnd w:id="997"/>
    <w:bookmarkEnd w:id="998"/>
    <w:bookmarkEnd w:id="999"/>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对发包人索赔的处理如下：</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（1）承包人收到发包人提交的索赔报告后，应及时审查索赔报告的内容、查验发包人证明材料；</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（2）承包人应在收到索赔报告或有关索赔的进一步证明材料后28天内，将索赔处理结果答复发包人。如果承包人未在上述期限内作出答复的，则视为对发包人索赔要求的认可；</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（3）承包人接受索赔处理结果的，发包人可从应支付给承包人的合同价款中扣除赔付的金额或延长缺陷责任期；发包人不接受索赔处理结果的，按第20条〔争议解决〕约定处理。</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1000" w:name="_Toc2081"/>
      <w:r>
        <w:rPr>
          <w:rFonts w:hint="eastAsia" w:ascii="方正仿宋_GB2312" w:hAnsi="方正仿宋_GB2312" w:eastAsia="方正仿宋_GB2312" w:cs="方正仿宋_GB2312"/>
          <w:b w:val="0"/>
          <w:color w:val="000000"/>
          <w:sz w:val="32"/>
          <w:szCs w:val="32"/>
        </w:rPr>
        <w:t>19.5 提出索赔的期限</w:t>
      </w:r>
      <w:bookmarkEnd w:id="1000"/>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（1）承包人按第14.2款〔竣工结算审核〕约定接收竣工付款证书后，应被视为已无权再提出在工程接收证书颁发前所发生的任何索赔。</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（2）承包人按第14.4款〔最终结清〕提交的最终结清申请单中，只限于提出工程接收证书颁发后发生的索赔。提出索赔的期限自接受最终结清证书时终止。</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001" w:name="_Toc20597"/>
      <w:bookmarkStart w:id="1002" w:name="_Toc22362"/>
      <w:bookmarkStart w:id="1003" w:name="_Toc7471"/>
      <w:r>
        <w:rPr>
          <w:rFonts w:hint="eastAsia" w:ascii="方正仿宋_GB2312" w:hAnsi="方正仿宋_GB2312" w:eastAsia="方正仿宋_GB2312" w:cs="方正仿宋_GB2312"/>
          <w:b w:val="0"/>
          <w:color w:val="000000"/>
          <w:sz w:val="32"/>
          <w:szCs w:val="32"/>
        </w:rPr>
        <w:t>20</w:t>
      </w:r>
      <w:bookmarkStart w:id="1004" w:name="_Toc337558840"/>
      <w:bookmarkStart w:id="1005" w:name="_Toc296503146"/>
      <w:bookmarkStart w:id="1006" w:name="_Toc296346647"/>
      <w:r>
        <w:rPr>
          <w:rFonts w:hint="eastAsia" w:ascii="方正仿宋_GB2312" w:hAnsi="方正仿宋_GB2312" w:eastAsia="方正仿宋_GB2312" w:cs="方正仿宋_GB2312"/>
          <w:b w:val="0"/>
          <w:color w:val="000000"/>
          <w:sz w:val="32"/>
          <w:szCs w:val="32"/>
        </w:rPr>
        <w:t>. 争议解决</w:t>
      </w:r>
      <w:bookmarkEnd w:id="1001"/>
      <w:bookmarkEnd w:id="1002"/>
      <w:bookmarkEnd w:id="1003"/>
    </w:p>
    <w:bookmarkEnd w:id="1004"/>
    <w:bookmarkEnd w:id="1005"/>
    <w:bookmarkEnd w:id="1006"/>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1007" w:name="_Toc20499"/>
      <w:bookmarkStart w:id="1008" w:name="_Toc296503147"/>
      <w:bookmarkStart w:id="1009" w:name="_Toc337558841"/>
      <w:bookmarkStart w:id="1010" w:name="_Toc296346648"/>
      <w:r>
        <w:rPr>
          <w:rFonts w:hint="eastAsia" w:ascii="方正仿宋_GB2312" w:hAnsi="方正仿宋_GB2312" w:eastAsia="方正仿宋_GB2312" w:cs="方正仿宋_GB2312"/>
          <w:b w:val="0"/>
          <w:color w:val="000000"/>
          <w:sz w:val="32"/>
          <w:szCs w:val="32"/>
        </w:rPr>
        <w:t>20.1和解</w:t>
      </w:r>
      <w:bookmarkEnd w:id="1007"/>
    </w:p>
    <w:bookmarkEnd w:id="1008"/>
    <w:bookmarkEnd w:id="1009"/>
    <w:bookmarkEnd w:id="1010"/>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合同当事人可以就争议自行和解，自行和解达成协议的经双方签字并盖章后作为合同补充文件，双方均应遵照执行。</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1011" w:name="_Toc32217"/>
      <w:r>
        <w:rPr>
          <w:rFonts w:hint="eastAsia" w:ascii="方正仿宋_GB2312" w:hAnsi="方正仿宋_GB2312" w:eastAsia="方正仿宋_GB2312" w:cs="方正仿宋_GB2312"/>
          <w:b w:val="0"/>
          <w:color w:val="000000"/>
          <w:sz w:val="32"/>
          <w:szCs w:val="32"/>
        </w:rPr>
        <w:t>20</w:t>
      </w:r>
      <w:bookmarkStart w:id="1012" w:name="_Toc296503148"/>
      <w:bookmarkStart w:id="1013" w:name="_Toc337558842"/>
      <w:bookmarkStart w:id="1014" w:name="_Toc296346649"/>
      <w:r>
        <w:rPr>
          <w:rFonts w:hint="eastAsia" w:ascii="方正仿宋_GB2312" w:hAnsi="方正仿宋_GB2312" w:eastAsia="方正仿宋_GB2312" w:cs="方正仿宋_GB2312"/>
          <w:b w:val="0"/>
          <w:color w:val="000000"/>
          <w:sz w:val="32"/>
          <w:szCs w:val="32"/>
        </w:rPr>
        <w:t>.2调解</w:t>
      </w:r>
      <w:bookmarkEnd w:id="1011"/>
    </w:p>
    <w:bookmarkEnd w:id="1012"/>
    <w:bookmarkEnd w:id="1013"/>
    <w:bookmarkEnd w:id="1014"/>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合同当事人可以就争议请求建设行政主管部门、行业协会或其他第三方进行调解，调解达成协议的，经双方签字并盖章后作为合同补充文件，双方均应遵照执行。</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1015" w:name="_Toc2905"/>
      <w:bookmarkStart w:id="1016" w:name="_Toc296346650"/>
      <w:bookmarkStart w:id="1017" w:name="_Toc337558843"/>
      <w:bookmarkStart w:id="1018" w:name="_Toc296503149"/>
      <w:r>
        <w:rPr>
          <w:rFonts w:hint="eastAsia" w:ascii="方正仿宋_GB2312" w:hAnsi="方正仿宋_GB2312" w:eastAsia="方正仿宋_GB2312" w:cs="方正仿宋_GB2312"/>
          <w:b w:val="0"/>
          <w:color w:val="000000"/>
          <w:sz w:val="32"/>
          <w:szCs w:val="32"/>
        </w:rPr>
        <w:t>20.3争议评审</w:t>
      </w:r>
      <w:bookmarkEnd w:id="1015"/>
    </w:p>
    <w:bookmarkEnd w:id="1016"/>
    <w:bookmarkEnd w:id="1017"/>
    <w:bookmarkEnd w:id="1018"/>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合同当事人在专用合同条款中约定采取争议评审方式解决争议以及评审规则，并按下列约定执行：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20.3.1 争议评审小组的确定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合同当事人可以共同选择一名或三名争议评审员，组成争议评审小组。除专用合同条款另有约定外，合同当事人应当自合同签订后28天内，或者争议发生后14天内，选定争议评审员。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除专用合同条款另有约定外，评审员报酬由发包人和承包人各承担一半。</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20.3.2 争议评审小组的决定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20.3.3 争议评审小组决定的效力</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争议评审小组作出的书面决定经合同当事人签字确认后，对双方具有约束力，双方应遵照执行。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任何一方当事人不接受争议评审小组决定或不履行争议评审小组决定的，双方可选择采用其他争议解决方式。</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1019" w:name="_Toc2130"/>
      <w:bookmarkStart w:id="1020" w:name="_Toc337558844"/>
      <w:bookmarkStart w:id="1021" w:name="_Toc296346651"/>
      <w:bookmarkStart w:id="1022" w:name="_Toc296503150"/>
      <w:r>
        <w:rPr>
          <w:rFonts w:hint="eastAsia" w:ascii="方正仿宋_GB2312" w:hAnsi="方正仿宋_GB2312" w:eastAsia="方正仿宋_GB2312" w:cs="方正仿宋_GB2312"/>
          <w:b w:val="0"/>
          <w:color w:val="000000"/>
          <w:sz w:val="32"/>
          <w:szCs w:val="32"/>
        </w:rPr>
        <w:t>20.4仲裁或诉讼</w:t>
      </w:r>
      <w:bookmarkEnd w:id="1019"/>
    </w:p>
    <w:bookmarkEnd w:id="1020"/>
    <w:bookmarkEnd w:id="1021"/>
    <w:bookmarkEnd w:id="1022"/>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因合同及合同有关事项产生的争议，合同当事人可以在专用合同条款中约定以下一种方式解决争议：</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（1）向约定的仲裁委员会申请仲裁；</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（2）向有管辖权的人民法院起诉。</w:t>
      </w:r>
    </w:p>
    <w:p>
      <w:pPr>
        <w:pageBreakBefore w:val="0"/>
        <w:widowControl w:val="0"/>
        <w:kinsoku/>
        <w:wordWrap/>
        <w:overflowPunct/>
        <w:topLinePunct w:val="0"/>
        <w:bidi w:val="0"/>
        <w:snapToGrid/>
        <w:spacing w:before="120" w:after="120" w:line="440" w:lineRule="exact"/>
        <w:ind w:firstLine="640" w:firstLineChars="200"/>
        <w:textAlignment w:val="auto"/>
        <w:outlineLvl w:val="9"/>
        <w:rPr>
          <w:rFonts w:hint="eastAsia" w:ascii="方正仿宋_GB2312" w:hAnsi="方正仿宋_GB2312" w:eastAsia="方正仿宋_GB2312" w:cs="方正仿宋_GB2312"/>
          <w:b w:val="0"/>
          <w:color w:val="000000"/>
          <w:sz w:val="32"/>
          <w:szCs w:val="32"/>
        </w:rPr>
      </w:pPr>
      <w:bookmarkStart w:id="1023" w:name="_Toc8999"/>
      <w:bookmarkStart w:id="1024" w:name="_Toc296346653"/>
      <w:bookmarkStart w:id="1025" w:name="_Toc296503152"/>
      <w:bookmarkStart w:id="1026" w:name="_Toc337558845"/>
      <w:r>
        <w:rPr>
          <w:rFonts w:hint="eastAsia" w:ascii="方正仿宋_GB2312" w:hAnsi="方正仿宋_GB2312" w:eastAsia="方正仿宋_GB2312" w:cs="方正仿宋_GB2312"/>
          <w:b w:val="0"/>
          <w:color w:val="000000"/>
          <w:sz w:val="32"/>
          <w:szCs w:val="32"/>
        </w:rPr>
        <w:t>20.5争议解决条款效力</w:t>
      </w:r>
      <w:bookmarkEnd w:id="1023"/>
    </w:p>
    <w:bookmarkEnd w:id="1024"/>
    <w:bookmarkEnd w:id="1025"/>
    <w:bookmarkEnd w:id="1026"/>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 xml:space="preserve">合同有关争议解决的条款独立存在，合同的变更、解除、终止、无效或者被撤销均不影响其效力。 </w:t>
      </w:r>
    </w:p>
    <w:p>
      <w:pPr>
        <w:pStyle w:val="3"/>
        <w:pageBreakBefore w:val="0"/>
        <w:widowControl w:val="0"/>
        <w:kinsoku/>
        <w:wordWrap/>
        <w:overflowPunct/>
        <w:topLinePunct w:val="0"/>
        <w:bidi w:val="0"/>
        <w:snapToGrid/>
        <w:spacing w:line="440" w:lineRule="exact"/>
        <w:jc w:val="center"/>
        <w:textAlignment w:val="auto"/>
        <w:outlineLvl w:val="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br w:type="page"/>
      </w:r>
      <w:bookmarkStart w:id="1027" w:name="_Toc22113"/>
      <w:bookmarkStart w:id="1028" w:name="_Toc27609"/>
      <w:bookmarkStart w:id="1029" w:name="_Toc22233"/>
      <w:r>
        <w:rPr>
          <w:rFonts w:hint="eastAsia" w:ascii="方正仿宋_GB2312" w:hAnsi="方正仿宋_GB2312" w:eastAsia="方正仿宋_GB2312" w:cs="方正仿宋_GB2312"/>
          <w:sz w:val="32"/>
          <w:szCs w:val="32"/>
        </w:rPr>
        <w:t>第三部分 专用合同条款</w:t>
      </w:r>
      <w:bookmarkEnd w:id="1027"/>
      <w:bookmarkEnd w:id="1028"/>
      <w:bookmarkEnd w:id="1029"/>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030" w:name="_Toc10487"/>
      <w:bookmarkStart w:id="1031" w:name="_Toc30663"/>
      <w:bookmarkStart w:id="1032" w:name="_Toc17120"/>
      <w:r>
        <w:rPr>
          <w:rFonts w:hint="eastAsia" w:ascii="方正仿宋_GB2312" w:hAnsi="方正仿宋_GB2312" w:eastAsia="方正仿宋_GB2312" w:cs="方正仿宋_GB2312"/>
          <w:b w:val="0"/>
          <w:color w:val="000000"/>
          <w:sz w:val="32"/>
          <w:szCs w:val="32"/>
        </w:rPr>
        <w:t>1</w:t>
      </w:r>
      <w:bookmarkStart w:id="1033" w:name="_Toc296503156"/>
      <w:bookmarkStart w:id="1034" w:name="_Toc297120456"/>
      <w:bookmarkStart w:id="1035" w:name="_Toc296890984"/>
      <w:bookmarkStart w:id="1036" w:name="_Toc296944495"/>
      <w:bookmarkStart w:id="1037" w:name="_Toc296347155"/>
      <w:bookmarkStart w:id="1038" w:name="_Toc292559361"/>
      <w:bookmarkStart w:id="1039" w:name="_Toc297048342"/>
      <w:bookmarkStart w:id="1040" w:name="_Toc296891196"/>
      <w:bookmarkStart w:id="1041" w:name="_Toc296346657"/>
      <w:bookmarkStart w:id="1042" w:name="_Toc292559866"/>
      <w:r>
        <w:rPr>
          <w:rFonts w:hint="eastAsia" w:ascii="方正仿宋_GB2312" w:hAnsi="方正仿宋_GB2312" w:eastAsia="方正仿宋_GB2312" w:cs="方正仿宋_GB2312"/>
          <w:b w:val="0"/>
          <w:color w:val="000000"/>
          <w:sz w:val="32"/>
          <w:szCs w:val="32"/>
        </w:rPr>
        <w:t>. 一般约定</w:t>
      </w:r>
      <w:bookmarkEnd w:id="1030"/>
      <w:bookmarkEnd w:id="1031"/>
      <w:bookmarkEnd w:id="1032"/>
    </w:p>
    <w:bookmarkEnd w:id="1033"/>
    <w:bookmarkEnd w:id="1034"/>
    <w:bookmarkEnd w:id="1035"/>
    <w:bookmarkEnd w:id="1036"/>
    <w:bookmarkEnd w:id="1037"/>
    <w:bookmarkEnd w:id="1038"/>
    <w:bookmarkEnd w:id="1039"/>
    <w:bookmarkEnd w:id="1040"/>
    <w:bookmarkEnd w:id="1041"/>
    <w:bookmarkEnd w:id="1042"/>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43" w:name="_Toc7572"/>
      <w:bookmarkStart w:id="1044" w:name="_Toc28261"/>
      <w:r>
        <w:rPr>
          <w:rFonts w:hint="eastAsia" w:ascii="方正仿宋_GB2312" w:hAnsi="方正仿宋_GB2312" w:eastAsia="方正仿宋_GB2312" w:cs="方正仿宋_GB2312"/>
          <w:color w:val="000000"/>
          <w:sz w:val="32"/>
          <w:szCs w:val="32"/>
        </w:rPr>
        <w:t>1.1 词语定义</w:t>
      </w:r>
      <w:bookmarkEnd w:id="1043"/>
      <w:bookmarkEnd w:id="1044"/>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1.1.1合同</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1.1.1.10其他合同文件包括：</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u w:val="single"/>
          <w:lang w:eastAsia="zh-CN"/>
        </w:rPr>
        <w:t>。</w:t>
      </w:r>
      <w:r>
        <w:rPr>
          <w:rFonts w:hint="eastAsia" w:ascii="方正仿宋_GB2312" w:hAnsi="方正仿宋_GB2312" w:eastAsia="方正仿宋_GB2312" w:cs="方正仿宋_GB2312"/>
          <w:color w:val="000000"/>
          <w:sz w:val="32"/>
          <w:szCs w:val="32"/>
          <w:u w:val="single"/>
        </w:rPr>
        <w:t xml:space="preserve">    </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1.1.2 合同当事人及其他相关方</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1.1.2.4监理人：</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名    称：</w:t>
      </w:r>
      <w:r>
        <w:rPr>
          <w:rFonts w:hint="eastAsia" w:ascii="方正仿宋_GB2312" w:hAnsi="方正仿宋_GB2312" w:eastAsia="方正仿宋_GB2312" w:cs="方正仿宋_GB2312"/>
          <w:color w:val="000000"/>
          <w:sz w:val="32"/>
          <w:szCs w:val="32"/>
          <w:u w:val="single"/>
        </w:rPr>
        <w:t>           </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资质类别和等级：</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联系电话：</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电子信箱：</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通信地址：</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1.1.2.5 设计人：</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名    称：</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资质类别和等级：</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联系电话：</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电子信箱：</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通信地址：</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1.1.3 工程和设备</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1.1.3.7 作为施工现场组成部分的其他场所包括：</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lang w:eastAsia="zh-CN"/>
        </w:rPr>
        <w:t>。</w:t>
      </w:r>
      <w:r>
        <w:rPr>
          <w:rFonts w:hint="eastAsia" w:ascii="方正仿宋_GB2312" w:hAnsi="方正仿宋_GB2312" w:eastAsia="方正仿宋_GB2312" w:cs="方正仿宋_GB2312"/>
          <w:color w:val="000000"/>
          <w:sz w:val="32"/>
          <w:szCs w:val="32"/>
          <w:u w:val="single"/>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1.1.3.9 永久占地包括：</w:t>
      </w:r>
      <w:r>
        <w:rPr>
          <w:rFonts w:hint="eastAsia" w:ascii="方正仿宋_GB2312" w:hAnsi="方正仿宋_GB2312" w:eastAsia="方正仿宋_GB2312" w:cs="方正仿宋_GB2312"/>
          <w:color w:val="000000"/>
          <w:sz w:val="32"/>
          <w:szCs w:val="32"/>
          <w:u w:val="single"/>
        </w:rPr>
        <w:t xml:space="preserve">                      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1.1.3.10 临时占地包括：</w:t>
      </w:r>
      <w:r>
        <w:rPr>
          <w:rFonts w:hint="eastAsia" w:ascii="方正仿宋_GB2312" w:hAnsi="方正仿宋_GB2312" w:eastAsia="方正仿宋_GB2312" w:cs="方正仿宋_GB2312"/>
          <w:color w:val="000000"/>
          <w:sz w:val="32"/>
          <w:szCs w:val="32"/>
          <w:u w:val="single"/>
        </w:rPr>
        <w:t xml:space="preserve">                  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45" w:name="_Toc7644"/>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color w:val="000000"/>
          <w:sz w:val="32"/>
          <w:szCs w:val="32"/>
          <w:lang w:val="en-US" w:eastAsia="zh-CN"/>
        </w:rPr>
        <w:t>2</w:t>
      </w:r>
      <w:r>
        <w:rPr>
          <w:rFonts w:hint="eastAsia" w:ascii="方正仿宋_GB2312" w:hAnsi="方正仿宋_GB2312" w:eastAsia="方正仿宋_GB2312" w:cs="方正仿宋_GB2312"/>
          <w:color w:val="000000"/>
          <w:sz w:val="32"/>
          <w:szCs w:val="32"/>
        </w:rPr>
        <w:t>法律</w:t>
      </w:r>
      <w:bookmarkEnd w:id="1045"/>
      <w:r>
        <w:rPr>
          <w:rFonts w:hint="eastAsia" w:ascii="方正仿宋_GB2312" w:hAnsi="方正仿宋_GB2312" w:eastAsia="方正仿宋_GB2312" w:cs="方正仿宋_GB2312"/>
          <w:color w:val="000000"/>
          <w:sz w:val="32"/>
          <w:szCs w:val="32"/>
        </w:rPr>
        <w:t xml:space="preserve">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适用于合同的其他规范性文件：</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46" w:name="_Toc22759"/>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color w:val="000000"/>
          <w:sz w:val="32"/>
          <w:szCs w:val="32"/>
          <w:lang w:val="en-US" w:eastAsia="zh-CN"/>
        </w:rPr>
        <w:t>3</w:t>
      </w:r>
      <w:r>
        <w:rPr>
          <w:rFonts w:hint="eastAsia" w:ascii="方正仿宋_GB2312" w:hAnsi="方正仿宋_GB2312" w:eastAsia="方正仿宋_GB2312" w:cs="方正仿宋_GB2312"/>
          <w:color w:val="000000"/>
          <w:sz w:val="32"/>
          <w:szCs w:val="32"/>
        </w:rPr>
        <w:t xml:space="preserve"> 标准和规范</w:t>
      </w:r>
      <w:bookmarkEnd w:id="1046"/>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color w:val="000000"/>
          <w:sz w:val="32"/>
          <w:szCs w:val="32"/>
          <w:lang w:val="en-US" w:eastAsia="zh-CN"/>
        </w:rPr>
        <w:t>3</w:t>
      </w:r>
      <w:r>
        <w:rPr>
          <w:rFonts w:hint="eastAsia" w:ascii="方正仿宋_GB2312" w:hAnsi="方正仿宋_GB2312" w:eastAsia="方正仿宋_GB2312" w:cs="方正仿宋_GB2312"/>
          <w:color w:val="000000"/>
          <w:sz w:val="32"/>
          <w:szCs w:val="32"/>
        </w:rPr>
        <w:t>.1适用于工程的标准规范包括：</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kern w:val="0"/>
          <w:sz w:val="32"/>
          <w:szCs w:val="32"/>
          <w:u w:val="single"/>
        </w:rPr>
      </w:pPr>
      <w:bookmarkStart w:id="1047" w:name="_Toc20023"/>
      <w:r>
        <w:rPr>
          <w:rFonts w:hint="eastAsia" w:ascii="方正仿宋_GB2312" w:hAnsi="方正仿宋_GB2312" w:eastAsia="方正仿宋_GB2312" w:cs="方正仿宋_GB2312"/>
          <w:color w:val="000000"/>
          <w:kern w:val="0"/>
          <w:sz w:val="32"/>
          <w:szCs w:val="32"/>
        </w:rPr>
        <w:t>1.</w:t>
      </w:r>
      <w:r>
        <w:rPr>
          <w:rFonts w:hint="eastAsia" w:ascii="方正仿宋_GB2312" w:hAnsi="方正仿宋_GB2312" w:eastAsia="方正仿宋_GB2312" w:cs="方正仿宋_GB2312"/>
          <w:color w:val="000000"/>
          <w:kern w:val="0"/>
          <w:sz w:val="32"/>
          <w:szCs w:val="32"/>
          <w:lang w:val="en-US" w:eastAsia="zh-CN"/>
        </w:rPr>
        <w:t>3</w:t>
      </w:r>
      <w:r>
        <w:rPr>
          <w:rFonts w:hint="eastAsia" w:ascii="方正仿宋_GB2312" w:hAnsi="方正仿宋_GB2312" w:eastAsia="方正仿宋_GB2312" w:cs="方正仿宋_GB2312"/>
          <w:color w:val="000000"/>
          <w:kern w:val="0"/>
          <w:sz w:val="32"/>
          <w:szCs w:val="32"/>
        </w:rPr>
        <w:t>.2 发包人提供国外标准、规范的名称：</w:t>
      </w:r>
      <w:bookmarkEnd w:id="1047"/>
      <w:r>
        <w:rPr>
          <w:rFonts w:hint="eastAsia" w:ascii="方正仿宋_GB2312" w:hAnsi="方正仿宋_GB2312" w:eastAsia="方正仿宋_GB2312" w:cs="方正仿宋_GB2312"/>
          <w:color w:val="000000"/>
          <w:kern w:val="0"/>
          <w:sz w:val="32"/>
          <w:szCs w:val="32"/>
          <w:u w:val="single"/>
        </w:rPr>
        <w:t xml:space="preserve">                 </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发包人提供国外标准、规范的份</w:t>
      </w:r>
      <w:r>
        <w:rPr>
          <w:rFonts w:hint="eastAsia" w:ascii="方正仿宋_GB2312" w:hAnsi="方正仿宋_GB2312" w:eastAsia="方正仿宋_GB2312" w:cs="方正仿宋_GB2312"/>
          <w:color w:val="000000"/>
          <w:kern w:val="0"/>
          <w:sz w:val="32"/>
          <w:szCs w:val="32"/>
          <w:lang w:val="en-US" w:eastAsia="zh-CN"/>
        </w:rPr>
        <w:t>数</w:t>
      </w:r>
      <w:r>
        <w:rPr>
          <w:rFonts w:hint="eastAsia" w:ascii="方正仿宋_GB2312" w:hAnsi="方正仿宋_GB2312" w:eastAsia="方正仿宋_GB2312" w:cs="方正仿宋_GB2312"/>
          <w:color w:val="000000"/>
          <w:kern w:val="0"/>
          <w:sz w:val="32"/>
          <w:szCs w:val="32"/>
        </w:rPr>
        <w:t>：</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发包人提供国外标准、规范的名称：</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color w:val="000000"/>
          <w:sz w:val="32"/>
          <w:szCs w:val="32"/>
          <w:lang w:val="en-US" w:eastAsia="zh-CN"/>
        </w:rPr>
        <w:t>3</w:t>
      </w:r>
      <w:r>
        <w:rPr>
          <w:rFonts w:hint="eastAsia" w:ascii="方正仿宋_GB2312" w:hAnsi="方正仿宋_GB2312" w:eastAsia="方正仿宋_GB2312" w:cs="方正仿宋_GB2312"/>
          <w:color w:val="000000"/>
          <w:sz w:val="32"/>
          <w:szCs w:val="32"/>
        </w:rPr>
        <w:t>.3发包人对工程的技术标准和功能要求的特殊要求：</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48" w:name="_Toc13330"/>
      <w:bookmarkStart w:id="1049" w:name="_Toc338"/>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color w:val="000000"/>
          <w:sz w:val="32"/>
          <w:szCs w:val="32"/>
          <w:lang w:val="en-US" w:eastAsia="zh-CN"/>
        </w:rPr>
        <w:t>4</w:t>
      </w:r>
      <w:r>
        <w:rPr>
          <w:rFonts w:hint="eastAsia" w:ascii="方正仿宋_GB2312" w:hAnsi="方正仿宋_GB2312" w:eastAsia="方正仿宋_GB2312" w:cs="方正仿宋_GB2312"/>
          <w:color w:val="000000"/>
          <w:sz w:val="32"/>
          <w:szCs w:val="32"/>
        </w:rPr>
        <w:t xml:space="preserve"> 合同文件的优先顺序</w:t>
      </w:r>
      <w:bookmarkEnd w:id="1048"/>
      <w:bookmarkEnd w:id="1049"/>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合同文件组成及优先顺序为：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50" w:name="_Toc11588"/>
      <w:bookmarkStart w:id="1051" w:name="_Toc5087"/>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color w:val="000000"/>
          <w:sz w:val="32"/>
          <w:szCs w:val="32"/>
          <w:lang w:val="en-US" w:eastAsia="zh-CN"/>
        </w:rPr>
        <w:t>5</w:t>
      </w:r>
      <w:r>
        <w:rPr>
          <w:rFonts w:hint="eastAsia" w:ascii="方正仿宋_GB2312" w:hAnsi="方正仿宋_GB2312" w:eastAsia="方正仿宋_GB2312" w:cs="方正仿宋_GB2312"/>
          <w:color w:val="000000"/>
          <w:sz w:val="32"/>
          <w:szCs w:val="32"/>
        </w:rPr>
        <w:t xml:space="preserve"> 图纸和承包人文件</w:t>
      </w:r>
      <w:bookmarkEnd w:id="1050"/>
      <w:bookmarkEnd w:id="1051"/>
      <w:r>
        <w:rPr>
          <w:rFonts w:hint="eastAsia" w:ascii="方正仿宋_GB2312" w:hAnsi="方正仿宋_GB2312" w:eastAsia="方正仿宋_GB2312" w:cs="方正仿宋_GB2312"/>
          <w:color w:val="000000"/>
          <w:sz w:val="32"/>
          <w:szCs w:val="32"/>
        </w:rPr>
        <w:tab/>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color w:val="000000"/>
          <w:sz w:val="32"/>
          <w:szCs w:val="32"/>
          <w:lang w:val="en-US" w:eastAsia="zh-CN"/>
        </w:rPr>
        <w:t>5</w:t>
      </w:r>
      <w:r>
        <w:rPr>
          <w:rFonts w:hint="eastAsia" w:ascii="方正仿宋_GB2312" w:hAnsi="方正仿宋_GB2312" w:eastAsia="方正仿宋_GB2312" w:cs="方正仿宋_GB2312"/>
          <w:color w:val="000000"/>
          <w:sz w:val="32"/>
          <w:szCs w:val="32"/>
        </w:rPr>
        <w:t>.1 图纸的提供</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发包人向承包人提供图纸的期限：</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发包人向承包人提供图纸的数量：</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u w:val="single"/>
          <w:lang w:val="en-US" w:eastAsia="zh-CN"/>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发包人向承包人提供图纸的内容：</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color w:val="000000"/>
          <w:sz w:val="32"/>
          <w:szCs w:val="32"/>
          <w:lang w:val="en-US" w:eastAsia="zh-CN"/>
        </w:rPr>
        <w:t>5</w:t>
      </w:r>
      <w:r>
        <w:rPr>
          <w:rFonts w:hint="eastAsia" w:ascii="方正仿宋_GB2312" w:hAnsi="方正仿宋_GB2312" w:eastAsia="方正仿宋_GB2312" w:cs="方正仿宋_GB2312"/>
          <w:color w:val="000000"/>
          <w:sz w:val="32"/>
          <w:szCs w:val="32"/>
        </w:rPr>
        <w:t>.</w:t>
      </w:r>
      <w:r>
        <w:rPr>
          <w:rFonts w:hint="eastAsia" w:ascii="方正仿宋_GB2312" w:hAnsi="方正仿宋_GB2312" w:eastAsia="方正仿宋_GB2312" w:cs="方正仿宋_GB2312"/>
          <w:color w:val="000000"/>
          <w:sz w:val="32"/>
          <w:szCs w:val="32"/>
          <w:lang w:val="en-US" w:eastAsia="zh-CN"/>
        </w:rPr>
        <w:t>2</w:t>
      </w:r>
      <w:r>
        <w:rPr>
          <w:rFonts w:hint="eastAsia" w:ascii="方正仿宋_GB2312" w:hAnsi="方正仿宋_GB2312" w:eastAsia="方正仿宋_GB2312" w:cs="方正仿宋_GB2312"/>
          <w:color w:val="000000"/>
          <w:sz w:val="32"/>
          <w:szCs w:val="32"/>
        </w:rPr>
        <w:t xml:space="preserve"> 承包人文件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需要由承包人提供的文件，包括：</w:t>
      </w:r>
      <w:r>
        <w:rPr>
          <w:rFonts w:hint="eastAsia" w:ascii="方正仿宋_GB2312" w:hAnsi="方正仿宋_GB2312" w:eastAsia="方正仿宋_GB2312" w:cs="方正仿宋_GB2312"/>
          <w:color w:val="000000"/>
          <w:sz w:val="32"/>
          <w:szCs w:val="32"/>
          <w:lang w:val="en-US" w:eastAsia="zh-CN"/>
        </w:rPr>
        <w:t xml:space="preserve"> </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承包人提供的文件的期限为：</w:t>
      </w:r>
      <w:r>
        <w:rPr>
          <w:rFonts w:hint="eastAsia" w:ascii="方正仿宋_GB2312" w:hAnsi="方正仿宋_GB2312" w:eastAsia="方正仿宋_GB2312" w:cs="方正仿宋_GB2312"/>
          <w:color w:val="000000"/>
          <w:sz w:val="32"/>
          <w:szCs w:val="32"/>
          <w:u w:val="single"/>
        </w:rPr>
        <w:t> 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承包人提供的文件的数量为：</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承包人提供的文件的形式为：</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发包人审批承包人文件的期限：</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1.6.5 现场图纸准备</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关于现场图纸准备的约定：</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52" w:name="_Toc12157"/>
      <w:bookmarkStart w:id="1053" w:name="_Toc20819"/>
      <w:r>
        <w:rPr>
          <w:rFonts w:hint="eastAsia" w:ascii="方正仿宋_GB2312" w:hAnsi="方正仿宋_GB2312" w:eastAsia="方正仿宋_GB2312" w:cs="方正仿宋_GB2312"/>
          <w:color w:val="000000"/>
          <w:sz w:val="32"/>
          <w:szCs w:val="32"/>
        </w:rPr>
        <w:t>1.7 联络</w:t>
      </w:r>
      <w:bookmarkEnd w:id="1052"/>
      <w:bookmarkEnd w:id="1053"/>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1.7.1发包人和承包人应当在</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kern w:val="0"/>
          <w:sz w:val="32"/>
          <w:szCs w:val="32"/>
        </w:rPr>
        <w:t>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1.7.2 发包人接收文件的地点：</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发包人指定的接收人为：</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承包人接收文件的地点：</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承包人指定的接收人为：</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监理人接收文件的地点：</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监理人指定的接收人为：</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54" w:name="_Toc18018"/>
      <w:bookmarkStart w:id="1055" w:name="_Toc16063"/>
      <w:r>
        <w:rPr>
          <w:rFonts w:hint="eastAsia" w:ascii="方正仿宋_GB2312" w:hAnsi="方正仿宋_GB2312" w:eastAsia="方正仿宋_GB2312" w:cs="方正仿宋_GB2312"/>
          <w:color w:val="000000"/>
          <w:sz w:val="32"/>
          <w:szCs w:val="32"/>
        </w:rPr>
        <w:t>1.10 交通运输</w:t>
      </w:r>
      <w:bookmarkEnd w:id="1054"/>
      <w:bookmarkEnd w:id="1055"/>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bookmarkStart w:id="1056" w:name="_Toc21231"/>
      <w:r>
        <w:rPr>
          <w:rFonts w:hint="eastAsia" w:ascii="方正仿宋_GB2312" w:hAnsi="方正仿宋_GB2312" w:eastAsia="方正仿宋_GB2312" w:cs="方正仿宋_GB2312"/>
          <w:sz w:val="32"/>
          <w:szCs w:val="32"/>
        </w:rPr>
        <w:t>1</w:t>
      </w:r>
      <w:bookmarkStart w:id="1057" w:name="_Toc318581155"/>
      <w:bookmarkStart w:id="1058" w:name="_Toc304295521"/>
      <w:bookmarkStart w:id="1059" w:name="_Toc303539100"/>
      <w:bookmarkStart w:id="1060" w:name="_Toc300934943"/>
      <w:bookmarkStart w:id="1061" w:name="_Toc312677986"/>
      <w:r>
        <w:rPr>
          <w:rFonts w:hint="eastAsia" w:ascii="方正仿宋_GB2312" w:hAnsi="方正仿宋_GB2312" w:eastAsia="方正仿宋_GB2312" w:cs="方正仿宋_GB2312"/>
          <w:sz w:val="32"/>
          <w:szCs w:val="32"/>
        </w:rPr>
        <w:t>.10.1 出入现场的权利</w:t>
      </w:r>
      <w:bookmarkEnd w:id="1056"/>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关于出入现场的权利的约定：</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sz w:val="32"/>
          <w:szCs w:val="32"/>
        </w:rPr>
        <w:t>。</w:t>
      </w:r>
    </w:p>
    <w:bookmarkEnd w:id="1057"/>
    <w:bookmarkEnd w:id="1058"/>
    <w:bookmarkEnd w:id="1059"/>
    <w:bookmarkEnd w:id="1060"/>
    <w:bookmarkEnd w:id="1061"/>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sz w:val="32"/>
          <w:szCs w:val="32"/>
        </w:rPr>
      </w:pPr>
      <w:bookmarkStart w:id="1062" w:name="_Toc31693"/>
      <w:r>
        <w:rPr>
          <w:rFonts w:hint="eastAsia" w:ascii="方正仿宋_GB2312" w:hAnsi="方正仿宋_GB2312" w:eastAsia="方正仿宋_GB2312" w:cs="方正仿宋_GB2312"/>
          <w:sz w:val="32"/>
          <w:szCs w:val="32"/>
        </w:rPr>
        <w:t>1</w:t>
      </w:r>
      <w:bookmarkStart w:id="1063" w:name="_Toc318581156"/>
      <w:bookmarkStart w:id="1064" w:name="_Toc300934944"/>
      <w:bookmarkStart w:id="1065" w:name="_Toc303539101"/>
      <w:bookmarkStart w:id="1066" w:name="_Toc304295522"/>
      <w:bookmarkStart w:id="1067" w:name="_Toc312677987"/>
      <w:r>
        <w:rPr>
          <w:rFonts w:hint="eastAsia" w:ascii="方正仿宋_GB2312" w:hAnsi="方正仿宋_GB2312" w:eastAsia="方正仿宋_GB2312" w:cs="方正仿宋_GB2312"/>
          <w:sz w:val="32"/>
          <w:szCs w:val="32"/>
        </w:rPr>
        <w:t>.10.3 场内交通</w:t>
      </w:r>
      <w:bookmarkEnd w:id="1062"/>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关于场外交通和场内交通的边界的约定：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关于发包人向承包人免费提供满足工程施工需要的场内道路和交通设施的约定：</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sz w:val="32"/>
          <w:szCs w:val="32"/>
        </w:rPr>
        <w:t>。</w:t>
      </w:r>
      <w:bookmarkEnd w:id="1063"/>
      <w:bookmarkEnd w:id="1064"/>
      <w:bookmarkEnd w:id="1065"/>
      <w:bookmarkEnd w:id="1066"/>
      <w:bookmarkEnd w:id="1067"/>
      <w:r>
        <w:rPr>
          <w:rFonts w:hint="eastAsia" w:ascii="方正仿宋_GB2312" w:hAnsi="方正仿宋_GB2312" w:eastAsia="方正仿宋_GB2312" w:cs="方正仿宋_GB2312"/>
          <w:sz w:val="32"/>
          <w:szCs w:val="32"/>
        </w:rPr>
        <w:t xml:space="preserve">  </w:t>
      </w:r>
      <w:bookmarkStart w:id="1068" w:name="_Toc318581157"/>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1.10.4超大件和超重件的运输</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运输超大件或超重件所需的道路和桥梁临时加固改造费用和其他有关费用由</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承担。</w:t>
      </w:r>
    </w:p>
    <w:bookmarkEnd w:id="1068"/>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69" w:name="_Toc5842"/>
      <w:bookmarkStart w:id="1070" w:name="_Toc8339"/>
      <w:r>
        <w:rPr>
          <w:rFonts w:hint="eastAsia" w:ascii="方正仿宋_GB2312" w:hAnsi="方正仿宋_GB2312" w:eastAsia="方正仿宋_GB2312" w:cs="方正仿宋_GB2312"/>
          <w:color w:val="000000"/>
          <w:sz w:val="32"/>
          <w:szCs w:val="32"/>
        </w:rPr>
        <w:t>1.11 知识产权</w:t>
      </w:r>
      <w:bookmarkEnd w:id="1069"/>
      <w:bookmarkEnd w:id="1070"/>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1.11.1关于发包人提供给承包人的图纸、发包人为实施工程自行编制或委托编制的技术规范以及反映发包人关于合同要求或其他类似性质的文件的著作权的归属：</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关于发包人提供的上述文件的使用限制的要求：</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071" w:name="_Toc29526"/>
      <w:r>
        <w:rPr>
          <w:rFonts w:hint="eastAsia" w:ascii="方正仿宋_GB2312" w:hAnsi="方正仿宋_GB2312" w:eastAsia="方正仿宋_GB2312" w:cs="方正仿宋_GB2312"/>
          <w:color w:val="000000"/>
          <w:sz w:val="32"/>
          <w:szCs w:val="32"/>
        </w:rPr>
        <w:t>1.11.2 关于承包人为实施工程所编制文件的著作权的归属：</w:t>
      </w:r>
      <w:bookmarkEnd w:id="1071"/>
      <w:r>
        <w:rPr>
          <w:rFonts w:hint="eastAsia" w:ascii="方正仿宋_GB2312" w:hAnsi="方正仿宋_GB2312" w:eastAsia="方正仿宋_GB2312" w:cs="方正仿宋_GB2312"/>
          <w:color w:val="000000"/>
          <w:sz w:val="32"/>
          <w:szCs w:val="32"/>
          <w:u w:val="single"/>
        </w:rPr>
        <w:t xml:space="preserve">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关于承包人提供的上述文件的使用限制的要求：</w:t>
      </w:r>
      <w:r>
        <w:rPr>
          <w:rFonts w:hint="eastAsia" w:ascii="方正仿宋_GB2312" w:hAnsi="方正仿宋_GB2312" w:eastAsia="方正仿宋_GB2312" w:cs="方正仿宋_GB2312"/>
          <w:color w:val="000000"/>
          <w:sz w:val="32"/>
          <w:szCs w:val="32"/>
          <w:u w:val="single"/>
        </w:rPr>
        <w:t></w:t>
      </w:r>
      <w:r>
        <w:rPr>
          <w:rFonts w:hint="eastAsia" w:ascii="方正仿宋_GB2312" w:hAnsi="方正仿宋_GB2312" w:eastAsia="方正仿宋_GB2312" w:cs="方正仿宋_GB2312"/>
          <w:color w:val="000000"/>
          <w:sz w:val="32"/>
          <w:szCs w:val="32"/>
          <w:u w:val="single"/>
          <w:lang w:val="en-US" w:eastAsia="zh-CN"/>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bookmarkStart w:id="1072" w:name="_Toc6715"/>
      <w:r>
        <w:rPr>
          <w:rFonts w:hint="eastAsia" w:ascii="方正仿宋_GB2312" w:hAnsi="方正仿宋_GB2312" w:eastAsia="方正仿宋_GB2312" w:cs="方正仿宋_GB2312"/>
          <w:color w:val="000000"/>
          <w:sz w:val="32"/>
          <w:szCs w:val="32"/>
        </w:rPr>
        <w:t>1.11.4 承包人在施工过程中所采用的专利、专有技术、技术秘密的使用费的承担方式：</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kern w:val="0"/>
          <w:sz w:val="32"/>
          <w:szCs w:val="32"/>
        </w:rPr>
        <w:t>。</w:t>
      </w:r>
      <w:bookmarkEnd w:id="1072"/>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73" w:name="_Toc14467"/>
      <w:r>
        <w:rPr>
          <w:rFonts w:hint="eastAsia" w:ascii="方正仿宋_GB2312" w:hAnsi="方正仿宋_GB2312" w:eastAsia="方正仿宋_GB2312" w:cs="方正仿宋_GB2312"/>
          <w:color w:val="000000"/>
          <w:sz w:val="32"/>
          <w:szCs w:val="32"/>
        </w:rPr>
        <w:t>1.13工程量清单错误的修正</w:t>
      </w:r>
      <w:bookmarkEnd w:id="1073"/>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出现工程量清单错误时，是否调整合同价格：</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允许调整合同价格的工程量偏差范围：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074" w:name="_Toc25448"/>
      <w:bookmarkStart w:id="1075" w:name="_Toc24753"/>
      <w:bookmarkStart w:id="1076" w:name="_Toc16825"/>
      <w:r>
        <w:rPr>
          <w:rFonts w:hint="eastAsia" w:ascii="方正仿宋_GB2312" w:hAnsi="方正仿宋_GB2312" w:eastAsia="方正仿宋_GB2312" w:cs="方正仿宋_GB2312"/>
          <w:b w:val="0"/>
          <w:color w:val="000000"/>
          <w:sz w:val="32"/>
          <w:szCs w:val="32"/>
        </w:rPr>
        <w:t>2</w:t>
      </w:r>
      <w:bookmarkStart w:id="1077" w:name="_Toc297120457"/>
      <w:bookmarkStart w:id="1078" w:name="_Toc296503157"/>
      <w:bookmarkStart w:id="1079" w:name="_Toc296944496"/>
      <w:bookmarkStart w:id="1080" w:name="_Toc292559867"/>
      <w:bookmarkStart w:id="1081" w:name="_Toc296347156"/>
      <w:bookmarkStart w:id="1082" w:name="_Toc296891197"/>
      <w:bookmarkStart w:id="1083" w:name="_Toc292559362"/>
      <w:bookmarkStart w:id="1084" w:name="_Toc296890985"/>
      <w:bookmarkStart w:id="1085" w:name="_Toc297048343"/>
      <w:bookmarkStart w:id="1086" w:name="_Toc296346658"/>
      <w:r>
        <w:rPr>
          <w:rFonts w:hint="eastAsia" w:ascii="方正仿宋_GB2312" w:hAnsi="方正仿宋_GB2312" w:eastAsia="方正仿宋_GB2312" w:cs="方正仿宋_GB2312"/>
          <w:b w:val="0"/>
          <w:color w:val="000000"/>
          <w:sz w:val="32"/>
          <w:szCs w:val="32"/>
        </w:rPr>
        <w:t>. 发包人</w:t>
      </w:r>
      <w:bookmarkEnd w:id="1074"/>
      <w:bookmarkEnd w:id="1075"/>
      <w:bookmarkEnd w:id="1076"/>
    </w:p>
    <w:bookmarkEnd w:id="1077"/>
    <w:bookmarkEnd w:id="1078"/>
    <w:bookmarkEnd w:id="1079"/>
    <w:bookmarkEnd w:id="1080"/>
    <w:bookmarkEnd w:id="1081"/>
    <w:bookmarkEnd w:id="1082"/>
    <w:bookmarkEnd w:id="1083"/>
    <w:bookmarkEnd w:id="1084"/>
    <w:bookmarkEnd w:id="1085"/>
    <w:bookmarkEnd w:id="1086"/>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87" w:name="_Toc20943"/>
      <w:bookmarkStart w:id="1088" w:name="_Toc18878"/>
      <w:r>
        <w:rPr>
          <w:rFonts w:hint="eastAsia" w:ascii="方正仿宋_GB2312" w:hAnsi="方正仿宋_GB2312" w:eastAsia="方正仿宋_GB2312" w:cs="方正仿宋_GB2312"/>
          <w:color w:val="000000"/>
          <w:sz w:val="32"/>
          <w:szCs w:val="32"/>
        </w:rPr>
        <w:t>2.2 发包人代表</w:t>
      </w:r>
      <w:bookmarkEnd w:id="1087"/>
      <w:bookmarkEnd w:id="1088"/>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发包人代表：</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姓    名：</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身份证号：</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职    务：</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联系电话：</w:t>
      </w:r>
      <w:r>
        <w:rPr>
          <w:rFonts w:hint="eastAsia" w:ascii="方正仿宋_GB2312" w:hAnsi="方正仿宋_GB2312" w:eastAsia="方正仿宋_GB2312" w:cs="方正仿宋_GB2312"/>
          <w:color w:val="000000"/>
          <w:sz w:val="32"/>
          <w:szCs w:val="32"/>
          <w:u w:val="single"/>
        </w:rPr>
        <w:t>  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电子信箱：</w:t>
      </w:r>
      <w:r>
        <w:rPr>
          <w:rFonts w:hint="eastAsia" w:ascii="方正仿宋_GB2312" w:hAnsi="方正仿宋_GB2312" w:eastAsia="方正仿宋_GB2312" w:cs="方正仿宋_GB2312"/>
          <w:color w:val="000000"/>
          <w:sz w:val="32"/>
          <w:szCs w:val="32"/>
          <w:u w:val="single"/>
        </w:rPr>
        <w:t>  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通信地址：</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color w:val="000000"/>
          <w:sz w:val="32"/>
          <w:szCs w:val="32"/>
        </w:rPr>
        <w:t>发包人对发包人代表的授权范围如下：</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lang w:val="en-US" w:eastAsia="zh-CN"/>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89" w:name="_Toc3873"/>
      <w:bookmarkStart w:id="1090" w:name="_Toc23773"/>
      <w:r>
        <w:rPr>
          <w:rFonts w:hint="eastAsia" w:ascii="方正仿宋_GB2312" w:hAnsi="方正仿宋_GB2312" w:eastAsia="方正仿宋_GB2312" w:cs="方正仿宋_GB2312"/>
          <w:color w:val="000000"/>
          <w:sz w:val="32"/>
          <w:szCs w:val="32"/>
        </w:rPr>
        <w:t>2.4 施工现场、施工条件和基础资料的提供</w:t>
      </w:r>
      <w:bookmarkEnd w:id="1089"/>
      <w:bookmarkEnd w:id="1090"/>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2.4.1 提供施工现场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关于发包人移交施工现场的期限要求：</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2.4.2 提供施工条件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关于发包人应负责提供施工所需要的条件，包括：</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091" w:name="_Toc8077"/>
      <w:bookmarkStart w:id="1092" w:name="_Toc19099"/>
      <w:r>
        <w:rPr>
          <w:rFonts w:hint="eastAsia" w:ascii="方正仿宋_GB2312" w:hAnsi="方正仿宋_GB2312" w:eastAsia="方正仿宋_GB2312" w:cs="方正仿宋_GB2312"/>
          <w:color w:val="000000"/>
          <w:sz w:val="32"/>
          <w:szCs w:val="32"/>
        </w:rPr>
        <w:t>2.5 资金来源证明及支付担保</w:t>
      </w:r>
      <w:bookmarkEnd w:id="1091"/>
      <w:bookmarkEnd w:id="1092"/>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发包人提供资金来源证明的期限要求：</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发包人是否提供支付担保：</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发包人提供支付担保的形式：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093" w:name="_Toc3467"/>
      <w:bookmarkStart w:id="1094" w:name="_Toc25810"/>
      <w:bookmarkStart w:id="1095" w:name="_Toc14339"/>
      <w:r>
        <w:rPr>
          <w:rFonts w:hint="eastAsia" w:ascii="方正仿宋_GB2312" w:hAnsi="方正仿宋_GB2312" w:eastAsia="方正仿宋_GB2312" w:cs="方正仿宋_GB2312"/>
          <w:b w:val="0"/>
          <w:color w:val="000000"/>
          <w:sz w:val="32"/>
          <w:szCs w:val="32"/>
        </w:rPr>
        <w:t>3</w:t>
      </w:r>
      <w:bookmarkStart w:id="1096" w:name="_Toc292559363"/>
      <w:bookmarkStart w:id="1097" w:name="_Toc296890986"/>
      <w:bookmarkStart w:id="1098" w:name="_Toc296944497"/>
      <w:bookmarkStart w:id="1099" w:name="_Toc292559868"/>
      <w:bookmarkStart w:id="1100" w:name="_Toc296891198"/>
      <w:bookmarkStart w:id="1101" w:name="_Toc297120458"/>
      <w:bookmarkStart w:id="1102" w:name="_Toc296503158"/>
      <w:bookmarkStart w:id="1103" w:name="_Toc297048344"/>
      <w:bookmarkStart w:id="1104" w:name="_Toc296347157"/>
      <w:bookmarkStart w:id="1105" w:name="_Toc296346659"/>
      <w:r>
        <w:rPr>
          <w:rFonts w:hint="eastAsia" w:ascii="方正仿宋_GB2312" w:hAnsi="方正仿宋_GB2312" w:eastAsia="方正仿宋_GB2312" w:cs="方正仿宋_GB2312"/>
          <w:b w:val="0"/>
          <w:color w:val="000000"/>
          <w:sz w:val="32"/>
          <w:szCs w:val="32"/>
        </w:rPr>
        <w:t>. 承包人</w:t>
      </w:r>
      <w:bookmarkEnd w:id="1093"/>
      <w:bookmarkEnd w:id="1094"/>
      <w:bookmarkEnd w:id="1095"/>
    </w:p>
    <w:bookmarkEnd w:id="1096"/>
    <w:bookmarkEnd w:id="1097"/>
    <w:bookmarkEnd w:id="1098"/>
    <w:bookmarkEnd w:id="1099"/>
    <w:bookmarkEnd w:id="1100"/>
    <w:bookmarkEnd w:id="1101"/>
    <w:bookmarkEnd w:id="1102"/>
    <w:bookmarkEnd w:id="1103"/>
    <w:bookmarkEnd w:id="1104"/>
    <w:bookmarkEnd w:id="1105"/>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06" w:name="_Toc3835"/>
      <w:r>
        <w:rPr>
          <w:rFonts w:hint="eastAsia" w:ascii="方正仿宋_GB2312" w:hAnsi="方正仿宋_GB2312" w:eastAsia="方正仿宋_GB2312" w:cs="方正仿宋_GB2312"/>
          <w:color w:val="000000"/>
          <w:sz w:val="32"/>
          <w:szCs w:val="32"/>
        </w:rPr>
        <w:t>3.1 承包人的一般义务</w:t>
      </w:r>
      <w:bookmarkEnd w:id="1106"/>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（9）</w:t>
      </w:r>
      <w:r>
        <w:rPr>
          <w:rFonts w:hint="eastAsia" w:ascii="方正仿宋_GB2312" w:hAnsi="方正仿宋_GB2312" w:eastAsia="方正仿宋_GB2312" w:cs="方正仿宋_GB2312"/>
          <w:color w:val="000000"/>
          <w:sz w:val="32"/>
          <w:szCs w:val="32"/>
        </w:rPr>
        <w:t>承包人提交的竣工资料的内容：</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承包人需要提交的竣工资料套数：</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承包人提交的竣工资料的费用承担：</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承包人提交的竣工资料移交时间：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承包人提交的竣工资料形式要求：</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（10）承包人应履行的其他义务：</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07" w:name="_Toc9018"/>
      <w:r>
        <w:rPr>
          <w:rFonts w:hint="eastAsia" w:ascii="方正仿宋_GB2312" w:hAnsi="方正仿宋_GB2312" w:eastAsia="方正仿宋_GB2312" w:cs="方正仿宋_GB2312"/>
          <w:color w:val="000000"/>
          <w:sz w:val="32"/>
          <w:szCs w:val="32"/>
        </w:rPr>
        <w:t>3.2 项目经理</w:t>
      </w:r>
      <w:bookmarkEnd w:id="1107"/>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 xml:space="preserve">3.2.1 </w:t>
      </w:r>
      <w:r>
        <w:rPr>
          <w:rFonts w:hint="eastAsia" w:ascii="方正仿宋_GB2312" w:hAnsi="方正仿宋_GB2312" w:eastAsia="方正仿宋_GB2312" w:cs="方正仿宋_GB2312"/>
          <w:color w:val="000000"/>
          <w:sz w:val="32"/>
          <w:szCs w:val="32"/>
        </w:rPr>
        <w:t>项目经理：</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姓    名：</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身份证号：</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建造师执业资格等级：</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建造师注册证书号：</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建造师执业印章号：</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安全生产考核合格证书号：</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联系电话：</w:t>
      </w:r>
      <w:r>
        <w:rPr>
          <w:rFonts w:hint="eastAsia" w:ascii="方正仿宋_GB2312" w:hAnsi="方正仿宋_GB2312" w:eastAsia="方正仿宋_GB2312" w:cs="方正仿宋_GB2312"/>
          <w:color w:val="000000"/>
          <w:sz w:val="32"/>
          <w:szCs w:val="32"/>
          <w:u w:val="single"/>
        </w:rPr>
        <w:t>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电子信箱：</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通信地址：</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承包人对项目经理的授权范围如下：</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关于项目经理每月在施工现场的时间要求：</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承包人未提交劳动合同，以及没有为项目经理缴纳社会保险证明的违约责任：</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kern w:val="0"/>
          <w:sz w:val="32"/>
          <w:szCs w:val="32"/>
        </w:rPr>
        <w:t>项目经理未经批准，擅自离开施工现场的违约责任：</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3.2.3 承包人擅自更换项目经理的违约责任：</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108" w:name="_Toc13709"/>
      <w:r>
        <w:rPr>
          <w:rFonts w:hint="eastAsia" w:ascii="方正仿宋_GB2312" w:hAnsi="方正仿宋_GB2312" w:eastAsia="方正仿宋_GB2312" w:cs="方正仿宋_GB2312"/>
          <w:color w:val="000000"/>
          <w:sz w:val="32"/>
          <w:szCs w:val="32"/>
        </w:rPr>
        <w:t>3.2.4 承包人无正当理由拒绝更换项目经理的违约责任：</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bookmarkEnd w:id="1108"/>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09" w:name="_Toc27771"/>
      <w:r>
        <w:rPr>
          <w:rFonts w:hint="eastAsia" w:ascii="方正仿宋_GB2312" w:hAnsi="方正仿宋_GB2312" w:eastAsia="方正仿宋_GB2312" w:cs="方正仿宋_GB2312"/>
          <w:color w:val="000000"/>
          <w:sz w:val="32"/>
          <w:szCs w:val="32"/>
        </w:rPr>
        <w:t>3.3 承包人人员</w:t>
      </w:r>
      <w:bookmarkEnd w:id="1109"/>
    </w:p>
    <w:p>
      <w:pPr>
        <w:pageBreakBefore w:val="0"/>
        <w:widowControl w:val="0"/>
        <w:kinsoku/>
        <w:wordWrap/>
        <w:overflowPunct/>
        <w:topLinePunct w:val="0"/>
        <w:bidi w:val="0"/>
        <w:snapToGrid/>
        <w:spacing w:line="440" w:lineRule="exact"/>
        <w:ind w:firstLine="640" w:firstLineChars="200"/>
        <w:jc w:val="both"/>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3.3.1 承包人提交项目管理机构及施工现场管理人员安排报告的期限：</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3.3.3 承包人无正当理由拒绝撤换主要施工管理人员的违约责任：</w:t>
      </w:r>
      <w:r>
        <w:rPr>
          <w:rFonts w:hint="eastAsia" w:ascii="方正仿宋_GB2312" w:hAnsi="方正仿宋_GB2312" w:eastAsia="方正仿宋_GB2312" w:cs="方正仿宋_GB2312"/>
          <w:color w:val="000000"/>
          <w:sz w:val="32"/>
          <w:szCs w:val="32"/>
          <w:u w:val="single"/>
        </w:rPr>
        <w:t xml:space="preserve">            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3.3.4 承包人主要施工管理人员离开施工现场的批准要求：</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lang w:val="en-US" w:eastAsia="zh-CN"/>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3.3.5承包人擅自更换主要施工管理人员的违约责任：</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承包人主要施工管理人员擅自离开施工现场的违约责任：</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10" w:name="_Toc19050"/>
      <w:r>
        <w:rPr>
          <w:rFonts w:hint="eastAsia" w:ascii="方正仿宋_GB2312" w:hAnsi="方正仿宋_GB2312" w:eastAsia="方正仿宋_GB2312" w:cs="方正仿宋_GB2312"/>
          <w:color w:val="000000"/>
          <w:sz w:val="32"/>
          <w:szCs w:val="32"/>
        </w:rPr>
        <w:t>3</w:t>
      </w:r>
      <w:bookmarkStart w:id="1111" w:name="_Toc300934945"/>
      <w:bookmarkStart w:id="1112" w:name="_Toc297048345"/>
      <w:bookmarkStart w:id="1113" w:name="_Toc296347158"/>
      <w:bookmarkStart w:id="1114" w:name="_Toc297120459"/>
      <w:bookmarkStart w:id="1115" w:name="_Toc297123492"/>
      <w:bookmarkStart w:id="1116" w:name="_Toc292559869"/>
      <w:bookmarkStart w:id="1117" w:name="_Toc296503159"/>
      <w:bookmarkStart w:id="1118" w:name="_Toc292559364"/>
      <w:bookmarkStart w:id="1119" w:name="_Toc297216151"/>
      <w:bookmarkStart w:id="1120" w:name="_Toc296346660"/>
      <w:bookmarkStart w:id="1121" w:name="_Toc296944498"/>
      <w:bookmarkStart w:id="1122" w:name="_Toc303539102"/>
      <w:bookmarkStart w:id="1123" w:name="_Toc304295523"/>
      <w:bookmarkStart w:id="1124" w:name="_Toc296890987"/>
      <w:bookmarkStart w:id="1125" w:name="_Toc312677988"/>
      <w:bookmarkStart w:id="1126" w:name="_Toc296891199"/>
      <w:r>
        <w:rPr>
          <w:rFonts w:hint="eastAsia" w:ascii="方正仿宋_GB2312" w:hAnsi="方正仿宋_GB2312" w:eastAsia="方正仿宋_GB2312" w:cs="方正仿宋_GB2312"/>
          <w:color w:val="000000"/>
          <w:sz w:val="32"/>
          <w:szCs w:val="32"/>
        </w:rPr>
        <w:t>.5 分包</w:t>
      </w:r>
      <w:bookmarkEnd w:id="1110"/>
    </w:p>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bookmarkStart w:id="1127" w:name="_Toc296890988"/>
      <w:bookmarkStart w:id="1128" w:name="_Toc297216152"/>
      <w:bookmarkStart w:id="1129" w:name="_Toc304295524"/>
      <w:bookmarkStart w:id="1130" w:name="_Toc292559365"/>
      <w:bookmarkStart w:id="1131" w:name="_Toc292559870"/>
      <w:bookmarkStart w:id="1132" w:name="_Toc303539103"/>
      <w:bookmarkStart w:id="1133" w:name="_Toc296891200"/>
      <w:bookmarkStart w:id="1134" w:name="_Toc296346661"/>
      <w:bookmarkStart w:id="1135" w:name="_Toc296503160"/>
      <w:bookmarkStart w:id="1136" w:name="_Toc297048346"/>
      <w:bookmarkStart w:id="1137" w:name="_Toc296347159"/>
      <w:bookmarkStart w:id="1138" w:name="_Toc297123493"/>
      <w:bookmarkStart w:id="1139" w:name="_Toc296944499"/>
      <w:bookmarkStart w:id="1140" w:name="_Toc297120460"/>
      <w:bookmarkStart w:id="1141" w:name="_Toc300934946"/>
      <w:bookmarkStart w:id="1142" w:name="_Toc318581158"/>
      <w:bookmarkStart w:id="1143" w:name="_Toc312677989"/>
      <w:r>
        <w:rPr>
          <w:rFonts w:hint="eastAsia" w:ascii="方正仿宋_GB2312" w:hAnsi="方正仿宋_GB2312" w:eastAsia="方正仿宋_GB2312" w:cs="方正仿宋_GB2312"/>
          <w:sz w:val="32"/>
          <w:szCs w:val="32"/>
        </w:rPr>
        <w:t>.5.1 分包的一般约定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禁止分包的工程包括：</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sz w:val="32"/>
          <w:szCs w:val="32"/>
        </w:rPr>
        <w:t>主体结构、关键性工作的范围：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Start w:id="1144" w:name="_Toc297120461"/>
      <w:bookmarkStart w:id="1145" w:name="_Toc300934947"/>
      <w:bookmarkStart w:id="1146" w:name="_Toc296503161"/>
      <w:bookmarkStart w:id="1147" w:name="_Toc304295525"/>
      <w:bookmarkStart w:id="1148" w:name="_Toc297216153"/>
      <w:bookmarkStart w:id="1149" w:name="_Toc296944500"/>
      <w:bookmarkStart w:id="1150" w:name="_Toc296890989"/>
      <w:bookmarkStart w:id="1151" w:name="_Toc297123494"/>
      <w:bookmarkStart w:id="1152" w:name="_Toc303539104"/>
      <w:bookmarkStart w:id="1153" w:name="_Toc296346662"/>
      <w:bookmarkStart w:id="1154" w:name="_Toc296347160"/>
      <w:bookmarkStart w:id="1155" w:name="_Toc297048347"/>
      <w:bookmarkStart w:id="1156" w:name="_Toc296891201"/>
    </w:p>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bookmarkStart w:id="1157" w:name="_Toc318581159"/>
      <w:bookmarkStart w:id="1158" w:name="_Toc312677990"/>
      <w:r>
        <w:rPr>
          <w:rFonts w:hint="eastAsia" w:ascii="方正仿宋_GB2312" w:hAnsi="方正仿宋_GB2312" w:eastAsia="方正仿宋_GB2312" w:cs="方正仿宋_GB2312"/>
          <w:sz w:val="32"/>
          <w:szCs w:val="32"/>
        </w:rPr>
        <w:t>.5.2分包的确定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sz w:val="32"/>
          <w:szCs w:val="32"/>
        </w:rPr>
        <w:t>允许分包的专业工程包括：</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其他关于分包的约定：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3.5.4 分包合同价款</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关于分包合同价款支付的约定：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bookmarkEnd w:id="1157"/>
    <w:bookmarkEnd w:id="1158"/>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59" w:name="_Toc24696"/>
      <w:r>
        <w:rPr>
          <w:rFonts w:hint="eastAsia" w:ascii="方正仿宋_GB2312" w:hAnsi="方正仿宋_GB2312" w:eastAsia="方正仿宋_GB2312" w:cs="方正仿宋_GB2312"/>
          <w:color w:val="000000"/>
          <w:sz w:val="32"/>
          <w:szCs w:val="32"/>
        </w:rPr>
        <w:t>3.6 工程照管与成品、半成品保护</w:t>
      </w:r>
      <w:bookmarkEnd w:id="1159"/>
    </w:p>
    <w:p>
      <w:pPr>
        <w:pageBreakBefore w:val="0"/>
        <w:widowControl w:val="0"/>
        <w:kinsoku/>
        <w:wordWrap/>
        <w:overflowPunct/>
        <w:topLinePunct w:val="0"/>
        <w:bidi w:val="0"/>
        <w:snapToGrid/>
        <w:spacing w:before="120" w:after="120"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u w:val="single"/>
        </w:rPr>
      </w:pPr>
      <w:r>
        <w:rPr>
          <w:rFonts w:hint="eastAsia" w:ascii="方正仿宋_GB2312" w:hAnsi="方正仿宋_GB2312" w:eastAsia="方正仿宋_GB2312" w:cs="方正仿宋_GB2312"/>
          <w:color w:val="000000"/>
          <w:kern w:val="0"/>
          <w:sz w:val="32"/>
          <w:szCs w:val="32"/>
        </w:rPr>
        <w:t>承包人负责照管工程及工程相关的材料、工程设备的起始时间：</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60" w:name="_Toc14324"/>
      <w:r>
        <w:rPr>
          <w:rFonts w:hint="eastAsia" w:ascii="方正仿宋_GB2312" w:hAnsi="方正仿宋_GB2312" w:eastAsia="方正仿宋_GB2312" w:cs="方正仿宋_GB2312"/>
          <w:color w:val="000000"/>
          <w:sz w:val="32"/>
          <w:szCs w:val="32"/>
        </w:rPr>
        <w:t>3.7 履约担保</w:t>
      </w:r>
      <w:bookmarkEnd w:id="1160"/>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承包人是否提供履约担保：</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承包人提供履约担保的形式、金额及期限的：</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161" w:name="_Toc23136"/>
      <w:bookmarkStart w:id="1162" w:name="_Toc25115"/>
      <w:bookmarkStart w:id="1163" w:name="_Toc14404"/>
      <w:r>
        <w:rPr>
          <w:rFonts w:hint="eastAsia" w:ascii="方正仿宋_GB2312" w:hAnsi="方正仿宋_GB2312" w:eastAsia="方正仿宋_GB2312" w:cs="方正仿宋_GB2312"/>
          <w:b w:val="0"/>
          <w:color w:val="000000"/>
          <w:sz w:val="32"/>
          <w:szCs w:val="32"/>
        </w:rPr>
        <w:t>4</w:t>
      </w:r>
      <w:bookmarkStart w:id="1164" w:name="_Toc297120462"/>
      <w:bookmarkStart w:id="1165" w:name="_Toc296346663"/>
      <w:bookmarkStart w:id="1166" w:name="_Toc296890990"/>
      <w:bookmarkStart w:id="1167" w:name="_Toc292559871"/>
      <w:bookmarkStart w:id="1168" w:name="_Toc296891202"/>
      <w:bookmarkStart w:id="1169" w:name="_Toc296944501"/>
      <w:bookmarkStart w:id="1170" w:name="_Toc267251413"/>
      <w:bookmarkStart w:id="1171" w:name="_Toc296503162"/>
      <w:bookmarkStart w:id="1172" w:name="_Toc296347161"/>
      <w:bookmarkStart w:id="1173" w:name="_Toc292559366"/>
      <w:bookmarkStart w:id="1174" w:name="_Toc297048348"/>
      <w:r>
        <w:rPr>
          <w:rFonts w:hint="eastAsia" w:ascii="方正仿宋_GB2312" w:hAnsi="方正仿宋_GB2312" w:eastAsia="方正仿宋_GB2312" w:cs="方正仿宋_GB2312"/>
          <w:b w:val="0"/>
          <w:color w:val="000000"/>
          <w:sz w:val="32"/>
          <w:szCs w:val="32"/>
        </w:rPr>
        <w:t>. 监</w:t>
      </w:r>
      <w:bookmarkEnd w:id="1164"/>
      <w:bookmarkEnd w:id="1165"/>
      <w:bookmarkEnd w:id="1166"/>
      <w:bookmarkEnd w:id="1167"/>
      <w:bookmarkEnd w:id="1168"/>
      <w:bookmarkEnd w:id="1169"/>
      <w:bookmarkEnd w:id="1170"/>
      <w:bookmarkEnd w:id="1171"/>
      <w:bookmarkEnd w:id="1172"/>
      <w:bookmarkEnd w:id="1173"/>
      <w:bookmarkEnd w:id="1174"/>
      <w:r>
        <w:rPr>
          <w:rFonts w:hint="eastAsia" w:ascii="方正仿宋_GB2312" w:hAnsi="方正仿宋_GB2312" w:eastAsia="方正仿宋_GB2312" w:cs="方正仿宋_GB2312"/>
          <w:b w:val="0"/>
          <w:color w:val="000000"/>
          <w:sz w:val="32"/>
          <w:szCs w:val="32"/>
        </w:rPr>
        <w:t>理人</w:t>
      </w:r>
      <w:bookmarkEnd w:id="1161"/>
      <w:bookmarkEnd w:id="1162"/>
      <w:bookmarkEnd w:id="1163"/>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75" w:name="_Toc31236"/>
      <w:r>
        <w:rPr>
          <w:rFonts w:hint="eastAsia" w:ascii="方正仿宋_GB2312" w:hAnsi="方正仿宋_GB2312" w:eastAsia="方正仿宋_GB2312" w:cs="方正仿宋_GB2312"/>
          <w:color w:val="000000"/>
          <w:sz w:val="32"/>
          <w:szCs w:val="32"/>
        </w:rPr>
        <w:t>4.1监理人的一般规定</w:t>
      </w:r>
      <w:bookmarkEnd w:id="1175"/>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关于监理人的监理内容：</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关于监理人的监理权限：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关于监理人在施工现场的办公场所、生活场所的提供和费用承担的约定：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76" w:name="_Toc28845"/>
      <w:r>
        <w:rPr>
          <w:rFonts w:hint="eastAsia" w:ascii="方正仿宋_GB2312" w:hAnsi="方正仿宋_GB2312" w:eastAsia="方正仿宋_GB2312" w:cs="方正仿宋_GB2312"/>
          <w:color w:val="000000"/>
          <w:sz w:val="32"/>
          <w:szCs w:val="32"/>
        </w:rPr>
        <w:t>4.2 监理人员</w:t>
      </w:r>
      <w:bookmarkEnd w:id="1176"/>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总监理工程师：</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姓    名：</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职    务：</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监理工程师执业资格证书号：</w:t>
      </w:r>
      <w:r>
        <w:rPr>
          <w:rFonts w:hint="eastAsia" w:ascii="方正仿宋_GB2312" w:hAnsi="方正仿宋_GB2312" w:eastAsia="方正仿宋_GB2312" w:cs="方正仿宋_GB2312"/>
          <w:color w:val="000000"/>
          <w:sz w:val="32"/>
          <w:szCs w:val="32"/>
          <w:u w:val="single"/>
        </w:rPr>
        <w:t>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联系电话：</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电子信箱：</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通信地址：</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关于监理人的其他约定：</w:t>
      </w:r>
      <w:r>
        <w:rPr>
          <w:rFonts w:hint="eastAsia" w:ascii="方正仿宋_GB2312" w:hAnsi="方正仿宋_GB2312" w:eastAsia="方正仿宋_GB2312" w:cs="方正仿宋_GB2312"/>
          <w:color w:val="000000"/>
          <w:sz w:val="32"/>
          <w:szCs w:val="32"/>
          <w:u w:val="single"/>
        </w:rPr>
        <w:t>  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77" w:name="_Toc30968"/>
      <w:r>
        <w:rPr>
          <w:rFonts w:hint="eastAsia" w:ascii="方正仿宋_GB2312" w:hAnsi="方正仿宋_GB2312" w:eastAsia="方正仿宋_GB2312" w:cs="方正仿宋_GB2312"/>
          <w:color w:val="000000"/>
          <w:sz w:val="32"/>
          <w:szCs w:val="32"/>
        </w:rPr>
        <w:t>4.4 商定或确定</w:t>
      </w:r>
      <w:bookmarkEnd w:id="1177"/>
    </w:p>
    <w:p>
      <w:pPr>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bookmarkStart w:id="1178" w:name="_Toc267251418"/>
      <w:r>
        <w:rPr>
          <w:rFonts w:hint="eastAsia" w:ascii="方正仿宋_GB2312" w:hAnsi="方正仿宋_GB2312" w:eastAsia="方正仿宋_GB2312" w:cs="方正仿宋_GB2312"/>
          <w:color w:val="000000"/>
          <w:sz w:val="32"/>
          <w:szCs w:val="32"/>
        </w:rPr>
        <w:t>在发包人和承包人不能通过协商达成一致意见时，发包人授权监理人对以下事项进行确定：</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179" w:name="_Toc6236"/>
      <w:bookmarkStart w:id="1180" w:name="_Toc25843"/>
      <w:bookmarkStart w:id="1181" w:name="_Toc10330"/>
      <w:r>
        <w:rPr>
          <w:rFonts w:hint="eastAsia" w:ascii="方正仿宋_GB2312" w:hAnsi="方正仿宋_GB2312" w:eastAsia="方正仿宋_GB2312" w:cs="方正仿宋_GB2312"/>
          <w:b w:val="0"/>
          <w:color w:val="000000"/>
          <w:sz w:val="32"/>
          <w:szCs w:val="32"/>
        </w:rPr>
        <w:t>5</w:t>
      </w:r>
      <w:bookmarkEnd w:id="1178"/>
      <w:bookmarkStart w:id="1182" w:name="_Toc292559367"/>
      <w:bookmarkStart w:id="1183" w:name="_Toc296503163"/>
      <w:bookmarkStart w:id="1184" w:name="_Toc296891203"/>
      <w:bookmarkStart w:id="1185" w:name="_Toc296346664"/>
      <w:bookmarkStart w:id="1186" w:name="_Toc297120463"/>
      <w:bookmarkStart w:id="1187" w:name="_Toc296890991"/>
      <w:bookmarkStart w:id="1188" w:name="_Toc292559872"/>
      <w:bookmarkStart w:id="1189" w:name="_Toc296347162"/>
      <w:bookmarkStart w:id="1190" w:name="_Toc296944502"/>
      <w:bookmarkStart w:id="1191" w:name="_Toc297048349"/>
      <w:r>
        <w:rPr>
          <w:rFonts w:hint="eastAsia" w:ascii="方正仿宋_GB2312" w:hAnsi="方正仿宋_GB2312" w:eastAsia="方正仿宋_GB2312" w:cs="方正仿宋_GB2312"/>
          <w:b w:val="0"/>
          <w:color w:val="000000"/>
          <w:sz w:val="32"/>
          <w:szCs w:val="32"/>
        </w:rPr>
        <w:t>. 工程质量</w:t>
      </w:r>
      <w:bookmarkEnd w:id="1179"/>
      <w:bookmarkEnd w:id="1180"/>
      <w:bookmarkEnd w:id="1181"/>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192" w:name="_Toc30218"/>
      <w:bookmarkStart w:id="1193" w:name="_Toc30047"/>
      <w:r>
        <w:rPr>
          <w:rFonts w:hint="eastAsia" w:ascii="方正仿宋_GB2312" w:hAnsi="方正仿宋_GB2312" w:eastAsia="方正仿宋_GB2312" w:cs="方正仿宋_GB2312"/>
          <w:color w:val="000000"/>
          <w:sz w:val="32"/>
          <w:szCs w:val="32"/>
        </w:rPr>
        <w:t>5.1 质量要求</w:t>
      </w:r>
      <w:bookmarkEnd w:id="1192"/>
      <w:bookmarkEnd w:id="1193"/>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w:t>
      </w:r>
      <w:bookmarkStart w:id="1194" w:name="_Toc297123496"/>
      <w:bookmarkStart w:id="1195" w:name="_Toc297216155"/>
      <w:bookmarkStart w:id="1196" w:name="_Toc303539106"/>
      <w:bookmarkStart w:id="1197" w:name="_Toc300934949"/>
      <w:bookmarkStart w:id="1198" w:name="_Toc318581164"/>
      <w:bookmarkStart w:id="1199" w:name="_Toc312677997"/>
      <w:bookmarkStart w:id="1200" w:name="_Toc304295527"/>
      <w:r>
        <w:rPr>
          <w:rFonts w:hint="eastAsia" w:ascii="方正仿宋_GB2312" w:hAnsi="方正仿宋_GB2312" w:eastAsia="方正仿宋_GB2312" w:cs="方正仿宋_GB2312"/>
          <w:sz w:val="32"/>
          <w:szCs w:val="32"/>
        </w:rPr>
        <w:t>.1.1 特殊质量标准和要求：</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sz w:val="32"/>
          <w:szCs w:val="32"/>
        </w:rPr>
        <w:t>关于工程奖项的约定：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01" w:name="_Toc32526"/>
      <w:bookmarkStart w:id="1202" w:name="_Toc24117"/>
      <w:r>
        <w:rPr>
          <w:rFonts w:hint="eastAsia" w:ascii="方正仿宋_GB2312" w:hAnsi="方正仿宋_GB2312" w:eastAsia="方正仿宋_GB2312" w:cs="方正仿宋_GB2312"/>
          <w:color w:val="000000"/>
          <w:sz w:val="32"/>
          <w:szCs w:val="32"/>
        </w:rPr>
        <w:t>5.3 隐蔽工程检查</w:t>
      </w:r>
      <w:bookmarkEnd w:id="1201"/>
      <w:bookmarkEnd w:id="1202"/>
    </w:p>
    <w:p>
      <w:pPr>
        <w:pageBreakBefore w:val="0"/>
        <w:widowControl w:val="0"/>
        <w:kinsoku/>
        <w:wordWrap/>
        <w:overflowPunct/>
        <w:topLinePunct w:val="0"/>
        <w:bidi w:val="0"/>
        <w:snapToGrid/>
        <w:spacing w:line="440" w:lineRule="exact"/>
        <w:ind w:firstLine="640" w:firstLineChars="200"/>
        <w:jc w:val="both"/>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5.3.2承包人提前通知监理人隐蔽工程检查的期限的约定：</w:t>
      </w:r>
      <w:r>
        <w:rPr>
          <w:rFonts w:hint="eastAsia" w:ascii="方正仿宋_GB2312" w:hAnsi="方正仿宋_GB2312" w:eastAsia="方正仿宋_GB2312" w:cs="方正仿宋_GB2312"/>
          <w:sz w:val="32"/>
          <w:szCs w:val="32"/>
          <w:u w:val="single"/>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监理人不能按时进行检查时，应提前</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小时提交书面延期要求。</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关于延期最长不得超过：</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小时。</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203" w:name="_Toc27145"/>
      <w:bookmarkStart w:id="1204" w:name="_Toc20432"/>
      <w:bookmarkStart w:id="1205" w:name="_Toc4333"/>
      <w:r>
        <w:rPr>
          <w:rFonts w:hint="eastAsia" w:ascii="方正仿宋_GB2312" w:hAnsi="方正仿宋_GB2312" w:eastAsia="方正仿宋_GB2312" w:cs="方正仿宋_GB2312"/>
          <w:b w:val="0"/>
          <w:color w:val="000000"/>
          <w:sz w:val="32"/>
          <w:szCs w:val="32"/>
        </w:rPr>
        <w:t>6. 安全文明施工与环境保护</w:t>
      </w:r>
      <w:bookmarkEnd w:id="1203"/>
      <w:bookmarkEnd w:id="1204"/>
      <w:bookmarkEnd w:id="1205"/>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06" w:name="_Toc18265"/>
      <w:r>
        <w:rPr>
          <w:rFonts w:hint="eastAsia" w:ascii="方正仿宋_GB2312" w:hAnsi="方正仿宋_GB2312" w:eastAsia="方正仿宋_GB2312" w:cs="方正仿宋_GB2312"/>
          <w:color w:val="000000"/>
          <w:sz w:val="32"/>
          <w:szCs w:val="32"/>
        </w:rPr>
        <w:t>6.1安全文明施工</w:t>
      </w:r>
      <w:bookmarkEnd w:id="1206"/>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6.1.1</w:t>
      </w:r>
      <w:r>
        <w:rPr>
          <w:rFonts w:hint="eastAsia" w:ascii="方正仿宋_GB2312" w:hAnsi="方正仿宋_GB2312" w:eastAsia="方正仿宋_GB2312" w:cs="方正仿宋_GB2312"/>
          <w:color w:val="000000"/>
          <w:sz w:val="32"/>
          <w:szCs w:val="32"/>
        </w:rPr>
        <w:t xml:space="preserve"> 项目安全生产的达标目标及相应事项的约定：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eastAsia="zh-CN"/>
        </w:rPr>
        <w:t>。</w:t>
      </w:r>
      <w:r>
        <w:rPr>
          <w:rFonts w:hint="eastAsia" w:ascii="方正仿宋_GB2312" w:hAnsi="方正仿宋_GB2312" w:eastAsia="方正仿宋_GB2312" w:cs="方正仿宋_GB2312"/>
          <w:sz w:val="32"/>
          <w:szCs w:val="32"/>
          <w:u w:val="single"/>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6.1.4 关于治安保卫的特别约定：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关于编制施工场地治安管理计划的约定：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6.1.5 文明施工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合同当事人对文明施工的要求：</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6.1.6 关于安全文明施工费支付比例和支付期限的约定：</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bookmarkEnd w:id="1194"/>
    <w:bookmarkEnd w:id="1195"/>
    <w:bookmarkEnd w:id="1196"/>
    <w:bookmarkEnd w:id="1197"/>
    <w:bookmarkEnd w:id="1198"/>
    <w:bookmarkEnd w:id="1199"/>
    <w:bookmarkEnd w:id="1200"/>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207" w:name="_Toc1119"/>
      <w:bookmarkStart w:id="1208" w:name="_Toc18848"/>
      <w:bookmarkStart w:id="1209" w:name="_Toc4719"/>
      <w:r>
        <w:rPr>
          <w:rFonts w:hint="eastAsia" w:ascii="方正仿宋_GB2312" w:hAnsi="方正仿宋_GB2312" w:eastAsia="方正仿宋_GB2312" w:cs="方正仿宋_GB2312"/>
          <w:b w:val="0"/>
          <w:color w:val="000000"/>
          <w:sz w:val="32"/>
          <w:szCs w:val="32"/>
        </w:rPr>
        <w:t>7. 工期和进度</w:t>
      </w:r>
      <w:bookmarkEnd w:id="1207"/>
      <w:bookmarkEnd w:id="1208"/>
      <w:bookmarkEnd w:id="1209"/>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10" w:name="_Toc24155"/>
      <w:r>
        <w:rPr>
          <w:rFonts w:hint="eastAsia" w:ascii="方正仿宋_GB2312" w:hAnsi="方正仿宋_GB2312" w:eastAsia="方正仿宋_GB2312" w:cs="方正仿宋_GB2312"/>
          <w:color w:val="000000"/>
          <w:sz w:val="32"/>
          <w:szCs w:val="32"/>
        </w:rPr>
        <w:t>7.1 施工组织设计</w:t>
      </w:r>
      <w:bookmarkEnd w:id="1210"/>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 xml:space="preserve">7.1.1 </w:t>
      </w:r>
      <w:r>
        <w:rPr>
          <w:rFonts w:hint="eastAsia" w:ascii="方正仿宋_GB2312" w:hAnsi="方正仿宋_GB2312" w:eastAsia="方正仿宋_GB2312" w:cs="方正仿宋_GB2312"/>
          <w:color w:val="000000"/>
          <w:sz w:val="32"/>
          <w:szCs w:val="32"/>
        </w:rPr>
        <w:t>合</w:t>
      </w:r>
      <w:r>
        <w:rPr>
          <w:rFonts w:hint="eastAsia" w:ascii="方正仿宋_GB2312" w:hAnsi="方正仿宋_GB2312" w:eastAsia="方正仿宋_GB2312" w:cs="方正仿宋_GB2312"/>
          <w:color w:val="000000"/>
          <w:kern w:val="0"/>
          <w:sz w:val="32"/>
          <w:szCs w:val="32"/>
        </w:rPr>
        <w:t>同当事人约定的施工组织设计应包括的其他内容：</w:t>
      </w:r>
      <w:r>
        <w:rPr>
          <w:rFonts w:hint="eastAsia" w:ascii="方正仿宋_GB2312" w:hAnsi="方正仿宋_GB2312" w:eastAsia="方正仿宋_GB2312" w:cs="方正仿宋_GB2312"/>
          <w:sz w:val="32"/>
          <w:szCs w:val="32"/>
          <w:u w:val="single"/>
        </w:rPr>
        <w:t xml:space="preserve">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sz w:val="32"/>
          <w:szCs w:val="32"/>
        </w:rPr>
        <w:t>7.1.2</w:t>
      </w: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kern w:val="0"/>
          <w:sz w:val="32"/>
          <w:szCs w:val="32"/>
        </w:rPr>
        <w:t>施工组织设计的提交和修改</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kern w:val="0"/>
          <w:sz w:val="32"/>
          <w:szCs w:val="32"/>
        </w:rPr>
        <w:t>承包人提交详细施工组织设计的期限的约定：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发包人和监理人在收到详细的施工组织设计后确认或提出修改意见的期限：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11" w:name="_Toc2791"/>
      <w:r>
        <w:rPr>
          <w:rFonts w:hint="eastAsia" w:ascii="方正仿宋_GB2312" w:hAnsi="方正仿宋_GB2312" w:eastAsia="方正仿宋_GB2312" w:cs="方正仿宋_GB2312"/>
          <w:color w:val="000000"/>
          <w:sz w:val="32"/>
          <w:szCs w:val="32"/>
        </w:rPr>
        <w:t>7</w:t>
      </w:r>
      <w:bookmarkStart w:id="1212" w:name="_Toc312678005"/>
      <w:bookmarkStart w:id="1213" w:name="_Toc304295541"/>
      <w:bookmarkStart w:id="1214" w:name="_Toc297216173"/>
      <w:bookmarkStart w:id="1215" w:name="_Toc300934966"/>
      <w:bookmarkStart w:id="1216" w:name="_Toc303539123"/>
      <w:bookmarkStart w:id="1217" w:name="_Toc297123514"/>
      <w:bookmarkStart w:id="1218" w:name="_Toc312677479"/>
      <w:r>
        <w:rPr>
          <w:rFonts w:hint="eastAsia" w:ascii="方正仿宋_GB2312" w:hAnsi="方正仿宋_GB2312" w:eastAsia="方正仿宋_GB2312" w:cs="方正仿宋_GB2312"/>
          <w:color w:val="000000"/>
          <w:sz w:val="32"/>
          <w:szCs w:val="32"/>
        </w:rPr>
        <w:t>.2 施工进度计划</w:t>
      </w:r>
      <w:bookmarkEnd w:id="1211"/>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7.2.2 施工进度计划的修订</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发包人和监理人在收到修订的施工进度计划后确认或提出修改意见的期限：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19" w:name="_Toc19641"/>
      <w:r>
        <w:rPr>
          <w:rFonts w:hint="eastAsia" w:ascii="方正仿宋_GB2312" w:hAnsi="方正仿宋_GB2312" w:eastAsia="方正仿宋_GB2312" w:cs="方正仿宋_GB2312"/>
          <w:color w:val="000000"/>
          <w:sz w:val="32"/>
          <w:szCs w:val="32"/>
        </w:rPr>
        <w:t>7.3 开工</w:t>
      </w:r>
      <w:bookmarkEnd w:id="1219"/>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7.3.1 开工准备</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color w:val="000000"/>
          <w:sz w:val="32"/>
          <w:szCs w:val="32"/>
        </w:rPr>
        <w:t>关于承包人提交</w:t>
      </w:r>
      <w:r>
        <w:rPr>
          <w:rFonts w:hint="eastAsia" w:ascii="方正仿宋_GB2312" w:hAnsi="方正仿宋_GB2312" w:eastAsia="方正仿宋_GB2312" w:cs="方正仿宋_GB2312"/>
          <w:color w:val="000000"/>
          <w:kern w:val="0"/>
          <w:sz w:val="32"/>
          <w:szCs w:val="32"/>
        </w:rPr>
        <w:t>工程开工报审表的期限：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关于发包人应完成的其他开工准备工作及期限：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关于承包人应完成的其他开工准备工作及期限：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7.3.2开工通知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因发包人原因造成监理人未能在计划开工日期之日起</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color w:val="000000"/>
          <w:sz w:val="32"/>
          <w:szCs w:val="32"/>
        </w:rPr>
        <w:t>天内发出开工通知的，承包人有权提出价格调整要求，或者解除合同。</w:t>
      </w:r>
    </w:p>
    <w:bookmarkEnd w:id="1212"/>
    <w:bookmarkEnd w:id="1213"/>
    <w:bookmarkEnd w:id="1214"/>
    <w:bookmarkEnd w:id="1215"/>
    <w:bookmarkEnd w:id="1216"/>
    <w:bookmarkEnd w:id="1217"/>
    <w:bookmarkEnd w:id="1218"/>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20" w:name="_Toc22996"/>
      <w:r>
        <w:rPr>
          <w:rFonts w:hint="eastAsia" w:ascii="方正仿宋_GB2312" w:hAnsi="方正仿宋_GB2312" w:eastAsia="方正仿宋_GB2312" w:cs="方正仿宋_GB2312"/>
          <w:color w:val="000000"/>
          <w:sz w:val="32"/>
          <w:szCs w:val="32"/>
        </w:rPr>
        <w:t>7.4 测量放线</w:t>
      </w:r>
      <w:bookmarkEnd w:id="1220"/>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7.4.1发包人通过监理人向承包人提供测量基准点、基准线和水准点及其书面资料的期限：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21" w:name="_Toc3"/>
      <w:r>
        <w:rPr>
          <w:rFonts w:hint="eastAsia" w:ascii="方正仿宋_GB2312" w:hAnsi="方正仿宋_GB2312" w:eastAsia="方正仿宋_GB2312" w:cs="方正仿宋_GB2312"/>
          <w:color w:val="000000"/>
          <w:sz w:val="32"/>
          <w:szCs w:val="32"/>
        </w:rPr>
        <w:t>7</w:t>
      </w:r>
      <w:bookmarkStart w:id="1222" w:name="_Toc304295546"/>
      <w:bookmarkStart w:id="1223" w:name="_Toc297216175"/>
      <w:bookmarkStart w:id="1224" w:name="_Toc300934968"/>
      <w:bookmarkStart w:id="1225" w:name="_Toc312677484"/>
      <w:bookmarkStart w:id="1226" w:name="_Toc303539125"/>
      <w:bookmarkStart w:id="1227" w:name="_Toc297123516"/>
      <w:bookmarkStart w:id="1228" w:name="_Toc312678010"/>
      <w:r>
        <w:rPr>
          <w:rFonts w:hint="eastAsia" w:ascii="方正仿宋_GB2312" w:hAnsi="方正仿宋_GB2312" w:eastAsia="方正仿宋_GB2312" w:cs="方正仿宋_GB2312"/>
          <w:color w:val="000000"/>
          <w:sz w:val="32"/>
          <w:szCs w:val="32"/>
        </w:rPr>
        <w:t>.5 工期延误</w:t>
      </w:r>
      <w:bookmarkEnd w:id="1221"/>
    </w:p>
    <w:bookmarkEnd w:id="1222"/>
    <w:bookmarkEnd w:id="1223"/>
    <w:bookmarkEnd w:id="1224"/>
    <w:bookmarkEnd w:id="1225"/>
    <w:bookmarkEnd w:id="1226"/>
    <w:bookmarkEnd w:id="1227"/>
    <w:bookmarkEnd w:id="1228"/>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7.5.1 因发包人原因导致工期延误</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（7）因发包人原因导致工期延误的其他情形：</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w:t>
      </w:r>
      <w:bookmarkStart w:id="1229" w:name="_Toc318581169"/>
      <w:bookmarkStart w:id="1230" w:name="_Toc312677486"/>
      <w:bookmarkStart w:id="1231" w:name="_Toc312678012"/>
      <w:bookmarkStart w:id="1232" w:name="_Toc300934970"/>
      <w:bookmarkStart w:id="1233" w:name="_Toc303539127"/>
      <w:bookmarkStart w:id="1234" w:name="_Toc297123518"/>
      <w:bookmarkStart w:id="1235" w:name="_Toc304295548"/>
      <w:bookmarkStart w:id="1236" w:name="_Toc297216177"/>
      <w:r>
        <w:rPr>
          <w:rFonts w:hint="eastAsia" w:ascii="方正仿宋_GB2312" w:hAnsi="方正仿宋_GB2312" w:eastAsia="方正仿宋_GB2312" w:cs="方正仿宋_GB2312"/>
          <w:sz w:val="32"/>
          <w:szCs w:val="32"/>
        </w:rPr>
        <w:t>.5.2 因承包人原因导致工期延误</w:t>
      </w:r>
    </w:p>
    <w:bookmarkEnd w:id="1229"/>
    <w:bookmarkEnd w:id="1230"/>
    <w:bookmarkEnd w:id="1231"/>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因</w:t>
      </w:r>
      <w:bookmarkStart w:id="1237" w:name="_Toc312678013"/>
      <w:bookmarkStart w:id="1238" w:name="_Toc312677487"/>
      <w:bookmarkStart w:id="1239" w:name="_Toc318581170"/>
      <w:r>
        <w:rPr>
          <w:rFonts w:hint="eastAsia" w:ascii="方正仿宋_GB2312" w:hAnsi="方正仿宋_GB2312" w:eastAsia="方正仿宋_GB2312" w:cs="方正仿宋_GB2312"/>
          <w:sz w:val="32"/>
          <w:szCs w:val="32"/>
        </w:rPr>
        <w:t>承包人原因造成工期延误，逾期竣工违约金的计算方法为：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bookmarkEnd w:id="1232"/>
      <w:bookmarkEnd w:id="1233"/>
      <w:bookmarkEnd w:id="1234"/>
      <w:bookmarkEnd w:id="1235"/>
      <w:bookmarkEnd w:id="1236"/>
      <w:bookmarkEnd w:id="1237"/>
      <w:bookmarkEnd w:id="1238"/>
    </w:p>
    <w:bookmarkEnd w:id="1239"/>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因承包人原因造成工期延误，逾</w:t>
      </w:r>
      <w:bookmarkStart w:id="1240" w:name="_Toc312678014"/>
      <w:bookmarkStart w:id="1241" w:name="_Toc318581171"/>
      <w:r>
        <w:rPr>
          <w:rFonts w:hint="eastAsia" w:ascii="方正仿宋_GB2312" w:hAnsi="方正仿宋_GB2312" w:eastAsia="方正仿宋_GB2312" w:cs="方正仿宋_GB2312"/>
          <w:sz w:val="32"/>
          <w:szCs w:val="32"/>
        </w:rPr>
        <w:t>期竣工违约金的上限：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eastAsia="zh-CN"/>
        </w:rPr>
        <w:t>。</w:t>
      </w:r>
    </w:p>
    <w:bookmarkEnd w:id="1240"/>
    <w:bookmarkEnd w:id="1241"/>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42" w:name="_Toc5473"/>
      <w:r>
        <w:rPr>
          <w:rFonts w:hint="eastAsia" w:ascii="方正仿宋_GB2312" w:hAnsi="方正仿宋_GB2312" w:eastAsia="方正仿宋_GB2312" w:cs="方正仿宋_GB2312"/>
          <w:color w:val="000000"/>
          <w:sz w:val="32"/>
          <w:szCs w:val="32"/>
        </w:rPr>
        <w:t>7</w:t>
      </w:r>
      <w:bookmarkStart w:id="1243" w:name="_Toc300934971"/>
      <w:bookmarkStart w:id="1244" w:name="_Toc303539128"/>
      <w:bookmarkStart w:id="1245" w:name="_Toc312678015"/>
      <w:bookmarkStart w:id="1246" w:name="_Toc297216178"/>
      <w:bookmarkStart w:id="1247" w:name="_Toc297123519"/>
      <w:bookmarkStart w:id="1248" w:name="_Toc304295549"/>
      <w:r>
        <w:rPr>
          <w:rFonts w:hint="eastAsia" w:ascii="方正仿宋_GB2312" w:hAnsi="方正仿宋_GB2312" w:eastAsia="方正仿宋_GB2312" w:cs="方正仿宋_GB2312"/>
          <w:color w:val="000000"/>
          <w:sz w:val="32"/>
          <w:szCs w:val="32"/>
        </w:rPr>
        <w:t>.6 不</w:t>
      </w:r>
      <w:bookmarkEnd w:id="1243"/>
      <w:bookmarkEnd w:id="1244"/>
      <w:bookmarkEnd w:id="1245"/>
      <w:bookmarkEnd w:id="1246"/>
      <w:bookmarkEnd w:id="1247"/>
      <w:bookmarkEnd w:id="1248"/>
      <w:r>
        <w:rPr>
          <w:rFonts w:hint="eastAsia" w:ascii="方正仿宋_GB2312" w:hAnsi="方正仿宋_GB2312" w:eastAsia="方正仿宋_GB2312" w:cs="方正仿宋_GB2312"/>
          <w:color w:val="000000"/>
          <w:sz w:val="32"/>
          <w:szCs w:val="32"/>
        </w:rPr>
        <w:t>利物质条件</w:t>
      </w:r>
      <w:bookmarkEnd w:id="1242"/>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bookmarkStart w:id="1249" w:name="_Toc318581172"/>
      <w:bookmarkStart w:id="1250" w:name="_Toc297123520"/>
      <w:bookmarkStart w:id="1251" w:name="_Toc304295550"/>
      <w:bookmarkStart w:id="1252" w:name="_Toc297216179"/>
      <w:bookmarkStart w:id="1253" w:name="_Toc312678016"/>
      <w:bookmarkStart w:id="1254" w:name="_Toc303539129"/>
      <w:bookmarkStart w:id="1255" w:name="_Toc300934972"/>
      <w:r>
        <w:rPr>
          <w:rFonts w:hint="eastAsia" w:ascii="方正仿宋_GB2312" w:hAnsi="方正仿宋_GB2312" w:eastAsia="方正仿宋_GB2312" w:cs="方正仿宋_GB2312"/>
          <w:sz w:val="32"/>
          <w:szCs w:val="32"/>
        </w:rPr>
        <w:t>不利物质条件的其他情形和有关约定：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bookmarkEnd w:id="1249"/>
    <w:bookmarkEnd w:id="1250"/>
    <w:bookmarkEnd w:id="1251"/>
    <w:bookmarkEnd w:id="1252"/>
    <w:bookmarkEnd w:id="1253"/>
    <w:bookmarkEnd w:id="1254"/>
    <w:bookmarkEnd w:id="1255"/>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56" w:name="_Toc22248"/>
      <w:r>
        <w:rPr>
          <w:rFonts w:hint="eastAsia" w:ascii="方正仿宋_GB2312" w:hAnsi="方正仿宋_GB2312" w:eastAsia="方正仿宋_GB2312" w:cs="方正仿宋_GB2312"/>
          <w:color w:val="000000"/>
          <w:sz w:val="32"/>
          <w:szCs w:val="32"/>
        </w:rPr>
        <w:t>7</w:t>
      </w:r>
      <w:bookmarkStart w:id="1257" w:name="_Toc300934973"/>
      <w:bookmarkStart w:id="1258" w:name="_Toc304295551"/>
      <w:bookmarkStart w:id="1259" w:name="_Toc297216180"/>
      <w:bookmarkStart w:id="1260" w:name="_Toc303539130"/>
      <w:bookmarkStart w:id="1261" w:name="_Toc312678017"/>
      <w:bookmarkStart w:id="1262" w:name="_Toc297123521"/>
      <w:r>
        <w:rPr>
          <w:rFonts w:hint="eastAsia" w:ascii="方正仿宋_GB2312" w:hAnsi="方正仿宋_GB2312" w:eastAsia="方正仿宋_GB2312" w:cs="方正仿宋_GB2312"/>
          <w:color w:val="000000"/>
          <w:sz w:val="32"/>
          <w:szCs w:val="32"/>
        </w:rPr>
        <w:t>.7异常恶劣的气候条件</w:t>
      </w:r>
      <w:bookmarkEnd w:id="1256"/>
    </w:p>
    <w:bookmarkEnd w:id="1257"/>
    <w:bookmarkEnd w:id="1258"/>
    <w:bookmarkEnd w:id="1259"/>
    <w:bookmarkEnd w:id="1260"/>
    <w:bookmarkEnd w:id="1261"/>
    <w:bookmarkEnd w:id="1262"/>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发包人和承包人同意以下情形视为异常恶劣的气候条件：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63" w:name="_Toc28025"/>
      <w:bookmarkStart w:id="1264" w:name="_Toc10982"/>
      <w:r>
        <w:rPr>
          <w:rFonts w:hint="eastAsia" w:ascii="方正仿宋_GB2312" w:hAnsi="方正仿宋_GB2312" w:eastAsia="方正仿宋_GB2312" w:cs="方正仿宋_GB2312"/>
          <w:color w:val="000000"/>
          <w:sz w:val="32"/>
          <w:szCs w:val="32"/>
        </w:rPr>
        <w:t>7.9 提前竣工的奖励</w:t>
      </w:r>
      <w:bookmarkEnd w:id="1263"/>
      <w:bookmarkEnd w:id="1264"/>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7.9.2提前竣工的奖励：</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265" w:name="_Toc886"/>
      <w:bookmarkStart w:id="1266" w:name="_Toc31019"/>
      <w:bookmarkStart w:id="1267" w:name="_Toc29816"/>
      <w:r>
        <w:rPr>
          <w:rFonts w:hint="eastAsia" w:ascii="方正仿宋_GB2312" w:hAnsi="方正仿宋_GB2312" w:eastAsia="方正仿宋_GB2312" w:cs="方正仿宋_GB2312"/>
          <w:b w:val="0"/>
          <w:color w:val="000000"/>
          <w:sz w:val="32"/>
          <w:szCs w:val="32"/>
        </w:rPr>
        <w:t>8. 材料与设备</w:t>
      </w:r>
      <w:bookmarkEnd w:id="1265"/>
      <w:bookmarkEnd w:id="1266"/>
      <w:bookmarkEnd w:id="1267"/>
    </w:p>
    <w:bookmarkEnd w:id="1182"/>
    <w:bookmarkEnd w:id="1183"/>
    <w:bookmarkEnd w:id="1184"/>
    <w:bookmarkEnd w:id="1185"/>
    <w:bookmarkEnd w:id="1186"/>
    <w:bookmarkEnd w:id="1187"/>
    <w:bookmarkEnd w:id="1188"/>
    <w:bookmarkEnd w:id="1189"/>
    <w:bookmarkEnd w:id="1190"/>
    <w:bookmarkEnd w:id="1191"/>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268" w:name="_Toc28053"/>
      <w:r>
        <w:rPr>
          <w:rFonts w:hint="eastAsia" w:ascii="方正仿宋_GB2312" w:hAnsi="方正仿宋_GB2312" w:eastAsia="方正仿宋_GB2312" w:cs="方正仿宋_GB2312"/>
          <w:color w:val="000000"/>
          <w:sz w:val="32"/>
          <w:szCs w:val="32"/>
        </w:rPr>
        <w:t>8</w:t>
      </w:r>
      <w:bookmarkStart w:id="1269" w:name="_Toc280868654"/>
      <w:bookmarkStart w:id="1270" w:name="_Toc296890995"/>
      <w:bookmarkStart w:id="1271" w:name="_Toc312678019"/>
      <w:bookmarkStart w:id="1272" w:name="_Toc296944506"/>
      <w:bookmarkStart w:id="1273" w:name="_Toc296346668"/>
      <w:bookmarkStart w:id="1274" w:name="_Toc304295556"/>
      <w:bookmarkStart w:id="1275" w:name="_Toc297120467"/>
      <w:bookmarkStart w:id="1276" w:name="_Toc297123527"/>
      <w:bookmarkStart w:id="1277" w:name="_Toc297048353"/>
      <w:bookmarkStart w:id="1278" w:name="_Toc292559877"/>
      <w:bookmarkStart w:id="1279" w:name="_Toc297216186"/>
      <w:bookmarkStart w:id="1280" w:name="_Toc292559372"/>
      <w:bookmarkStart w:id="1281" w:name="_Toc296503167"/>
      <w:bookmarkStart w:id="1282" w:name="_Toc300934979"/>
      <w:bookmarkStart w:id="1283" w:name="_Toc312677493"/>
      <w:bookmarkStart w:id="1284" w:name="_Toc296891207"/>
      <w:bookmarkStart w:id="1285" w:name="_Toc303539136"/>
      <w:bookmarkStart w:id="1286" w:name="_Toc296347166"/>
      <w:bookmarkStart w:id="1287" w:name="_Toc280868656"/>
      <w:bookmarkStart w:id="1288" w:name="_Toc267251424"/>
      <w:bookmarkStart w:id="1289" w:name="_Toc280868655"/>
      <w:r>
        <w:rPr>
          <w:rFonts w:hint="eastAsia" w:ascii="方正仿宋_GB2312" w:hAnsi="方正仿宋_GB2312" w:eastAsia="方正仿宋_GB2312" w:cs="方正仿宋_GB2312"/>
          <w:color w:val="000000"/>
          <w:sz w:val="32"/>
          <w:szCs w:val="32"/>
        </w:rPr>
        <w:t>.4材料与工程设备的保管与使用</w:t>
      </w:r>
      <w:bookmarkEnd w:id="1268"/>
    </w:p>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w:t>
      </w:r>
      <w:bookmarkStart w:id="1290" w:name="_Toc292559373"/>
      <w:bookmarkStart w:id="1291" w:name="_Toc292559878"/>
      <w:bookmarkStart w:id="1292" w:name="_Toc318581173"/>
      <w:bookmarkStart w:id="1293" w:name="_Toc312677494"/>
      <w:bookmarkStart w:id="1294" w:name="_Toc296347167"/>
      <w:bookmarkStart w:id="1295" w:name="_Toc296891208"/>
      <w:bookmarkStart w:id="1296" w:name="_Toc296503168"/>
      <w:bookmarkStart w:id="1297" w:name="_Toc297123528"/>
      <w:bookmarkStart w:id="1298" w:name="_Toc296346669"/>
      <w:bookmarkStart w:id="1299" w:name="_Toc297120468"/>
      <w:bookmarkStart w:id="1300" w:name="_Toc296944507"/>
      <w:bookmarkStart w:id="1301" w:name="_Toc312678020"/>
      <w:bookmarkStart w:id="1302" w:name="_Toc297216187"/>
      <w:bookmarkStart w:id="1303" w:name="_Toc296890996"/>
      <w:bookmarkStart w:id="1304" w:name="_Toc303539137"/>
      <w:bookmarkStart w:id="1305" w:name="_Toc297048354"/>
      <w:bookmarkStart w:id="1306" w:name="_Toc304295557"/>
      <w:bookmarkStart w:id="1307" w:name="_Toc300934980"/>
      <w:r>
        <w:rPr>
          <w:rFonts w:hint="eastAsia" w:ascii="方正仿宋_GB2312" w:hAnsi="方正仿宋_GB2312" w:eastAsia="方正仿宋_GB2312" w:cs="方正仿宋_GB2312"/>
          <w:sz w:val="32"/>
          <w:szCs w:val="32"/>
        </w:rPr>
        <w:t>.4.1发包人供应的材料设备的保管费用的承担：</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bookmarkEnd w:id="1290"/>
      <w:bookmarkEnd w:id="1291"/>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308" w:name="_Toc20247"/>
      <w:bookmarkStart w:id="1309" w:name="_Toc30921"/>
      <w:r>
        <w:rPr>
          <w:rFonts w:hint="eastAsia" w:ascii="方正仿宋_GB2312" w:hAnsi="方正仿宋_GB2312" w:eastAsia="方正仿宋_GB2312" w:cs="方正仿宋_GB2312"/>
          <w:color w:val="000000"/>
          <w:sz w:val="32"/>
          <w:szCs w:val="32"/>
        </w:rPr>
        <w:t>8.6 样品</w:t>
      </w:r>
      <w:bookmarkEnd w:id="1308"/>
      <w:bookmarkEnd w:id="1309"/>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8.6.1样品的报送与封存</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kern w:val="0"/>
          <w:sz w:val="32"/>
          <w:szCs w:val="32"/>
        </w:rPr>
        <w:t>需要承包人报送样品的材料或工程设备，样品的种类、名称、规格、数量要求：</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310" w:name="_Toc20741"/>
      <w:bookmarkStart w:id="1311" w:name="_Toc31410"/>
      <w:r>
        <w:rPr>
          <w:rFonts w:hint="eastAsia" w:ascii="方正仿宋_GB2312" w:hAnsi="方正仿宋_GB2312" w:eastAsia="方正仿宋_GB2312" w:cs="方正仿宋_GB2312"/>
          <w:color w:val="000000"/>
          <w:sz w:val="32"/>
          <w:szCs w:val="32"/>
        </w:rPr>
        <w:t>8.8 施工设备和临时设施</w:t>
      </w:r>
      <w:bookmarkEnd w:id="1310"/>
      <w:bookmarkEnd w:id="1311"/>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8.8.1 承包人提供的施工设备和临时设施</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关于修建临时设施费用承担的约定：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312" w:name="_Toc24857"/>
      <w:bookmarkStart w:id="1313" w:name="_Toc315"/>
      <w:bookmarkStart w:id="1314" w:name="_Toc3862"/>
      <w:r>
        <w:rPr>
          <w:rFonts w:hint="eastAsia" w:ascii="方正仿宋_GB2312" w:hAnsi="方正仿宋_GB2312" w:eastAsia="方正仿宋_GB2312" w:cs="方正仿宋_GB2312"/>
          <w:b w:val="0"/>
          <w:color w:val="000000"/>
          <w:sz w:val="32"/>
          <w:szCs w:val="32"/>
        </w:rPr>
        <w:t>9</w:t>
      </w:r>
      <w:bookmarkEnd w:id="1287"/>
      <w:bookmarkEnd w:id="1288"/>
      <w:bookmarkEnd w:id="1289"/>
      <w:bookmarkStart w:id="1315" w:name="_Toc304295559"/>
      <w:bookmarkStart w:id="1316" w:name="_Toc297123533"/>
      <w:bookmarkStart w:id="1317" w:name="_Toc312677495"/>
      <w:bookmarkStart w:id="1318" w:name="_Toc297216192"/>
      <w:bookmarkStart w:id="1319" w:name="_Toc312678021"/>
      <w:bookmarkStart w:id="1320" w:name="_Toc303539139"/>
      <w:bookmarkStart w:id="1321" w:name="_Toc300934982"/>
      <w:bookmarkStart w:id="1322" w:name="_Toc292559378"/>
      <w:bookmarkStart w:id="1323" w:name="_Toc296891001"/>
      <w:bookmarkStart w:id="1324" w:name="_Toc296347172"/>
      <w:bookmarkStart w:id="1325" w:name="_Toc296346674"/>
      <w:bookmarkStart w:id="1326" w:name="_Toc267251428"/>
      <w:bookmarkStart w:id="1327" w:name="_Toc296944512"/>
      <w:bookmarkStart w:id="1328" w:name="_Toc296891213"/>
      <w:bookmarkStart w:id="1329" w:name="_Toc297120473"/>
      <w:bookmarkStart w:id="1330" w:name="_Toc296503173"/>
      <w:bookmarkStart w:id="1331" w:name="_Toc267251427"/>
      <w:bookmarkStart w:id="1332" w:name="_Toc297048359"/>
      <w:bookmarkStart w:id="1333" w:name="_Toc292559883"/>
      <w:r>
        <w:rPr>
          <w:rFonts w:hint="eastAsia" w:ascii="方正仿宋_GB2312" w:hAnsi="方正仿宋_GB2312" w:eastAsia="方正仿宋_GB2312" w:cs="方正仿宋_GB2312"/>
          <w:b w:val="0"/>
          <w:color w:val="000000"/>
          <w:sz w:val="32"/>
          <w:szCs w:val="32"/>
        </w:rPr>
        <w:t>. 试验与检验</w:t>
      </w:r>
      <w:bookmarkEnd w:id="1312"/>
      <w:bookmarkEnd w:id="1313"/>
      <w:bookmarkEnd w:id="1314"/>
    </w:p>
    <w:bookmarkEnd w:id="1315"/>
    <w:bookmarkEnd w:id="1316"/>
    <w:bookmarkEnd w:id="1317"/>
    <w:bookmarkEnd w:id="1318"/>
    <w:bookmarkEnd w:id="1319"/>
    <w:bookmarkEnd w:id="1320"/>
    <w:bookmarkEnd w:id="1321"/>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334" w:name="_Toc4743"/>
      <w:r>
        <w:rPr>
          <w:rFonts w:hint="eastAsia" w:ascii="方正仿宋_GB2312" w:hAnsi="方正仿宋_GB2312" w:eastAsia="方正仿宋_GB2312" w:cs="方正仿宋_GB2312"/>
          <w:color w:val="000000"/>
          <w:sz w:val="32"/>
          <w:szCs w:val="32"/>
        </w:rPr>
        <w:t>9</w:t>
      </w:r>
      <w:bookmarkStart w:id="1335" w:name="_Toc297123534"/>
      <w:bookmarkStart w:id="1336" w:name="_Toc300934983"/>
      <w:bookmarkStart w:id="1337" w:name="_Toc297216193"/>
      <w:bookmarkStart w:id="1338" w:name="_Toc303539140"/>
      <w:bookmarkStart w:id="1339" w:name="_Toc312677496"/>
      <w:bookmarkStart w:id="1340" w:name="_Toc304295560"/>
      <w:bookmarkStart w:id="1341" w:name="_Toc312678022"/>
      <w:r>
        <w:rPr>
          <w:rFonts w:hint="eastAsia" w:ascii="方正仿宋_GB2312" w:hAnsi="方正仿宋_GB2312" w:eastAsia="方正仿宋_GB2312" w:cs="方正仿宋_GB2312"/>
          <w:color w:val="000000"/>
          <w:sz w:val="32"/>
          <w:szCs w:val="32"/>
        </w:rPr>
        <w:t>.1试验设备与试验人员</w:t>
      </w:r>
      <w:bookmarkEnd w:id="1334"/>
    </w:p>
    <w:bookmarkEnd w:id="1335"/>
    <w:bookmarkEnd w:id="1336"/>
    <w:bookmarkEnd w:id="1337"/>
    <w:bookmarkEnd w:id="1338"/>
    <w:bookmarkEnd w:id="1339"/>
    <w:bookmarkEnd w:id="1340"/>
    <w:bookmarkEnd w:id="1341"/>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9</w:t>
      </w:r>
      <w:bookmarkStart w:id="1342" w:name="_Toc300934984"/>
      <w:bookmarkStart w:id="1343" w:name="_Toc312677497"/>
      <w:bookmarkStart w:id="1344" w:name="_Toc297216194"/>
      <w:bookmarkStart w:id="1345" w:name="_Toc297123535"/>
      <w:bookmarkStart w:id="1346" w:name="_Toc304295561"/>
      <w:bookmarkStart w:id="1347" w:name="_Toc303539141"/>
      <w:bookmarkStart w:id="1348" w:name="_Toc312678023"/>
      <w:bookmarkStart w:id="1349" w:name="_Toc318581174"/>
      <w:r>
        <w:rPr>
          <w:rFonts w:hint="eastAsia" w:ascii="方正仿宋_GB2312" w:hAnsi="方正仿宋_GB2312" w:eastAsia="方正仿宋_GB2312" w:cs="方正仿宋_GB2312"/>
          <w:sz w:val="32"/>
          <w:szCs w:val="32"/>
        </w:rPr>
        <w:t>.1.2 试验设备</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施工现场需要配置的试验场所：</w:t>
      </w:r>
      <w:bookmarkEnd w:id="1342"/>
      <w:bookmarkEnd w:id="1343"/>
      <w:bookmarkEnd w:id="1344"/>
      <w:bookmarkEnd w:id="1345"/>
      <w:bookmarkEnd w:id="1346"/>
      <w:bookmarkEnd w:id="1347"/>
      <w:bookmarkEnd w:id="1348"/>
      <w:bookmarkStart w:id="1350" w:name="_Toc300934985"/>
      <w:bookmarkStart w:id="1351" w:name="_Toc303539142"/>
      <w:bookmarkStart w:id="1352" w:name="_Toc312678024"/>
      <w:bookmarkStart w:id="1353" w:name="_Toc304295562"/>
      <w:bookmarkStart w:id="1354" w:name="_Toc312677498"/>
      <w:bookmarkStart w:id="1355" w:name="_Toc297216195"/>
      <w:bookmarkStart w:id="1356" w:name="_Toc297123536"/>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eastAsia="zh-CN"/>
        </w:rPr>
        <w:t>。</w:t>
      </w:r>
      <w:r>
        <w:rPr>
          <w:rFonts w:hint="eastAsia" w:ascii="方正仿宋_GB2312" w:hAnsi="方正仿宋_GB2312" w:eastAsia="方正仿宋_GB2312" w:cs="方正仿宋_GB2312"/>
          <w:sz w:val="32"/>
          <w:szCs w:val="32"/>
          <w:u w:val="single"/>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施工现场需要配备的试验设备：</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施工现场需要具备的其他试验条件：</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357" w:name="_Toc29742"/>
      <w:bookmarkStart w:id="1358" w:name="_Toc21193"/>
      <w:r>
        <w:rPr>
          <w:rFonts w:hint="eastAsia" w:ascii="方正仿宋_GB2312" w:hAnsi="方正仿宋_GB2312" w:eastAsia="方正仿宋_GB2312" w:cs="方正仿宋_GB2312"/>
          <w:color w:val="000000"/>
          <w:sz w:val="32"/>
          <w:szCs w:val="32"/>
        </w:rPr>
        <w:t>9.4 现场工艺试验</w:t>
      </w:r>
      <w:bookmarkEnd w:id="1357"/>
      <w:bookmarkEnd w:id="1358"/>
      <w:r>
        <w:rPr>
          <w:rFonts w:hint="eastAsia" w:ascii="方正仿宋_GB2312" w:hAnsi="方正仿宋_GB2312" w:eastAsia="方正仿宋_GB2312" w:cs="方正仿宋_GB2312"/>
          <w:color w:val="000000"/>
          <w:sz w:val="32"/>
          <w:szCs w:val="32"/>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现场工艺试验的有关约定：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bookmarkEnd w:id="1349"/>
    <w:bookmarkEnd w:id="1350"/>
    <w:bookmarkEnd w:id="1351"/>
    <w:bookmarkEnd w:id="1352"/>
    <w:bookmarkEnd w:id="1353"/>
    <w:bookmarkEnd w:id="1354"/>
    <w:bookmarkEnd w:id="1355"/>
    <w:bookmarkEnd w:id="1356"/>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359" w:name="_Toc8772"/>
      <w:bookmarkStart w:id="1360" w:name="_Toc26560"/>
      <w:bookmarkStart w:id="1361" w:name="_Toc24558"/>
      <w:r>
        <w:rPr>
          <w:rFonts w:hint="eastAsia" w:ascii="方正仿宋_GB2312" w:hAnsi="方正仿宋_GB2312" w:eastAsia="方正仿宋_GB2312" w:cs="方正仿宋_GB2312"/>
          <w:b w:val="0"/>
          <w:color w:val="000000"/>
          <w:sz w:val="32"/>
          <w:szCs w:val="32"/>
        </w:rPr>
        <w:t>1</w:t>
      </w:r>
      <w:bookmarkEnd w:id="1322"/>
      <w:bookmarkEnd w:id="1323"/>
      <w:bookmarkEnd w:id="1324"/>
      <w:bookmarkEnd w:id="1325"/>
      <w:bookmarkEnd w:id="1326"/>
      <w:bookmarkEnd w:id="1327"/>
      <w:bookmarkEnd w:id="1328"/>
      <w:bookmarkEnd w:id="1329"/>
      <w:bookmarkEnd w:id="1330"/>
      <w:bookmarkEnd w:id="1331"/>
      <w:bookmarkEnd w:id="1332"/>
      <w:bookmarkEnd w:id="1333"/>
      <w:bookmarkStart w:id="1362" w:name="_Toc296346694"/>
      <w:bookmarkStart w:id="1363" w:name="_Toc297216199"/>
      <w:bookmarkStart w:id="1364" w:name="_Toc296891233"/>
      <w:bookmarkStart w:id="1365" w:name="_Toc303539146"/>
      <w:bookmarkStart w:id="1366" w:name="_Toc296891021"/>
      <w:bookmarkStart w:id="1367" w:name="_Toc297048379"/>
      <w:bookmarkStart w:id="1368" w:name="_Toc292559398"/>
      <w:bookmarkStart w:id="1369" w:name="_Toc304295566"/>
      <w:bookmarkStart w:id="1370" w:name="_Toc297123540"/>
      <w:bookmarkStart w:id="1371" w:name="_Toc292559903"/>
      <w:bookmarkStart w:id="1372" w:name="_Toc296503193"/>
      <w:bookmarkStart w:id="1373" w:name="_Toc300934989"/>
      <w:bookmarkStart w:id="1374" w:name="_Toc297120493"/>
      <w:bookmarkStart w:id="1375" w:name="_Toc296347192"/>
      <w:bookmarkStart w:id="1376" w:name="_Toc296944532"/>
      <w:bookmarkStart w:id="1377" w:name="_Toc312678025"/>
      <w:bookmarkStart w:id="1378" w:name="_Toc312677499"/>
      <w:bookmarkStart w:id="1379" w:name="_Toc267251433"/>
      <w:bookmarkStart w:id="1380" w:name="_Toc267251441"/>
      <w:bookmarkStart w:id="1381" w:name="_Toc267251437"/>
      <w:bookmarkStart w:id="1382" w:name="_Toc267251435"/>
      <w:bookmarkStart w:id="1383" w:name="_Toc267251440"/>
      <w:bookmarkStart w:id="1384" w:name="_Toc267251439"/>
      <w:bookmarkStart w:id="1385" w:name="_Toc267251442"/>
      <w:r>
        <w:rPr>
          <w:rFonts w:hint="eastAsia" w:ascii="方正仿宋_GB2312" w:hAnsi="方正仿宋_GB2312" w:eastAsia="方正仿宋_GB2312" w:cs="方正仿宋_GB2312"/>
          <w:b w:val="0"/>
          <w:color w:val="000000"/>
          <w:sz w:val="32"/>
          <w:szCs w:val="32"/>
        </w:rPr>
        <w:t>0. 变更</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bookmarkEnd w:id="1377"/>
    <w:bookmarkEnd w:id="1378"/>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386" w:name="_Toc20761"/>
      <w:r>
        <w:rPr>
          <w:rFonts w:hint="eastAsia" w:ascii="方正仿宋_GB2312" w:hAnsi="方正仿宋_GB2312" w:eastAsia="方正仿宋_GB2312" w:cs="方正仿宋_GB2312"/>
          <w:color w:val="000000"/>
          <w:sz w:val="32"/>
          <w:szCs w:val="32"/>
        </w:rPr>
        <w:t>1</w:t>
      </w:r>
      <w:bookmarkStart w:id="1387" w:name="_Toc296891234"/>
      <w:bookmarkStart w:id="1388" w:name="_Toc292559904"/>
      <w:bookmarkStart w:id="1389" w:name="_Toc297123541"/>
      <w:bookmarkStart w:id="1390" w:name="_Toc312678026"/>
      <w:bookmarkStart w:id="1391" w:name="_Toc312677500"/>
      <w:bookmarkStart w:id="1392" w:name="_Toc296944533"/>
      <w:bookmarkStart w:id="1393" w:name="_Toc296347193"/>
      <w:bookmarkStart w:id="1394" w:name="_Toc292559399"/>
      <w:bookmarkStart w:id="1395" w:name="_Toc303539147"/>
      <w:bookmarkStart w:id="1396" w:name="_Toc297216200"/>
      <w:bookmarkStart w:id="1397" w:name="_Toc304295567"/>
      <w:bookmarkStart w:id="1398" w:name="_Toc297048380"/>
      <w:bookmarkStart w:id="1399" w:name="_Toc297120494"/>
      <w:bookmarkStart w:id="1400" w:name="_Toc296503194"/>
      <w:bookmarkStart w:id="1401" w:name="_Toc300934990"/>
      <w:bookmarkStart w:id="1402" w:name="_Toc296346695"/>
      <w:bookmarkStart w:id="1403" w:name="_Toc296891022"/>
      <w:r>
        <w:rPr>
          <w:rFonts w:hint="eastAsia" w:ascii="方正仿宋_GB2312" w:hAnsi="方正仿宋_GB2312" w:eastAsia="方正仿宋_GB2312" w:cs="方正仿宋_GB2312"/>
          <w:color w:val="000000"/>
          <w:sz w:val="32"/>
          <w:szCs w:val="32"/>
        </w:rPr>
        <w:t>0.1变更的范围</w:t>
      </w:r>
      <w:bookmarkEnd w:id="1386"/>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关于变更的范围的约定：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404" w:name="_Toc24582"/>
      <w:bookmarkStart w:id="1405" w:name="_Toc29554"/>
      <w:r>
        <w:rPr>
          <w:rFonts w:hint="eastAsia" w:ascii="方正仿宋_GB2312" w:hAnsi="方正仿宋_GB2312" w:eastAsia="方正仿宋_GB2312" w:cs="方正仿宋_GB2312"/>
          <w:color w:val="000000"/>
          <w:sz w:val="32"/>
          <w:szCs w:val="32"/>
        </w:rPr>
        <w:t>10.4 变更估价</w:t>
      </w:r>
      <w:bookmarkEnd w:id="1404"/>
      <w:bookmarkEnd w:id="1405"/>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10.4.1 变更估价原则</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关于变更估价的约定: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406" w:name="_Toc18245"/>
      <w:r>
        <w:rPr>
          <w:rFonts w:hint="eastAsia" w:ascii="方正仿宋_GB2312" w:hAnsi="方正仿宋_GB2312" w:eastAsia="方正仿宋_GB2312" w:cs="方正仿宋_GB2312"/>
          <w:color w:val="000000"/>
          <w:sz w:val="32"/>
          <w:szCs w:val="32"/>
        </w:rPr>
        <w:t>1</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Start w:id="1407" w:name="_Toc297123544"/>
      <w:bookmarkStart w:id="1408" w:name="_Toc296503197"/>
      <w:bookmarkStart w:id="1409" w:name="_Toc296347196"/>
      <w:bookmarkStart w:id="1410" w:name="_Toc292559402"/>
      <w:bookmarkStart w:id="1411" w:name="_Toc300934993"/>
      <w:bookmarkStart w:id="1412" w:name="_Toc292559907"/>
      <w:bookmarkStart w:id="1413" w:name="_Toc303539150"/>
      <w:bookmarkStart w:id="1414" w:name="_Toc297120497"/>
      <w:bookmarkStart w:id="1415" w:name="_Toc297216203"/>
      <w:bookmarkStart w:id="1416" w:name="_Toc296891025"/>
      <w:bookmarkStart w:id="1417" w:name="_Toc297048383"/>
      <w:bookmarkStart w:id="1418" w:name="_Toc296346698"/>
      <w:bookmarkStart w:id="1419" w:name="_Toc296891237"/>
      <w:bookmarkStart w:id="1420" w:name="_Toc296944536"/>
      <w:bookmarkStart w:id="1421" w:name="_Toc304295570"/>
      <w:bookmarkStart w:id="1422" w:name="_Toc312678029"/>
      <w:bookmarkStart w:id="1423" w:name="_Toc312677503"/>
      <w:r>
        <w:rPr>
          <w:rFonts w:hint="eastAsia" w:ascii="方正仿宋_GB2312" w:hAnsi="方正仿宋_GB2312" w:eastAsia="方正仿宋_GB2312" w:cs="方正仿宋_GB2312"/>
          <w:color w:val="000000"/>
          <w:sz w:val="32"/>
          <w:szCs w:val="32"/>
        </w:rPr>
        <w:t>0.5承</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Start w:id="1424" w:name="_Toc292559913"/>
      <w:bookmarkStart w:id="1425" w:name="_Toc292559408"/>
      <w:bookmarkStart w:id="1426" w:name="_Toc296346704"/>
      <w:bookmarkStart w:id="1427" w:name="_Toc296891031"/>
      <w:bookmarkStart w:id="1428" w:name="_Toc303539151"/>
      <w:bookmarkStart w:id="1429" w:name="_Toc300934994"/>
      <w:bookmarkStart w:id="1430" w:name="_Toc296503203"/>
      <w:bookmarkStart w:id="1431" w:name="_Toc297123545"/>
      <w:bookmarkStart w:id="1432" w:name="_Toc297216204"/>
      <w:bookmarkStart w:id="1433" w:name="_Toc296944542"/>
      <w:bookmarkStart w:id="1434" w:name="_Toc296891243"/>
      <w:bookmarkStart w:id="1435" w:name="_Toc297048389"/>
      <w:bookmarkStart w:id="1436" w:name="_Toc296347202"/>
      <w:bookmarkStart w:id="1437" w:name="_Toc297120503"/>
      <w:r>
        <w:rPr>
          <w:rFonts w:hint="eastAsia" w:ascii="方正仿宋_GB2312" w:hAnsi="方正仿宋_GB2312" w:eastAsia="方正仿宋_GB2312" w:cs="方正仿宋_GB2312"/>
          <w:color w:val="000000"/>
          <w:sz w:val="32"/>
          <w:szCs w:val="32"/>
        </w:rPr>
        <w:t>包人的合理化建议</w:t>
      </w:r>
      <w:bookmarkEnd w:id="1406"/>
    </w:p>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监理人审查承包人合理化建议的期限：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发包人审批承包人合理化建议的期限：</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承</w:t>
      </w:r>
      <w:bookmarkStart w:id="1438" w:name="_Toc312677504"/>
      <w:bookmarkStart w:id="1439" w:name="_Toc296347203"/>
      <w:bookmarkStart w:id="1440" w:name="_Toc304295571"/>
      <w:bookmarkStart w:id="1441" w:name="_Toc297048390"/>
      <w:bookmarkStart w:id="1442" w:name="_Toc296346705"/>
      <w:bookmarkStart w:id="1443" w:name="_Toc296944543"/>
      <w:bookmarkStart w:id="1444" w:name="_Toc296891244"/>
      <w:bookmarkStart w:id="1445" w:name="_Toc292559409"/>
      <w:bookmarkStart w:id="1446" w:name="_Toc297216205"/>
      <w:bookmarkStart w:id="1447" w:name="_Toc303539152"/>
      <w:bookmarkStart w:id="1448" w:name="_Toc297123546"/>
      <w:bookmarkStart w:id="1449" w:name="_Toc300934995"/>
      <w:bookmarkStart w:id="1450" w:name="_Toc296503204"/>
      <w:bookmarkStart w:id="1451" w:name="_Toc312678030"/>
      <w:bookmarkStart w:id="1452" w:name="_Toc318581175"/>
      <w:bookmarkStart w:id="1453" w:name="_Toc297120504"/>
      <w:bookmarkStart w:id="1454" w:name="_Toc296891032"/>
      <w:bookmarkStart w:id="1455" w:name="_Toc292559914"/>
      <w:r>
        <w:rPr>
          <w:rFonts w:hint="eastAsia" w:ascii="方正仿宋_GB2312" w:hAnsi="方正仿宋_GB2312" w:eastAsia="方正仿宋_GB2312" w:cs="方正仿宋_GB2312"/>
          <w:sz w:val="32"/>
          <w:szCs w:val="32"/>
        </w:rPr>
        <w:t>包人提出的合理化建议降低了合同价格或者提高了工程经济效益的奖励的方法和金额为：</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456" w:name="_Toc13989"/>
      <w:bookmarkStart w:id="1457" w:name="_Toc31051"/>
      <w:r>
        <w:rPr>
          <w:rFonts w:hint="eastAsia" w:ascii="方正仿宋_GB2312" w:hAnsi="方正仿宋_GB2312" w:eastAsia="方正仿宋_GB2312" w:cs="方正仿宋_GB2312"/>
          <w:color w:val="000000"/>
          <w:sz w:val="32"/>
          <w:szCs w:val="32"/>
        </w:rPr>
        <w:t>1</w:t>
      </w:r>
      <w:bookmarkStart w:id="1458" w:name="_Toc296891239"/>
      <w:bookmarkStart w:id="1459" w:name="_Toc297216207"/>
      <w:bookmarkStart w:id="1460" w:name="_Toc312678033"/>
      <w:bookmarkStart w:id="1461" w:name="_Toc300934997"/>
      <w:bookmarkStart w:id="1462" w:name="_Toc297048385"/>
      <w:bookmarkStart w:id="1463" w:name="_Toc296503199"/>
      <w:bookmarkStart w:id="1464" w:name="_Toc297123548"/>
      <w:bookmarkStart w:id="1465" w:name="_Toc292559404"/>
      <w:bookmarkStart w:id="1466" w:name="_Toc297120499"/>
      <w:bookmarkStart w:id="1467" w:name="_Toc296346700"/>
      <w:bookmarkStart w:id="1468" w:name="_Toc303539154"/>
      <w:bookmarkStart w:id="1469" w:name="_Toc304295574"/>
      <w:bookmarkStart w:id="1470" w:name="_Toc296944538"/>
      <w:bookmarkStart w:id="1471" w:name="_Toc292559909"/>
      <w:bookmarkStart w:id="1472" w:name="_Toc312677507"/>
      <w:bookmarkStart w:id="1473" w:name="_Toc296891027"/>
      <w:bookmarkStart w:id="1474" w:name="_Toc296347198"/>
      <w:r>
        <w:rPr>
          <w:rFonts w:hint="eastAsia" w:ascii="方正仿宋_GB2312" w:hAnsi="方正仿宋_GB2312" w:eastAsia="方正仿宋_GB2312" w:cs="方正仿宋_GB2312"/>
          <w:color w:val="000000"/>
          <w:sz w:val="32"/>
          <w:szCs w:val="32"/>
        </w:rPr>
        <w:t>0.7 暂估价</w:t>
      </w:r>
      <w:bookmarkEnd w:id="1456"/>
      <w:bookmarkEnd w:id="1457"/>
    </w:p>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0"/>
          <w:sz w:val="32"/>
          <w:szCs w:val="32"/>
        </w:rPr>
        <w:t>暂</w:t>
      </w:r>
      <w:bookmarkStart w:id="1475" w:name="_Toc312677508"/>
      <w:bookmarkStart w:id="1476" w:name="_Toc312678034"/>
      <w:bookmarkStart w:id="1477" w:name="_Toc318581176"/>
      <w:r>
        <w:rPr>
          <w:rFonts w:hint="eastAsia" w:ascii="方正仿宋_GB2312" w:hAnsi="方正仿宋_GB2312" w:eastAsia="方正仿宋_GB2312" w:cs="方正仿宋_GB2312"/>
          <w:kern w:val="0"/>
          <w:sz w:val="32"/>
          <w:szCs w:val="32"/>
        </w:rPr>
        <w:t>估价材料和工程设备的明细详见附件11：《</w:t>
      </w:r>
      <w:r>
        <w:rPr>
          <w:rFonts w:hint="eastAsia" w:ascii="方正仿宋_GB2312" w:hAnsi="方正仿宋_GB2312" w:eastAsia="方正仿宋_GB2312" w:cs="方正仿宋_GB2312"/>
          <w:color w:val="000000"/>
          <w:sz w:val="32"/>
          <w:szCs w:val="32"/>
        </w:rPr>
        <w:t>暂估价一览表》</w:t>
      </w:r>
      <w:r>
        <w:rPr>
          <w:rFonts w:hint="eastAsia" w:ascii="方正仿宋_GB2312" w:hAnsi="方正仿宋_GB2312" w:eastAsia="方正仿宋_GB2312" w:cs="方正仿宋_GB2312"/>
          <w:kern w:val="0"/>
          <w:sz w:val="32"/>
          <w:szCs w:val="32"/>
        </w:rPr>
        <w:t>。</w:t>
      </w:r>
    </w:p>
    <w:bookmarkEnd w:id="1475"/>
    <w:bookmarkEnd w:id="1476"/>
    <w:bookmarkEnd w:id="1477"/>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bookmarkStart w:id="1478" w:name="_Toc312677509"/>
      <w:bookmarkStart w:id="1479" w:name="_Toc318581177"/>
      <w:bookmarkStart w:id="1480" w:name="_Toc312678035"/>
      <w:r>
        <w:rPr>
          <w:rFonts w:hint="eastAsia" w:ascii="方正仿宋_GB2312" w:hAnsi="方正仿宋_GB2312" w:eastAsia="方正仿宋_GB2312" w:cs="方正仿宋_GB2312"/>
          <w:sz w:val="32"/>
          <w:szCs w:val="32"/>
        </w:rPr>
        <w:t>0.7.1 依法必须招标的暂估价项目</w:t>
      </w:r>
    </w:p>
    <w:bookmarkEnd w:id="1478"/>
    <w:bookmarkEnd w:id="1479"/>
    <w:bookmarkEnd w:id="1480"/>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对于依法必须招标的暂估价项目的确认和批准采取第</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种方式确定。</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10.7.2 不属于依法必须招标的暂估价项目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对于不属于依法必须招标的暂估价项目的确认和批准采取第</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 种方式确定。</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第3种方式：</w:t>
      </w:r>
      <w:r>
        <w:rPr>
          <w:rFonts w:hint="eastAsia" w:ascii="方正仿宋_GB2312" w:hAnsi="方正仿宋_GB2312" w:eastAsia="方正仿宋_GB2312" w:cs="方正仿宋_GB2312"/>
          <w:color w:val="000000"/>
          <w:kern w:val="0"/>
          <w:sz w:val="32"/>
          <w:szCs w:val="32"/>
        </w:rPr>
        <w:t>承包人直接实施的暂估价项目</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承包人直接实施的暂估价项目的约定：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481" w:name="_Toc5534"/>
      <w:r>
        <w:rPr>
          <w:rFonts w:hint="eastAsia" w:ascii="方正仿宋_GB2312" w:hAnsi="方正仿宋_GB2312" w:eastAsia="方正仿宋_GB2312" w:cs="方正仿宋_GB2312"/>
          <w:color w:val="000000"/>
          <w:sz w:val="32"/>
          <w:szCs w:val="32"/>
        </w:rPr>
        <w:t>10.8 暂列金额</w:t>
      </w:r>
      <w:bookmarkEnd w:id="1481"/>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合同当事人关于暂列金额使用的约定：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482" w:name="_Toc23572"/>
      <w:bookmarkStart w:id="1483" w:name="_Toc6279"/>
      <w:bookmarkStart w:id="1484" w:name="_Toc9980"/>
      <w:r>
        <w:rPr>
          <w:rFonts w:hint="eastAsia" w:ascii="方正仿宋_GB2312" w:hAnsi="方正仿宋_GB2312" w:eastAsia="方正仿宋_GB2312" w:cs="方正仿宋_GB2312"/>
          <w:b w:val="0"/>
          <w:color w:val="000000"/>
          <w:sz w:val="32"/>
          <w:szCs w:val="32"/>
        </w:rPr>
        <w:t>11. 价格调整</w:t>
      </w:r>
      <w:bookmarkEnd w:id="1482"/>
      <w:bookmarkEnd w:id="1483"/>
      <w:bookmarkEnd w:id="1484"/>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485" w:name="_Toc24196"/>
      <w:bookmarkStart w:id="1486" w:name="_Toc297216209"/>
      <w:bookmarkStart w:id="1487" w:name="_Toc297120501"/>
      <w:bookmarkStart w:id="1488" w:name="_Toc303539157"/>
      <w:bookmarkStart w:id="1489" w:name="_Toc296346702"/>
      <w:bookmarkStart w:id="1490" w:name="_Toc297123550"/>
      <w:bookmarkStart w:id="1491" w:name="_Toc296347200"/>
      <w:bookmarkStart w:id="1492" w:name="_Toc296503201"/>
      <w:bookmarkStart w:id="1493" w:name="_Toc300935000"/>
      <w:bookmarkStart w:id="1494" w:name="_Toc297048387"/>
      <w:bookmarkStart w:id="1495" w:name="_Toc296944540"/>
      <w:bookmarkStart w:id="1496" w:name="_Toc292559406"/>
      <w:bookmarkStart w:id="1497" w:name="_Toc312678039"/>
      <w:bookmarkStart w:id="1498" w:name="_Toc304295577"/>
      <w:bookmarkStart w:id="1499" w:name="_Toc296891241"/>
      <w:bookmarkStart w:id="1500" w:name="_Toc292559911"/>
      <w:bookmarkStart w:id="1501" w:name="_Toc296891029"/>
      <w:r>
        <w:rPr>
          <w:rFonts w:hint="eastAsia" w:ascii="方正仿宋_GB2312" w:hAnsi="方正仿宋_GB2312" w:eastAsia="方正仿宋_GB2312" w:cs="方正仿宋_GB2312"/>
          <w:color w:val="000000"/>
          <w:sz w:val="32"/>
          <w:szCs w:val="32"/>
        </w:rPr>
        <w:t>11.1 市场价格波动引起的调整</w:t>
      </w:r>
      <w:bookmarkEnd w:id="1485"/>
    </w:p>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市场价格波动是否调整合同价格的约定：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因市场价格波动调整合同价格，采用以下</w:t>
      </w:r>
      <w:r>
        <w:rPr>
          <w:rFonts w:hint="eastAsia" w:ascii="方正仿宋_GB2312" w:hAnsi="方正仿宋_GB2312" w:eastAsia="方正仿宋_GB2312" w:cs="方正仿宋_GB2312"/>
          <w:sz w:val="32"/>
          <w:szCs w:val="32"/>
        </w:rPr>
        <w:t>第</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color w:val="000000"/>
          <w:sz w:val="32"/>
          <w:szCs w:val="32"/>
        </w:rPr>
        <w:t>种方式对合同价格进行调整：</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第1种方式：采用价格指数进行价格调整。</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关于各可调因子、定值和变值权重，以及基本价格指数及其来源的约定：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第2种方式：采用造价信息进行价格调整。</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（2）关于基准价格的约定：</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专用合同条款①承包人在已标价工程量清单或预算书中载明的材料单价低于基准价格的：专用合同条款合同履行期间材料单价涨幅以基准价格为基础超过</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%时，或材料单价跌幅以已标价工程量清单或预算书中载明材料单价为基础超过</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%时，其超过部分据实调整。</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②承包人在已标价工程量清单或预算书中载明的材料单价高于基准价格的：专用合同条款合同履行期间材料单价跌幅以基准价格为基础超过</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%时，材料单价涨幅以已标价工程量清单或预算书中载明材料单价为基础超过</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%时，其超过部分据实调整。</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③承包人在已标价工程量清单或预算书中载明的材料单价等于基准单价的：专用合同条款合同履行期间材料单价涨跌幅以基准单价为基础超过±</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%时，其超过部分据实调整。</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第3种方式：其他价格调整方式：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bookmarkEnd w:id="1379"/>
    <w:bookmarkEnd w:id="1380"/>
    <w:bookmarkEnd w:id="1381"/>
    <w:bookmarkEnd w:id="1382"/>
    <w:bookmarkEnd w:id="1383"/>
    <w:bookmarkEnd w:id="1384"/>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502" w:name="_Toc296891245"/>
      <w:bookmarkStart w:id="1503" w:name="_Toc297120505"/>
      <w:bookmarkStart w:id="1504" w:name="_Toc296346706"/>
      <w:bookmarkStart w:id="1505" w:name="_Toc296944544"/>
      <w:bookmarkStart w:id="1506" w:name="_Toc296347204"/>
      <w:bookmarkStart w:id="1507" w:name="_Toc296503205"/>
      <w:bookmarkStart w:id="1508" w:name="_Toc292559915"/>
      <w:bookmarkStart w:id="1509" w:name="_Toc296891033"/>
      <w:bookmarkStart w:id="1510" w:name="_Toc292559410"/>
      <w:bookmarkStart w:id="1511" w:name="_Toc297048391"/>
      <w:bookmarkStart w:id="1512" w:name="_Toc4606"/>
      <w:bookmarkStart w:id="1513" w:name="_Toc4522"/>
      <w:bookmarkStart w:id="1514" w:name="_Toc5611"/>
      <w:bookmarkStart w:id="1515" w:name="_Toc297216211"/>
      <w:bookmarkStart w:id="1516" w:name="_Toc312678040"/>
      <w:bookmarkStart w:id="1517" w:name="_Toc300935002"/>
      <w:bookmarkStart w:id="1518" w:name="_Toc304295579"/>
      <w:bookmarkStart w:id="1519" w:name="_Toc297123552"/>
      <w:bookmarkStart w:id="1520" w:name="_Toc303539159"/>
      <w:r>
        <w:rPr>
          <w:rFonts w:hint="eastAsia" w:ascii="方正仿宋_GB2312" w:hAnsi="方正仿宋_GB2312" w:eastAsia="方正仿宋_GB2312" w:cs="方正仿宋_GB2312"/>
          <w:b w:val="0"/>
          <w:color w:val="000000"/>
          <w:sz w:val="32"/>
          <w:szCs w:val="32"/>
        </w:rPr>
        <w:t xml:space="preserve">12. </w:t>
      </w:r>
      <w:bookmarkEnd w:id="1502"/>
      <w:bookmarkEnd w:id="1503"/>
      <w:bookmarkEnd w:id="1504"/>
      <w:bookmarkEnd w:id="1505"/>
      <w:bookmarkEnd w:id="1506"/>
      <w:bookmarkEnd w:id="1507"/>
      <w:bookmarkEnd w:id="1508"/>
      <w:bookmarkEnd w:id="1509"/>
      <w:bookmarkEnd w:id="1510"/>
      <w:bookmarkEnd w:id="1511"/>
      <w:r>
        <w:rPr>
          <w:rFonts w:hint="eastAsia" w:ascii="方正仿宋_GB2312" w:hAnsi="方正仿宋_GB2312" w:eastAsia="方正仿宋_GB2312" w:cs="方正仿宋_GB2312"/>
          <w:b w:val="0"/>
          <w:color w:val="000000"/>
          <w:sz w:val="32"/>
          <w:szCs w:val="32"/>
        </w:rPr>
        <w:t>合同价格、计量与支付</w:t>
      </w:r>
      <w:bookmarkEnd w:id="1512"/>
      <w:bookmarkEnd w:id="1513"/>
      <w:bookmarkEnd w:id="1514"/>
    </w:p>
    <w:bookmarkEnd w:id="1515"/>
    <w:bookmarkEnd w:id="1516"/>
    <w:bookmarkEnd w:id="1517"/>
    <w:bookmarkEnd w:id="1518"/>
    <w:bookmarkEnd w:id="1519"/>
    <w:bookmarkEnd w:id="1520"/>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521" w:name="_Toc292559916"/>
      <w:bookmarkStart w:id="1522" w:name="_Toc267251461"/>
      <w:bookmarkStart w:id="1523" w:name="_Toc292559411"/>
      <w:bookmarkStart w:id="1524" w:name="_Toc296891246"/>
      <w:bookmarkStart w:id="1525" w:name="_Toc297048392"/>
      <w:bookmarkStart w:id="1526" w:name="_Toc296891034"/>
      <w:bookmarkStart w:id="1527" w:name="_Toc296346707"/>
      <w:bookmarkStart w:id="1528" w:name="_Toc296503206"/>
      <w:bookmarkStart w:id="1529" w:name="_Toc297120506"/>
      <w:bookmarkStart w:id="1530" w:name="_Toc296347205"/>
      <w:bookmarkStart w:id="1531" w:name="_Toc296944545"/>
      <w:bookmarkStart w:id="1532" w:name="_Toc13051"/>
      <w:bookmarkStart w:id="1533" w:name="_Toc297216212"/>
      <w:bookmarkStart w:id="1534" w:name="_Toc304295580"/>
      <w:bookmarkStart w:id="1535" w:name="_Toc297123553"/>
      <w:bookmarkStart w:id="1536" w:name="_Toc300935003"/>
      <w:bookmarkStart w:id="1537" w:name="_Toc303539160"/>
      <w:bookmarkStart w:id="1538" w:name="_Toc312678041"/>
      <w:r>
        <w:rPr>
          <w:rFonts w:hint="eastAsia" w:ascii="方正仿宋_GB2312" w:hAnsi="方正仿宋_GB2312" w:eastAsia="方正仿宋_GB2312" w:cs="方正仿宋_GB2312"/>
          <w:color w:val="000000"/>
          <w:sz w:val="32"/>
          <w:szCs w:val="32"/>
        </w:rPr>
        <w:t>12.1 合</w:t>
      </w:r>
      <w:bookmarkEnd w:id="1521"/>
      <w:bookmarkEnd w:id="1522"/>
      <w:bookmarkEnd w:id="1523"/>
      <w:r>
        <w:rPr>
          <w:rFonts w:hint="eastAsia" w:ascii="方正仿宋_GB2312" w:hAnsi="方正仿宋_GB2312" w:eastAsia="方正仿宋_GB2312" w:cs="方正仿宋_GB2312"/>
          <w:color w:val="000000"/>
          <w:sz w:val="32"/>
          <w:szCs w:val="32"/>
        </w:rPr>
        <w:t>同价</w:t>
      </w:r>
      <w:bookmarkEnd w:id="1524"/>
      <w:bookmarkEnd w:id="1525"/>
      <w:bookmarkEnd w:id="1526"/>
      <w:bookmarkEnd w:id="1527"/>
      <w:bookmarkEnd w:id="1528"/>
      <w:bookmarkEnd w:id="1529"/>
      <w:bookmarkEnd w:id="1530"/>
      <w:bookmarkEnd w:id="1531"/>
      <w:r>
        <w:rPr>
          <w:rFonts w:hint="eastAsia" w:ascii="方正仿宋_GB2312" w:hAnsi="方正仿宋_GB2312" w:eastAsia="方正仿宋_GB2312" w:cs="方正仿宋_GB2312"/>
          <w:color w:val="000000"/>
          <w:sz w:val="32"/>
          <w:szCs w:val="32"/>
        </w:rPr>
        <w:t>格形式</w:t>
      </w:r>
      <w:bookmarkEnd w:id="1532"/>
    </w:p>
    <w:bookmarkEnd w:id="1533"/>
    <w:bookmarkEnd w:id="1534"/>
    <w:bookmarkEnd w:id="1535"/>
    <w:bookmarkEnd w:id="1536"/>
    <w:bookmarkEnd w:id="1537"/>
    <w:bookmarkEnd w:id="1538"/>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1、单价合同。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综合单价包含的风险范围：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风险费用的计算方法：</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风险范围以外合同价格的调整方法：</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2、总价合同。</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总价包含的风险范围：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风险费用的计算方法：</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风险范围以外合同价格的调整方法：</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3、其他价格方式：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539" w:name="_Toc21421"/>
      <w:bookmarkStart w:id="1540" w:name="_Toc297216213"/>
      <w:bookmarkStart w:id="1541" w:name="_Toc312678042"/>
      <w:bookmarkStart w:id="1542" w:name="_Toc300935004"/>
      <w:bookmarkStart w:id="1543" w:name="_Toc304295581"/>
      <w:bookmarkStart w:id="1544" w:name="_Toc303539161"/>
      <w:bookmarkStart w:id="1545" w:name="_Toc297123554"/>
      <w:bookmarkStart w:id="1546" w:name="_Toc297120507"/>
      <w:bookmarkStart w:id="1547" w:name="_Toc296347206"/>
      <w:bookmarkStart w:id="1548" w:name="_Toc296891247"/>
      <w:bookmarkStart w:id="1549" w:name="_Toc297048393"/>
      <w:bookmarkStart w:id="1550" w:name="_Toc292559412"/>
      <w:bookmarkStart w:id="1551" w:name="_Toc292559917"/>
      <w:bookmarkStart w:id="1552" w:name="_Toc296944546"/>
      <w:bookmarkStart w:id="1553" w:name="_Toc296503207"/>
      <w:bookmarkStart w:id="1554" w:name="_Toc296346708"/>
      <w:bookmarkStart w:id="1555" w:name="_Toc296891035"/>
      <w:r>
        <w:rPr>
          <w:rFonts w:hint="eastAsia" w:ascii="方正仿宋_GB2312" w:hAnsi="方正仿宋_GB2312" w:eastAsia="方正仿宋_GB2312" w:cs="方正仿宋_GB2312"/>
          <w:color w:val="000000"/>
          <w:sz w:val="32"/>
          <w:szCs w:val="32"/>
        </w:rPr>
        <w:t>12.2 预付款</w:t>
      </w:r>
      <w:bookmarkEnd w:id="1539"/>
    </w:p>
    <w:bookmarkEnd w:id="1540"/>
    <w:bookmarkEnd w:id="1541"/>
    <w:bookmarkEnd w:id="1542"/>
    <w:bookmarkEnd w:id="1543"/>
    <w:bookmarkEnd w:id="1544"/>
    <w:bookmarkEnd w:id="1545"/>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12.2.1 预付款的支付</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预付款支付比例或金额：</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预付款支付期限：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预付款扣回的方式：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12.2.2 预付款担保</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承包人提交预付款担保的期限：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预付款担保的形式为：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bookmarkEnd w:id="1546"/>
    <w:bookmarkEnd w:id="1547"/>
    <w:bookmarkEnd w:id="1548"/>
    <w:bookmarkEnd w:id="1549"/>
    <w:bookmarkEnd w:id="1550"/>
    <w:bookmarkEnd w:id="1551"/>
    <w:bookmarkEnd w:id="1552"/>
    <w:bookmarkEnd w:id="1553"/>
    <w:bookmarkEnd w:id="1554"/>
    <w:bookmarkEnd w:id="1555"/>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556" w:name="_Toc1251"/>
      <w:r>
        <w:rPr>
          <w:rFonts w:hint="eastAsia" w:ascii="方正仿宋_GB2312" w:hAnsi="方正仿宋_GB2312" w:eastAsia="方正仿宋_GB2312" w:cs="方正仿宋_GB2312"/>
          <w:color w:val="000000"/>
          <w:sz w:val="32"/>
          <w:szCs w:val="32"/>
        </w:rPr>
        <w:t>12.3 计量</w:t>
      </w:r>
      <w:bookmarkEnd w:id="1556"/>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12.3.1 计量原则</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工程量计算规则：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12.3.2 计量周期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关于计量周期的约定：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12.3.3 单价合同的计量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关于单价合同计量的约定：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12.3.4 总价合同的计量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关于总价合同计量的约定：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12.3.5总价合同采用支付分解表计量支付的，是否适用第</w:t>
      </w:r>
      <w:r>
        <w:rPr>
          <w:rFonts w:hint="eastAsia" w:ascii="方正仿宋_GB2312" w:hAnsi="方正仿宋_GB2312" w:eastAsia="方正仿宋_GB2312" w:cs="方正仿宋_GB2312"/>
          <w:color w:val="000000"/>
          <w:kern w:val="0"/>
          <w:sz w:val="32"/>
          <w:szCs w:val="32"/>
        </w:rPr>
        <w:t xml:space="preserve">12.3.4 </w:t>
      </w:r>
      <w:r>
        <w:rPr>
          <w:rFonts w:hint="eastAsia" w:ascii="方正仿宋_GB2312" w:hAnsi="方正仿宋_GB2312" w:eastAsia="方正仿宋_GB2312" w:cs="方正仿宋_GB2312"/>
          <w:color w:val="000000"/>
          <w:sz w:val="32"/>
          <w:szCs w:val="32"/>
        </w:rPr>
        <w:t>项</w:t>
      </w:r>
      <w:r>
        <w:rPr>
          <w:rFonts w:hint="eastAsia" w:ascii="方正仿宋_GB2312" w:hAnsi="方正仿宋_GB2312" w:eastAsia="方正仿宋_GB2312" w:cs="方正仿宋_GB2312"/>
          <w:color w:val="000000"/>
          <w:kern w:val="0"/>
          <w:sz w:val="32"/>
          <w:szCs w:val="32"/>
        </w:rPr>
        <w:t>〔总价合同的计量〕</w:t>
      </w:r>
      <w:r>
        <w:rPr>
          <w:rFonts w:hint="eastAsia" w:ascii="方正仿宋_GB2312" w:hAnsi="方正仿宋_GB2312" w:eastAsia="方正仿宋_GB2312" w:cs="方正仿宋_GB2312"/>
          <w:color w:val="000000"/>
          <w:sz w:val="32"/>
          <w:szCs w:val="32"/>
        </w:rPr>
        <w:t>约定进行计量：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12.3.6 其他价格形式合同的计量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其他价格形式的计量方式和程序：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557" w:name="_Toc1683"/>
      <w:r>
        <w:rPr>
          <w:rFonts w:hint="eastAsia" w:ascii="方正仿宋_GB2312" w:hAnsi="方正仿宋_GB2312" w:eastAsia="方正仿宋_GB2312" w:cs="方正仿宋_GB2312"/>
          <w:color w:val="000000"/>
          <w:sz w:val="32"/>
          <w:szCs w:val="32"/>
        </w:rPr>
        <w:t>12.4 工程进度款支付</w:t>
      </w:r>
      <w:bookmarkEnd w:id="1557"/>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bookmarkStart w:id="1558" w:name="_Toc292559921"/>
      <w:bookmarkStart w:id="1559" w:name="_Toc292559416"/>
      <w:bookmarkStart w:id="1560" w:name="_Toc296944550"/>
      <w:bookmarkStart w:id="1561" w:name="_Toc297216215"/>
      <w:bookmarkStart w:id="1562" w:name="_Toc296347210"/>
      <w:bookmarkStart w:id="1563" w:name="_Toc297048397"/>
      <w:bookmarkStart w:id="1564" w:name="_Toc296346712"/>
      <w:bookmarkStart w:id="1565" w:name="_Toc296891251"/>
      <w:bookmarkStart w:id="1566" w:name="_Toc297123556"/>
      <w:bookmarkStart w:id="1567" w:name="_Toc303539163"/>
      <w:bookmarkStart w:id="1568" w:name="_Toc300935006"/>
      <w:bookmarkStart w:id="1569" w:name="_Toc296503211"/>
      <w:bookmarkStart w:id="1570" w:name="_Toc296891039"/>
      <w:bookmarkStart w:id="1571" w:name="_Toc297120511"/>
      <w:r>
        <w:rPr>
          <w:rFonts w:hint="eastAsia" w:ascii="方正仿宋_GB2312" w:hAnsi="方正仿宋_GB2312" w:eastAsia="方正仿宋_GB2312" w:cs="方正仿宋_GB2312"/>
          <w:color w:val="000000"/>
          <w:sz w:val="32"/>
          <w:szCs w:val="32"/>
        </w:rPr>
        <w:t>12.4.1 付款周期</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关于付款周期的约定：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12.4.2 进度付款申请单的编制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关于进度付款申请单编制的约定：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r>
        <w:rPr>
          <w:rFonts w:hint="eastAsia" w:ascii="方正仿宋_GB2312" w:hAnsi="方正仿宋_GB2312" w:eastAsia="方正仿宋_GB2312" w:cs="方正仿宋_GB2312"/>
          <w:color w:val="000000"/>
          <w:sz w:val="32"/>
          <w:szCs w:val="32"/>
        </w:rPr>
        <w:t>2.4.3 进度付款申请单的提交</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（1）单价合同进度付款申请单提交的约定：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（2）总价合同进度付款申请单提交的约定：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（3）其他价格形式合同进度付款申请单提交的约定：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12.4.4 进度款审核和支付</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（1）监理人审查并报送发包人的期限：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发包人完成审批并签发进度款支付证书的期限：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（2）发包人支付进度款的期限：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发包人逾期支付进度款的违约金的计算方式：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12.4.6 支付分解表的编制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2、总价合同支付分解表的编制与审批：</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lang w:eastAsia="zh-CN"/>
        </w:rPr>
        <w:t>。</w:t>
      </w:r>
      <w:r>
        <w:rPr>
          <w:rFonts w:hint="eastAsia" w:ascii="方正仿宋_GB2312" w:hAnsi="方正仿宋_GB2312" w:eastAsia="方正仿宋_GB2312" w:cs="方正仿宋_GB2312"/>
          <w:color w:val="000000"/>
          <w:sz w:val="32"/>
          <w:szCs w:val="32"/>
          <w:u w:val="single"/>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3、单价合同的总价项目支付分解表的编制与审批：</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lang w:eastAsia="zh-CN"/>
        </w:rPr>
        <w:t>。</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p>
    <w:bookmarkEnd w:id="1385"/>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572" w:name="_Toc9773"/>
      <w:bookmarkStart w:id="1573" w:name="_Toc5118"/>
      <w:bookmarkStart w:id="1574" w:name="_Toc2467"/>
      <w:bookmarkStart w:id="1575" w:name="_Toc292559424"/>
      <w:bookmarkStart w:id="1576" w:name="_Toc297216223"/>
      <w:bookmarkStart w:id="1577" w:name="_Toc296891259"/>
      <w:bookmarkStart w:id="1578" w:name="_Toc304295593"/>
      <w:bookmarkStart w:id="1579" w:name="_Toc300935015"/>
      <w:bookmarkStart w:id="1580" w:name="_Toc297048405"/>
      <w:bookmarkStart w:id="1581" w:name="_Toc296944558"/>
      <w:bookmarkStart w:id="1582" w:name="_Toc296347218"/>
      <w:bookmarkStart w:id="1583" w:name="_Toc296891047"/>
      <w:bookmarkStart w:id="1584" w:name="_Toc296503219"/>
      <w:bookmarkStart w:id="1585" w:name="_Toc312678053"/>
      <w:bookmarkStart w:id="1586" w:name="_Toc292559929"/>
      <w:bookmarkStart w:id="1587" w:name="_Toc297120519"/>
      <w:bookmarkStart w:id="1588" w:name="_Toc297123564"/>
      <w:bookmarkStart w:id="1589" w:name="_Toc303539172"/>
      <w:bookmarkStart w:id="1590" w:name="_Toc296346720"/>
      <w:r>
        <w:rPr>
          <w:rFonts w:hint="eastAsia" w:ascii="方正仿宋_GB2312" w:hAnsi="方正仿宋_GB2312" w:eastAsia="方正仿宋_GB2312" w:cs="方正仿宋_GB2312"/>
          <w:b w:val="0"/>
          <w:color w:val="000000"/>
          <w:sz w:val="32"/>
          <w:szCs w:val="32"/>
        </w:rPr>
        <w:t>13. 验收和工程试车</w:t>
      </w:r>
      <w:bookmarkEnd w:id="1572"/>
      <w:bookmarkEnd w:id="1573"/>
      <w:bookmarkEnd w:id="1574"/>
    </w:p>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591" w:name="_Toc31996"/>
      <w:r>
        <w:rPr>
          <w:rFonts w:hint="eastAsia" w:ascii="方正仿宋_GB2312" w:hAnsi="方正仿宋_GB2312" w:eastAsia="方正仿宋_GB2312" w:cs="方正仿宋_GB2312"/>
          <w:color w:val="000000"/>
          <w:sz w:val="32"/>
          <w:szCs w:val="32"/>
        </w:rPr>
        <w:t>13.1 分部分项工程验收</w:t>
      </w:r>
      <w:bookmarkEnd w:id="1591"/>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13.1.2监理人不能按时进行验收时，应提前</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小时提交书面延期要求。</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sz w:val="32"/>
          <w:szCs w:val="32"/>
        </w:rPr>
        <w:t>关于延期最长不得超过：</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小时。</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592" w:name="_Toc29743"/>
      <w:bookmarkStart w:id="1593" w:name="_Toc296346724"/>
      <w:bookmarkStart w:id="1594" w:name="_Toc312678056"/>
      <w:bookmarkStart w:id="1595" w:name="_Toc296944562"/>
      <w:bookmarkStart w:id="1596" w:name="_Toc296347222"/>
      <w:bookmarkStart w:id="1597" w:name="_Toc297216224"/>
      <w:bookmarkStart w:id="1598" w:name="_Toc292559428"/>
      <w:bookmarkStart w:id="1599" w:name="_Toc304295596"/>
      <w:bookmarkStart w:id="1600" w:name="_Toc300935016"/>
      <w:bookmarkStart w:id="1601" w:name="_Toc297120523"/>
      <w:bookmarkStart w:id="1602" w:name="_Toc303539173"/>
      <w:bookmarkStart w:id="1603" w:name="_Toc296891263"/>
      <w:bookmarkStart w:id="1604" w:name="_Toc297048409"/>
      <w:bookmarkStart w:id="1605" w:name="_Toc292559933"/>
      <w:bookmarkStart w:id="1606" w:name="_Toc297123565"/>
      <w:bookmarkStart w:id="1607" w:name="_Toc296503223"/>
      <w:bookmarkStart w:id="1608" w:name="_Toc296891051"/>
      <w:bookmarkStart w:id="1609" w:name="_Toc267251473"/>
      <w:bookmarkStart w:id="1610" w:name="_Toc267251470"/>
      <w:bookmarkStart w:id="1611" w:name="_Toc267251475"/>
      <w:bookmarkStart w:id="1612" w:name="_Toc267251471"/>
      <w:bookmarkStart w:id="1613" w:name="_Toc267251472"/>
      <w:bookmarkStart w:id="1614" w:name="_Toc267251476"/>
      <w:bookmarkStart w:id="1615" w:name="_Toc267251474"/>
      <w:r>
        <w:rPr>
          <w:rFonts w:hint="eastAsia" w:ascii="方正仿宋_GB2312" w:hAnsi="方正仿宋_GB2312" w:eastAsia="方正仿宋_GB2312" w:cs="方正仿宋_GB2312"/>
          <w:color w:val="000000"/>
          <w:sz w:val="32"/>
          <w:szCs w:val="32"/>
        </w:rPr>
        <w:t>13.2 竣工验收</w:t>
      </w:r>
      <w:bookmarkEnd w:id="1592"/>
    </w:p>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bookmarkStart w:id="1616" w:name="_Toc280868704"/>
      <w:bookmarkStart w:id="1617" w:name="_Toc280868705"/>
      <w:bookmarkStart w:id="1618" w:name="_Toc280868706"/>
      <w:bookmarkStart w:id="1619" w:name="_Toc280868707"/>
      <w:bookmarkStart w:id="1620" w:name="_Toc280868708"/>
      <w:bookmarkStart w:id="1621" w:name="_Toc280868709"/>
      <w:r>
        <w:rPr>
          <w:rFonts w:hint="eastAsia" w:ascii="方正仿宋_GB2312" w:hAnsi="方正仿宋_GB2312" w:eastAsia="方正仿宋_GB2312" w:cs="方正仿宋_GB2312"/>
          <w:color w:val="000000"/>
          <w:sz w:val="32"/>
          <w:szCs w:val="32"/>
        </w:rPr>
        <w:t>13.2.2竣工验收程序</w:t>
      </w:r>
    </w:p>
    <w:bookmarkEnd w:id="1616"/>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kern w:val="0"/>
          <w:sz w:val="32"/>
          <w:szCs w:val="32"/>
        </w:rPr>
        <w:t>关于竣工验收程序的约定：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lang w:eastAsia="zh-CN"/>
        </w:rPr>
        <w:t>。</w:t>
      </w:r>
      <w:r>
        <w:rPr>
          <w:rFonts w:hint="eastAsia" w:ascii="方正仿宋_GB2312" w:hAnsi="方正仿宋_GB2312" w:eastAsia="方正仿宋_GB2312" w:cs="方正仿宋_GB2312"/>
          <w:color w:val="000000"/>
          <w:sz w:val="32"/>
          <w:szCs w:val="32"/>
          <w:u w:val="single"/>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发包人不按照本项约定组织竣工验收、颁发工程接收证书的违约金的计算方法：</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bookmarkEnd w:id="1617"/>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13.2.5移交、接收全部与部分工程</w:t>
      </w:r>
    </w:p>
    <w:bookmarkEnd w:id="1618"/>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承包人向发包人移交工程的期限：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kern w:val="0"/>
          <w:sz w:val="32"/>
          <w:szCs w:val="32"/>
        </w:rPr>
        <w:t>发包人未按本合同约定接收全部或部分工程的，违约金的计算方法为：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bookmarkEnd w:id="1619"/>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承包人未按时移交工程的，违约金的计算方法为：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22" w:name="_Toc1597"/>
      <w:r>
        <w:rPr>
          <w:rFonts w:hint="eastAsia" w:ascii="方正仿宋_GB2312" w:hAnsi="方正仿宋_GB2312" w:eastAsia="方正仿宋_GB2312" w:cs="方正仿宋_GB2312"/>
          <w:color w:val="000000"/>
          <w:sz w:val="32"/>
          <w:szCs w:val="32"/>
        </w:rPr>
        <w:t>13.3 工程试车</w:t>
      </w:r>
      <w:bookmarkEnd w:id="1622"/>
    </w:p>
    <w:bookmarkEnd w:id="1620"/>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13.3.1 试车程序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工程试车内容：</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（1）单机无负荷试车费用由</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kern w:val="0"/>
          <w:sz w:val="32"/>
          <w:szCs w:val="32"/>
        </w:rPr>
        <w:t>承担；</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（2）无负荷联动试车费用由</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kern w:val="0"/>
          <w:sz w:val="32"/>
          <w:szCs w:val="32"/>
        </w:rPr>
        <w:t>承担。</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13.3.3 投料试车</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关于投料试车相关事项的约定：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23" w:name="_Toc32401"/>
      <w:bookmarkStart w:id="1624" w:name="_Toc7054"/>
      <w:r>
        <w:rPr>
          <w:rFonts w:hint="eastAsia" w:ascii="方正仿宋_GB2312" w:hAnsi="方正仿宋_GB2312" w:eastAsia="方正仿宋_GB2312" w:cs="方正仿宋_GB2312"/>
          <w:color w:val="000000"/>
          <w:sz w:val="32"/>
          <w:szCs w:val="32"/>
        </w:rPr>
        <w:t>13.6 竣工退场</w:t>
      </w:r>
      <w:bookmarkEnd w:id="1623"/>
      <w:bookmarkEnd w:id="1624"/>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13.6.1 竣工退场</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承包人完成竣工退场的期限：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625" w:name="_Toc19751"/>
      <w:bookmarkStart w:id="1626" w:name="_Toc2511"/>
      <w:bookmarkStart w:id="1627" w:name="_Toc19104"/>
      <w:r>
        <w:rPr>
          <w:rFonts w:hint="eastAsia" w:ascii="方正仿宋_GB2312" w:hAnsi="方正仿宋_GB2312" w:eastAsia="方正仿宋_GB2312" w:cs="方正仿宋_GB2312"/>
          <w:b w:val="0"/>
          <w:color w:val="000000"/>
          <w:sz w:val="32"/>
          <w:szCs w:val="32"/>
        </w:rPr>
        <w:t>14. 竣工结算</w:t>
      </w:r>
      <w:bookmarkEnd w:id="1625"/>
      <w:bookmarkEnd w:id="1626"/>
      <w:bookmarkEnd w:id="1627"/>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28" w:name="_Toc19539"/>
      <w:r>
        <w:rPr>
          <w:rFonts w:hint="eastAsia" w:ascii="方正仿宋_GB2312" w:hAnsi="方正仿宋_GB2312" w:eastAsia="方正仿宋_GB2312" w:cs="方正仿宋_GB2312"/>
          <w:color w:val="000000"/>
          <w:sz w:val="32"/>
          <w:szCs w:val="32"/>
        </w:rPr>
        <w:t>14.1 竣工结算申请</w:t>
      </w:r>
      <w:bookmarkEnd w:id="1628"/>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sz w:val="32"/>
          <w:szCs w:val="32"/>
        </w:rPr>
        <w:t>承包人提交竣工结算申请单的期限：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sz w:val="32"/>
          <w:szCs w:val="32"/>
        </w:rPr>
        <w:t>竣工结算申请单应包括的内容：</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29" w:name="_Toc21823"/>
      <w:bookmarkStart w:id="1630" w:name="_Toc22525"/>
      <w:r>
        <w:rPr>
          <w:rFonts w:hint="eastAsia" w:ascii="方正仿宋_GB2312" w:hAnsi="方正仿宋_GB2312" w:eastAsia="方正仿宋_GB2312" w:cs="方正仿宋_GB2312"/>
          <w:color w:val="000000"/>
          <w:sz w:val="32"/>
          <w:szCs w:val="32"/>
        </w:rPr>
        <w:t>14.2 竣工结算审核</w:t>
      </w:r>
      <w:bookmarkEnd w:id="1629"/>
      <w:bookmarkEnd w:id="1630"/>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发包人审批竣工付款申请单的期限：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sz w:val="32"/>
          <w:szCs w:val="32"/>
        </w:rPr>
        <w:t>发包人完成竣工付款的期限：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关于竣工付款证书异议部分复核的方式和程序：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31" w:name="_Toc4484"/>
      <w:r>
        <w:rPr>
          <w:rFonts w:hint="eastAsia" w:ascii="方正仿宋_GB2312" w:hAnsi="方正仿宋_GB2312" w:eastAsia="方正仿宋_GB2312" w:cs="方正仿宋_GB2312"/>
          <w:color w:val="000000"/>
          <w:sz w:val="32"/>
          <w:szCs w:val="32"/>
        </w:rPr>
        <w:t>14.4 最终结清</w:t>
      </w:r>
      <w:bookmarkEnd w:id="1631"/>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14.4.1 最终结清申请单</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承包人提交最终结清申请单的份数：</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kern w:val="0"/>
          <w:sz w:val="32"/>
          <w:szCs w:val="32"/>
        </w:rPr>
        <w:t>承包人提交最终结算申请单的期限：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r>
        <w:rPr>
          <w:rFonts w:hint="eastAsia" w:ascii="方正仿宋_GB2312" w:hAnsi="方正仿宋_GB2312" w:eastAsia="方正仿宋_GB2312" w:cs="方正仿宋_GB2312"/>
          <w:sz w:val="32"/>
          <w:szCs w:val="32"/>
        </w:rPr>
        <w:t xml:space="preserve"> </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14.4.2 最终结清证书和支付</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（1）发包人完成最终结清申请单的审批并颁发最终结清证书的期限：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（2）发包人完成支付的期限：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bookmarkEnd w:id="1609"/>
    <w:bookmarkEnd w:id="1610"/>
    <w:bookmarkEnd w:id="1611"/>
    <w:bookmarkEnd w:id="1612"/>
    <w:bookmarkEnd w:id="1613"/>
    <w:bookmarkEnd w:id="1614"/>
    <w:bookmarkEnd w:id="1615"/>
    <w:bookmarkEnd w:id="1621"/>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632" w:name="_Toc18332"/>
      <w:bookmarkStart w:id="1633" w:name="_Toc17911"/>
      <w:bookmarkStart w:id="1634" w:name="_Toc15945"/>
      <w:bookmarkStart w:id="1635" w:name="_Toc267251483"/>
      <w:bookmarkStart w:id="1636" w:name="_Toc267251482"/>
      <w:bookmarkStart w:id="1637" w:name="_Toc267251484"/>
      <w:bookmarkStart w:id="1638" w:name="_Toc267251485"/>
      <w:bookmarkStart w:id="1639" w:name="_Toc267251486"/>
      <w:bookmarkStart w:id="1640" w:name="_Toc267251490"/>
      <w:bookmarkStart w:id="1641" w:name="_Toc267251489"/>
      <w:bookmarkStart w:id="1642" w:name="_Toc267251488"/>
      <w:bookmarkStart w:id="1643" w:name="_Toc267251491"/>
      <w:bookmarkStart w:id="1644" w:name="_Toc267251497"/>
      <w:bookmarkStart w:id="1645" w:name="_Toc267251503"/>
      <w:bookmarkStart w:id="1646" w:name="_Toc267251501"/>
      <w:bookmarkStart w:id="1647" w:name="_Toc267251493"/>
      <w:bookmarkStart w:id="1648" w:name="_Toc267251495"/>
      <w:bookmarkStart w:id="1649" w:name="_Toc267251502"/>
      <w:bookmarkStart w:id="1650" w:name="_Toc267251496"/>
      <w:bookmarkStart w:id="1651" w:name="_Toc267251492"/>
      <w:bookmarkStart w:id="1652" w:name="_Toc267251499"/>
      <w:bookmarkStart w:id="1653" w:name="_Toc267251498"/>
      <w:bookmarkStart w:id="1654" w:name="_Toc267251494"/>
      <w:bookmarkStart w:id="1655" w:name="_Toc267251506"/>
      <w:bookmarkStart w:id="1656" w:name="_Toc267251504"/>
      <w:bookmarkStart w:id="1657" w:name="_Toc267251507"/>
      <w:bookmarkStart w:id="1658" w:name="_Toc267251508"/>
      <w:bookmarkStart w:id="1659" w:name="_Toc267251511"/>
      <w:bookmarkStart w:id="1660" w:name="_Toc267251515"/>
      <w:bookmarkStart w:id="1661" w:name="_Toc267251514"/>
      <w:bookmarkStart w:id="1662" w:name="_Toc267251513"/>
      <w:bookmarkStart w:id="1663" w:name="_Toc267251510"/>
      <w:bookmarkStart w:id="1664" w:name="_Toc267251509"/>
      <w:r>
        <w:rPr>
          <w:rFonts w:hint="eastAsia" w:ascii="方正仿宋_GB2312" w:hAnsi="方正仿宋_GB2312" w:eastAsia="方正仿宋_GB2312" w:cs="方正仿宋_GB2312"/>
          <w:b w:val="0"/>
          <w:color w:val="000000"/>
          <w:sz w:val="32"/>
          <w:szCs w:val="32"/>
        </w:rPr>
        <w:t>15. 缺陷责任期与保修</w:t>
      </w:r>
      <w:bookmarkEnd w:id="1632"/>
      <w:bookmarkEnd w:id="1633"/>
      <w:bookmarkEnd w:id="1634"/>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65" w:name="_Toc7987"/>
      <w:r>
        <w:rPr>
          <w:rFonts w:hint="eastAsia" w:ascii="方正仿宋_GB2312" w:hAnsi="方正仿宋_GB2312" w:eastAsia="方正仿宋_GB2312" w:cs="方正仿宋_GB2312"/>
          <w:color w:val="000000"/>
          <w:sz w:val="32"/>
          <w:szCs w:val="32"/>
        </w:rPr>
        <w:t>15.2缺陷责任期</w:t>
      </w:r>
      <w:bookmarkEnd w:id="1635"/>
      <w:bookmarkEnd w:id="1665"/>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缺陷责任期的具体期限：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66" w:name="_Toc15179"/>
      <w:bookmarkStart w:id="1667" w:name="_Toc25336"/>
      <w:r>
        <w:rPr>
          <w:rFonts w:hint="eastAsia" w:ascii="方正仿宋_GB2312" w:hAnsi="方正仿宋_GB2312" w:eastAsia="方正仿宋_GB2312" w:cs="方正仿宋_GB2312"/>
          <w:color w:val="000000"/>
          <w:sz w:val="32"/>
          <w:szCs w:val="32"/>
        </w:rPr>
        <w:t>15.3 质量保证金</w:t>
      </w:r>
      <w:bookmarkEnd w:id="1666"/>
      <w:bookmarkEnd w:id="1667"/>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关于是否扣留质量保证金的约定：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。在工程项目竣工前，承包人按专用合同条款第3.7条提供履约担保的，发包人不得同时预留工程质量保证金。</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668" w:name="_Toc15241"/>
      <w:r>
        <w:rPr>
          <w:rFonts w:hint="eastAsia" w:ascii="方正仿宋_GB2312" w:hAnsi="方正仿宋_GB2312" w:eastAsia="方正仿宋_GB2312" w:cs="方正仿宋_GB2312"/>
          <w:color w:val="000000"/>
          <w:sz w:val="32"/>
          <w:szCs w:val="32"/>
        </w:rPr>
        <w:t>15.3.1 承包人提供质量保证金的方式</w:t>
      </w:r>
      <w:bookmarkEnd w:id="1668"/>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质量保证金采用以下第</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种方式：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（1）质量保证金保函，保证金额为：</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 xml:space="preserve">； </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%的工程款；</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（3）其他方式:</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669" w:name="_Toc28"/>
      <w:r>
        <w:rPr>
          <w:rFonts w:hint="eastAsia" w:ascii="方正仿宋_GB2312" w:hAnsi="方正仿宋_GB2312" w:eastAsia="方正仿宋_GB2312" w:cs="方正仿宋_GB2312"/>
          <w:color w:val="000000"/>
          <w:sz w:val="32"/>
          <w:szCs w:val="32"/>
        </w:rPr>
        <w:t>15.3.2 质量保证金的扣留</w:t>
      </w:r>
      <w:bookmarkEnd w:id="1669"/>
      <w:r>
        <w:rPr>
          <w:rFonts w:hint="eastAsia" w:ascii="方正仿宋_GB2312" w:hAnsi="方正仿宋_GB2312" w:eastAsia="方正仿宋_GB2312" w:cs="方正仿宋_GB2312"/>
          <w:color w:val="000000"/>
          <w:sz w:val="32"/>
          <w:szCs w:val="32"/>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质量保证金的扣留采取以下第</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种方式：</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bookmarkStart w:id="1670" w:name="_Toc7408"/>
      <w:r>
        <w:rPr>
          <w:rFonts w:hint="eastAsia" w:ascii="方正仿宋_GB2312" w:hAnsi="方正仿宋_GB2312" w:eastAsia="方正仿宋_GB2312" w:cs="方正仿宋_GB2312"/>
          <w:color w:val="000000"/>
          <w:kern w:val="0"/>
          <w:sz w:val="32"/>
          <w:szCs w:val="32"/>
        </w:rPr>
        <w:t>（2）工程竣工结算时一次性扣留质量保证金；</w:t>
      </w:r>
      <w:bookmarkEnd w:id="1670"/>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（3）其他扣留方式:</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关于质量保证金的补充约定：</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bookmarkEnd w:id="1636"/>
    <w:bookmarkEnd w:id="1637"/>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71" w:name="_Toc20364"/>
      <w:r>
        <w:rPr>
          <w:rFonts w:hint="eastAsia" w:ascii="方正仿宋_GB2312" w:hAnsi="方正仿宋_GB2312" w:eastAsia="方正仿宋_GB2312" w:cs="方正仿宋_GB2312"/>
          <w:color w:val="000000"/>
          <w:sz w:val="32"/>
          <w:szCs w:val="32"/>
        </w:rPr>
        <w:t>15.4保修</w:t>
      </w:r>
      <w:bookmarkEnd w:id="1671"/>
    </w:p>
    <w:bookmarkEnd w:id="1638"/>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15.4.1 保修责任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工程保修期为：</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15.4.3 修复通知</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承包人收到保修通知并到达工程现场的合理时间：</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bookmarkEnd w:id="1639"/>
    <w:bookmarkEnd w:id="1640"/>
    <w:bookmarkEnd w:id="1641"/>
    <w:bookmarkEnd w:id="1642"/>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672" w:name="_Toc2399"/>
      <w:bookmarkStart w:id="1673" w:name="_Toc6012"/>
      <w:bookmarkStart w:id="1674" w:name="_Toc24534"/>
      <w:bookmarkStart w:id="1675" w:name="_Toc280868717"/>
      <w:bookmarkStart w:id="1676" w:name="_Toc280868718"/>
      <w:r>
        <w:rPr>
          <w:rFonts w:hint="eastAsia" w:ascii="方正仿宋_GB2312" w:hAnsi="方正仿宋_GB2312" w:eastAsia="方正仿宋_GB2312" w:cs="方正仿宋_GB2312"/>
          <w:b w:val="0"/>
          <w:color w:val="000000"/>
          <w:sz w:val="32"/>
          <w:szCs w:val="32"/>
        </w:rPr>
        <w:t>16. 违约</w:t>
      </w:r>
      <w:bookmarkEnd w:id="1672"/>
      <w:bookmarkEnd w:id="1673"/>
      <w:bookmarkEnd w:id="1674"/>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77" w:name="_Toc29655"/>
      <w:bookmarkStart w:id="1678" w:name="_Toc17064"/>
      <w:r>
        <w:rPr>
          <w:rFonts w:hint="eastAsia" w:ascii="方正仿宋_GB2312" w:hAnsi="方正仿宋_GB2312" w:eastAsia="方正仿宋_GB2312" w:cs="方正仿宋_GB2312"/>
          <w:color w:val="000000"/>
          <w:sz w:val="32"/>
          <w:szCs w:val="32"/>
        </w:rPr>
        <w:t>16.1 发包人违约</w:t>
      </w:r>
      <w:bookmarkEnd w:id="1677"/>
      <w:bookmarkEnd w:id="1678"/>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16.1.1发包人违约的情形</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u w:val="single"/>
        </w:rPr>
      </w:pPr>
      <w:r>
        <w:rPr>
          <w:rFonts w:hint="eastAsia" w:ascii="方正仿宋_GB2312" w:hAnsi="方正仿宋_GB2312" w:eastAsia="方正仿宋_GB2312" w:cs="方正仿宋_GB2312"/>
          <w:color w:val="000000"/>
          <w:kern w:val="0"/>
          <w:sz w:val="32"/>
          <w:szCs w:val="32"/>
        </w:rPr>
        <w:t>发包人违约的其他情形：</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u w:val="single"/>
          <w:lang w:eastAsia="zh-CN"/>
        </w:rPr>
        <w:t>。</w:t>
      </w:r>
      <w:r>
        <w:rPr>
          <w:rFonts w:hint="eastAsia" w:ascii="方正仿宋_GB2312" w:hAnsi="方正仿宋_GB2312" w:eastAsia="方正仿宋_GB2312" w:cs="方正仿宋_GB2312"/>
          <w:color w:val="000000"/>
          <w:kern w:val="0"/>
          <w:sz w:val="32"/>
          <w:szCs w:val="32"/>
          <w:u w:val="single"/>
        </w:rPr>
        <w:t xml:space="preserve">   </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16.1.2 发包人违约的责任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发包人违约责任的承担方式和计算方法：</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u w:val="single"/>
        </w:rPr>
      </w:pPr>
      <w:r>
        <w:rPr>
          <w:rFonts w:hint="eastAsia" w:ascii="方正仿宋_GB2312" w:hAnsi="方正仿宋_GB2312" w:eastAsia="方正仿宋_GB2312" w:cs="方正仿宋_GB2312"/>
          <w:color w:val="000000"/>
          <w:kern w:val="0"/>
          <w:sz w:val="32"/>
          <w:szCs w:val="32"/>
        </w:rPr>
        <w:t>（1）因发包人原因未能在计划开工日期前7天内下达开工通知的违约责任：</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（2）因发包人原因未能按合同约定支付合同价款的违约责任：</w:t>
      </w:r>
      <w:r>
        <w:rPr>
          <w:rFonts w:hint="eastAsia" w:ascii="方正仿宋_GB2312" w:hAnsi="方正仿宋_GB2312" w:eastAsia="方正仿宋_GB2312" w:cs="方正仿宋_GB2312"/>
          <w:color w:val="000000"/>
          <w:kern w:val="0"/>
          <w:sz w:val="32"/>
          <w:szCs w:val="32"/>
          <w:lang w:val="en-US" w:eastAsia="zh-CN"/>
        </w:rPr>
        <w:t xml:space="preserve">   </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u w:val="single"/>
          <w:lang w:val="en-US" w:eastAsia="zh-CN"/>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（3）发包人违反第10.1款〔变更的范围〕第（2）项约定，自行实施被取消的工作或转由他人实施的违约责任：</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（4）发包人提供的材料、工程设备的规格、数量或质量不符合合同约定，或因发包人原因导致交货日期延误或交货地点变更等情况的违约责任：</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（5）因发包人违反合同约定造成暂停施工的违约责任：</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（6）发包人无正当理由没有在约定期限内发出复工指示，导致承包人无法复工的违约责任：</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（7）其他：</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16.1.3 因发包人违约解除合同</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承包人按16.1.1项〔发包人违约的情形〕约定暂停施工满</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天后发包人仍不纠正其违约行为并致使合同目的不能实现的，承包人有权解除合同。</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79" w:name="_Toc1765"/>
      <w:bookmarkStart w:id="1680" w:name="_Toc21602"/>
      <w:r>
        <w:rPr>
          <w:rFonts w:hint="eastAsia" w:ascii="方正仿宋_GB2312" w:hAnsi="方正仿宋_GB2312" w:eastAsia="方正仿宋_GB2312" w:cs="方正仿宋_GB2312"/>
          <w:color w:val="000000"/>
          <w:sz w:val="32"/>
          <w:szCs w:val="32"/>
        </w:rPr>
        <w:t>16.2 承包人违约</w:t>
      </w:r>
      <w:bookmarkEnd w:id="1679"/>
      <w:bookmarkEnd w:id="1680"/>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16.2.1 承包人违约的情形</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承包人违约的其他情形：</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16.2.2承包人违约的责任</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u w:val="single"/>
        </w:rPr>
      </w:pPr>
      <w:r>
        <w:rPr>
          <w:rFonts w:hint="eastAsia" w:ascii="方正仿宋_GB2312" w:hAnsi="方正仿宋_GB2312" w:eastAsia="方正仿宋_GB2312" w:cs="方正仿宋_GB2312"/>
          <w:color w:val="000000"/>
          <w:kern w:val="0"/>
          <w:sz w:val="32"/>
          <w:szCs w:val="32"/>
        </w:rPr>
        <w:t>承包人违约责任的承担方式和计算方法：</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r>
        <w:rPr>
          <w:rFonts w:hint="eastAsia" w:ascii="方正仿宋_GB2312" w:hAnsi="方正仿宋_GB2312" w:eastAsia="方正仿宋_GB2312" w:cs="方正仿宋_GB2312"/>
          <w:color w:val="000000"/>
          <w:sz w:val="32"/>
          <w:szCs w:val="32"/>
        </w:rPr>
        <w:t xml:space="preserve">    </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16.2.3 因承包人违约解除合同</w:t>
      </w:r>
    </w:p>
    <w:p>
      <w:pPr>
        <w:pageBreakBefore w:val="0"/>
        <w:widowControl w:val="0"/>
        <w:kinsoku/>
        <w:wordWrap/>
        <w:overflowPunct/>
        <w:topLinePunct w:val="0"/>
        <w:bidi w:val="0"/>
        <w:snapToGrid/>
        <w:spacing w:before="120" w:after="120" w:line="440" w:lineRule="exact"/>
        <w:ind w:firstLine="640" w:firstLineChars="200"/>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关于承包人违约解除合同的特别约定：</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before="120" w:after="120"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kern w:val="0"/>
          <w:sz w:val="32"/>
          <w:szCs w:val="32"/>
        </w:rPr>
        <w:t>发包人继续使用承包人在施工现场的材料、设备、临时工程、承包人文件和由承包人或以其名义编制的其他文件的费用承担方式：</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681" w:name="_Toc23435"/>
      <w:bookmarkStart w:id="1682" w:name="_Toc26205"/>
      <w:bookmarkStart w:id="1683" w:name="_Toc3534"/>
      <w:r>
        <w:rPr>
          <w:rFonts w:hint="eastAsia" w:ascii="方正仿宋_GB2312" w:hAnsi="方正仿宋_GB2312" w:eastAsia="方正仿宋_GB2312" w:cs="方正仿宋_GB2312"/>
          <w:b w:val="0"/>
          <w:color w:val="000000"/>
          <w:sz w:val="32"/>
          <w:szCs w:val="32"/>
        </w:rPr>
        <w:t>17. 不可抗力</w:t>
      </w:r>
      <w:bookmarkEnd w:id="1681"/>
      <w:bookmarkEnd w:id="1682"/>
      <w:bookmarkEnd w:id="1683"/>
      <w:r>
        <w:rPr>
          <w:rFonts w:hint="eastAsia" w:ascii="方正仿宋_GB2312" w:hAnsi="方正仿宋_GB2312" w:eastAsia="方正仿宋_GB2312" w:cs="方正仿宋_GB2312"/>
          <w:b w:val="0"/>
          <w:color w:val="000000"/>
          <w:sz w:val="32"/>
          <w:szCs w:val="32"/>
        </w:rPr>
        <w:t xml:space="preserve"> </w:t>
      </w:r>
      <w:bookmarkEnd w:id="1675"/>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84" w:name="_Toc4196"/>
      <w:r>
        <w:rPr>
          <w:rFonts w:hint="eastAsia" w:ascii="方正仿宋_GB2312" w:hAnsi="方正仿宋_GB2312" w:eastAsia="方正仿宋_GB2312" w:cs="方正仿宋_GB2312"/>
          <w:color w:val="000000"/>
          <w:sz w:val="32"/>
          <w:szCs w:val="32"/>
        </w:rPr>
        <w:t>17.1 不可抗力的确认</w:t>
      </w:r>
      <w:bookmarkEnd w:id="1684"/>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u w:val="single"/>
        </w:rPr>
      </w:pPr>
      <w:r>
        <w:rPr>
          <w:rFonts w:hint="eastAsia" w:ascii="方正仿宋_GB2312" w:hAnsi="方正仿宋_GB2312" w:eastAsia="方正仿宋_GB2312" w:cs="方正仿宋_GB2312"/>
          <w:color w:val="000000"/>
          <w:sz w:val="32"/>
          <w:szCs w:val="32"/>
        </w:rPr>
        <w:t xml:space="preserve">除通用合同条款约定的不可抗力事件之外，视为不可抗力的其他情形： </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85" w:name="_Toc2844"/>
      <w:bookmarkStart w:id="1686" w:name="_Toc1228"/>
      <w:r>
        <w:rPr>
          <w:rFonts w:hint="eastAsia" w:ascii="方正仿宋_GB2312" w:hAnsi="方正仿宋_GB2312" w:eastAsia="方正仿宋_GB2312" w:cs="方正仿宋_GB2312"/>
          <w:color w:val="000000"/>
          <w:sz w:val="32"/>
          <w:szCs w:val="32"/>
        </w:rPr>
        <w:t>17.4 因不可抗力解除合同</w:t>
      </w:r>
      <w:bookmarkEnd w:id="1685"/>
      <w:bookmarkEnd w:id="1686"/>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合同解除后，发包人应在商定或确定发包人应支付款项后</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天内完成款项的支付。</w:t>
      </w:r>
    </w:p>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687" w:name="_Toc19451"/>
      <w:bookmarkStart w:id="1688" w:name="_Toc15452"/>
      <w:bookmarkStart w:id="1689" w:name="_Toc18961"/>
      <w:r>
        <w:rPr>
          <w:rFonts w:hint="eastAsia" w:ascii="方正仿宋_GB2312" w:hAnsi="方正仿宋_GB2312" w:eastAsia="方正仿宋_GB2312" w:cs="方正仿宋_GB2312"/>
          <w:b w:val="0"/>
          <w:color w:val="000000"/>
          <w:sz w:val="32"/>
          <w:szCs w:val="32"/>
        </w:rPr>
        <w:t>18. 保险</w:t>
      </w:r>
      <w:bookmarkEnd w:id="1687"/>
      <w:bookmarkEnd w:id="1688"/>
      <w:bookmarkEnd w:id="1689"/>
    </w:p>
    <w:bookmarkEnd w:id="1676"/>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90" w:name="_Toc27089"/>
      <w:r>
        <w:rPr>
          <w:rFonts w:hint="eastAsia" w:ascii="方正仿宋_GB2312" w:hAnsi="方正仿宋_GB2312" w:eastAsia="方正仿宋_GB2312" w:cs="方正仿宋_GB2312"/>
          <w:color w:val="000000"/>
          <w:sz w:val="32"/>
          <w:szCs w:val="32"/>
        </w:rPr>
        <w:t>18.1 工程保险</w:t>
      </w:r>
      <w:bookmarkEnd w:id="1690"/>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关于工程保险的特别约定：</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91" w:name="_Toc15815"/>
      <w:bookmarkStart w:id="1692" w:name="_Toc20302"/>
      <w:r>
        <w:rPr>
          <w:rFonts w:hint="eastAsia" w:ascii="方正仿宋_GB2312" w:hAnsi="方正仿宋_GB2312" w:eastAsia="方正仿宋_GB2312" w:cs="方正仿宋_GB2312"/>
          <w:color w:val="000000"/>
          <w:sz w:val="32"/>
          <w:szCs w:val="32"/>
        </w:rPr>
        <w:t>18.3 其他保险</w:t>
      </w:r>
      <w:bookmarkEnd w:id="1691"/>
      <w:bookmarkEnd w:id="1692"/>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关于其他保险的约定：</w:t>
      </w:r>
      <w:r>
        <w:rPr>
          <w:rFonts w:hint="eastAsia" w:ascii="方正仿宋_GB2312" w:hAnsi="方正仿宋_GB2312" w:eastAsia="方正仿宋_GB2312" w:cs="方正仿宋_GB2312"/>
          <w:color w:val="000000"/>
          <w:kern w:val="0"/>
          <w:sz w:val="32"/>
          <w:szCs w:val="32"/>
          <w:u w:val="single"/>
        </w:rPr>
        <w:t xml:space="preserve">                     </w:t>
      </w:r>
      <w:r>
        <w:rPr>
          <w:rFonts w:hint="eastAsia" w:ascii="方正仿宋_GB2312" w:hAnsi="方正仿宋_GB2312" w:eastAsia="方正仿宋_GB2312" w:cs="方正仿宋_GB2312"/>
          <w:color w:val="000000"/>
          <w:kern w:val="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color w:val="000000"/>
          <w:sz w:val="32"/>
          <w:szCs w:val="32"/>
        </w:rPr>
        <w:t>承包人是否应为其施工设备等办理财产保险：</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lang w:val="en-US" w:eastAsia="zh-CN"/>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93" w:name="_Toc16758"/>
      <w:r>
        <w:rPr>
          <w:rFonts w:hint="eastAsia" w:ascii="方正仿宋_GB2312" w:hAnsi="方正仿宋_GB2312" w:eastAsia="方正仿宋_GB2312" w:cs="方正仿宋_GB2312"/>
          <w:color w:val="000000"/>
          <w:sz w:val="32"/>
          <w:szCs w:val="32"/>
        </w:rPr>
        <w:t>18.7 通知义务</w:t>
      </w:r>
      <w:bookmarkEnd w:id="1693"/>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kern w:val="0"/>
          <w:sz w:val="32"/>
          <w:szCs w:val="32"/>
        </w:rPr>
        <w:t>关于变更保险合同时的通知义务的约定：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bookmarkEnd w:id="1643"/>
    <w:bookmarkEnd w:id="1644"/>
    <w:bookmarkEnd w:id="1645"/>
    <w:bookmarkEnd w:id="1646"/>
    <w:bookmarkEnd w:id="1647"/>
    <w:bookmarkEnd w:id="1648"/>
    <w:bookmarkEnd w:id="1649"/>
    <w:bookmarkEnd w:id="1650"/>
    <w:bookmarkEnd w:id="1651"/>
    <w:bookmarkEnd w:id="1652"/>
    <w:bookmarkEnd w:id="1653"/>
    <w:bookmarkEnd w:id="1654"/>
    <w:p>
      <w:pPr>
        <w:pStyle w:val="4"/>
        <w:pageBreakBefore w:val="0"/>
        <w:widowControl w:val="0"/>
        <w:kinsoku/>
        <w:wordWrap/>
        <w:overflowPunct/>
        <w:topLinePunct w:val="0"/>
        <w:bidi w:val="0"/>
        <w:snapToGrid/>
        <w:spacing w:before="120" w:after="120" w:line="440" w:lineRule="exact"/>
        <w:ind w:firstLine="640" w:firstLineChars="200"/>
        <w:textAlignment w:val="auto"/>
        <w:outlineLvl w:val="2"/>
        <w:rPr>
          <w:rFonts w:hint="eastAsia" w:ascii="方正仿宋_GB2312" w:hAnsi="方正仿宋_GB2312" w:eastAsia="方正仿宋_GB2312" w:cs="方正仿宋_GB2312"/>
          <w:b w:val="0"/>
          <w:color w:val="000000"/>
          <w:sz w:val="32"/>
          <w:szCs w:val="32"/>
        </w:rPr>
      </w:pPr>
      <w:bookmarkStart w:id="1694" w:name="_Toc18613"/>
      <w:bookmarkStart w:id="1695" w:name="_Toc11299"/>
      <w:bookmarkStart w:id="1696" w:name="_Toc21205"/>
      <w:r>
        <w:rPr>
          <w:rFonts w:hint="eastAsia" w:ascii="方正仿宋_GB2312" w:hAnsi="方正仿宋_GB2312" w:eastAsia="方正仿宋_GB2312" w:cs="方正仿宋_GB2312"/>
          <w:b w:val="0"/>
          <w:color w:val="000000"/>
          <w:sz w:val="32"/>
          <w:szCs w:val="32"/>
        </w:rPr>
        <w:t>20. 争议解决</w:t>
      </w:r>
      <w:bookmarkEnd w:id="1694"/>
      <w:bookmarkEnd w:id="1695"/>
      <w:bookmarkEnd w:id="1696"/>
    </w:p>
    <w:bookmarkEnd w:id="1655"/>
    <w:bookmarkEnd w:id="1656"/>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697" w:name="_Toc16860"/>
      <w:bookmarkStart w:id="1698" w:name="_Toc28063"/>
      <w:r>
        <w:rPr>
          <w:rFonts w:hint="eastAsia" w:ascii="方正仿宋_GB2312" w:hAnsi="方正仿宋_GB2312" w:eastAsia="方正仿宋_GB2312" w:cs="方正仿宋_GB2312"/>
          <w:color w:val="000000"/>
          <w:sz w:val="32"/>
          <w:szCs w:val="32"/>
        </w:rPr>
        <w:t>20.3 争</w:t>
      </w:r>
      <w:bookmarkEnd w:id="1657"/>
      <w:r>
        <w:rPr>
          <w:rFonts w:hint="eastAsia" w:ascii="方正仿宋_GB2312" w:hAnsi="方正仿宋_GB2312" w:eastAsia="方正仿宋_GB2312" w:cs="方正仿宋_GB2312"/>
          <w:color w:val="000000"/>
          <w:sz w:val="32"/>
          <w:szCs w:val="32"/>
        </w:rPr>
        <w:t>议评审</w:t>
      </w:r>
      <w:bookmarkEnd w:id="1697"/>
      <w:bookmarkEnd w:id="1698"/>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合同当事人是否同意将工程争议提交争议评审小组决定：</w:t>
      </w:r>
      <w:r>
        <w:rPr>
          <w:rFonts w:hint="eastAsia" w:ascii="方正仿宋_GB2312" w:hAnsi="方正仿宋_GB2312" w:eastAsia="方正仿宋_GB2312" w:cs="方正仿宋_GB2312"/>
          <w:color w:val="000000"/>
          <w:sz w:val="32"/>
          <w:szCs w:val="32"/>
          <w:u w:val="single"/>
        </w:rPr>
        <w:t xml:space="preserve">    </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699" w:name="_Toc15329"/>
      <w:r>
        <w:rPr>
          <w:rFonts w:hint="eastAsia" w:ascii="方正仿宋_GB2312" w:hAnsi="方正仿宋_GB2312" w:eastAsia="方正仿宋_GB2312" w:cs="方正仿宋_GB2312"/>
          <w:color w:val="000000"/>
          <w:sz w:val="32"/>
          <w:szCs w:val="32"/>
        </w:rPr>
        <w:t>20.3.1 争议评审小组的确定</w:t>
      </w:r>
      <w:bookmarkEnd w:id="1699"/>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争议评审小组成员的确定：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选定争议评审员的期限：</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争议评审小组成员的报酬承担方式：</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其他事项的约定：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kern w:val="0"/>
          <w:sz w:val="32"/>
          <w:szCs w:val="32"/>
        </w:rPr>
      </w:pPr>
      <w:bookmarkStart w:id="1700" w:name="_Toc7345"/>
      <w:r>
        <w:rPr>
          <w:rFonts w:hint="eastAsia" w:ascii="方正仿宋_GB2312" w:hAnsi="方正仿宋_GB2312" w:eastAsia="方正仿宋_GB2312" w:cs="方正仿宋_GB2312"/>
          <w:color w:val="000000"/>
          <w:kern w:val="0"/>
          <w:sz w:val="32"/>
          <w:szCs w:val="32"/>
        </w:rPr>
        <w:t>20.3.2 争议评审小组的决定</w:t>
      </w:r>
      <w:bookmarkEnd w:id="1700"/>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合同当事人关于本项的约定：</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pageBreakBefore w:val="0"/>
        <w:widowControl w:val="0"/>
        <w:kinsoku/>
        <w:wordWrap/>
        <w:overflowPunct/>
        <w:topLinePunct w:val="0"/>
        <w:bidi w:val="0"/>
        <w:snapToGrid/>
        <w:spacing w:after="120" w:line="440" w:lineRule="exact"/>
        <w:ind w:firstLine="640" w:firstLineChars="200"/>
        <w:textAlignment w:val="auto"/>
        <w:outlineLvl w:val="3"/>
        <w:rPr>
          <w:rFonts w:hint="eastAsia" w:ascii="方正仿宋_GB2312" w:hAnsi="方正仿宋_GB2312" w:eastAsia="方正仿宋_GB2312" w:cs="方正仿宋_GB2312"/>
          <w:color w:val="000000"/>
          <w:sz w:val="32"/>
          <w:szCs w:val="32"/>
        </w:rPr>
      </w:pPr>
      <w:bookmarkStart w:id="1701" w:name="_Toc24854"/>
      <w:bookmarkStart w:id="1702" w:name="_Toc15500"/>
      <w:r>
        <w:rPr>
          <w:rFonts w:hint="eastAsia" w:ascii="方正仿宋_GB2312" w:hAnsi="方正仿宋_GB2312" w:eastAsia="方正仿宋_GB2312" w:cs="方正仿宋_GB2312"/>
          <w:color w:val="000000"/>
          <w:sz w:val="32"/>
          <w:szCs w:val="32"/>
        </w:rPr>
        <w:t>20.4仲裁或诉讼</w:t>
      </w:r>
      <w:bookmarkEnd w:id="1658"/>
      <w:bookmarkEnd w:id="1701"/>
      <w:bookmarkEnd w:id="1702"/>
    </w:p>
    <w:p>
      <w:pPr>
        <w:pageBreakBefore w:val="0"/>
        <w:widowControl w:val="0"/>
        <w:kinsoku/>
        <w:wordWrap/>
        <w:overflowPunct/>
        <w:topLinePunct w:val="0"/>
        <w:bidi w:val="0"/>
        <w:snapToGrid/>
        <w:spacing w:after="120"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因合同及合同有关事项发生的争议，按下列第</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种方式解决：</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（1）向</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仲裁委员会申请仲裁；</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（2）向</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人民法院起诉。</w:t>
      </w:r>
      <w:bookmarkEnd w:id="1659"/>
      <w:bookmarkEnd w:id="1660"/>
      <w:bookmarkEnd w:id="1661"/>
      <w:bookmarkEnd w:id="1662"/>
      <w:bookmarkEnd w:id="1663"/>
      <w:bookmarkEnd w:id="1664"/>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b/>
          <w:color w:val="000000"/>
          <w:sz w:val="32"/>
          <w:szCs w:val="32"/>
        </w:rPr>
      </w:pPr>
      <w:r>
        <w:rPr>
          <w:rFonts w:hint="eastAsia" w:ascii="方正仿宋_GB2312" w:hAnsi="方正仿宋_GB2312" w:eastAsia="方正仿宋_GB2312" w:cs="方正仿宋_GB2312"/>
          <w:color w:val="000000"/>
          <w:sz w:val="32"/>
          <w:szCs w:val="32"/>
        </w:rPr>
        <w:br w:type="page"/>
      </w:r>
      <w:r>
        <w:rPr>
          <w:rFonts w:hint="eastAsia" w:ascii="方正仿宋_GB2312" w:hAnsi="方正仿宋_GB2312" w:eastAsia="方正仿宋_GB2312" w:cs="方正仿宋_GB2312"/>
          <w:b/>
          <w:color w:val="000000"/>
          <w:sz w:val="32"/>
          <w:szCs w:val="32"/>
        </w:rPr>
        <w:t>附件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协议书附件：</w:t>
      </w:r>
    </w:p>
    <w:p>
      <w:pPr>
        <w:pageBreakBefore w:val="0"/>
        <w:widowControl w:val="0"/>
        <w:kinsoku/>
        <w:wordWrap/>
        <w:overflowPunct/>
        <w:topLinePunct w:val="0"/>
        <w:bidi w:val="0"/>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附件1：承包人承揽工程项目一览表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专用合同条款附件：</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附件2：发包人供应材料设备一览表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附件3：工程质量保修书</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附件4：主要建设工程文件目录</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附件5：承包人用于本工程施工的机械设备表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附件6：承包人主要施工管理人员表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附件7：分包人主要施工管理人员表</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附件8：履约担保格式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附件9：预付款担保格式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附件10：支付担保格式</w:t>
      </w:r>
    </w:p>
    <w:p>
      <w:pPr>
        <w:pageBreakBefore w:val="0"/>
        <w:widowControl w:val="0"/>
        <w:kinsoku/>
        <w:wordWrap/>
        <w:overflowPunct/>
        <w:topLinePunct w:val="0"/>
        <w:bidi w:val="0"/>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sectPr>
          <w:footerReference r:id="rId7" w:type="first"/>
          <w:pgSz w:w="11906" w:h="16838"/>
          <w:pgMar w:top="1418" w:right="1555" w:bottom="1418" w:left="1531"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方正仿宋_GB2312" w:hAnsi="方正仿宋_GB2312" w:eastAsia="方正仿宋_GB2312" w:cs="方正仿宋_GB2312"/>
          <w:color w:val="000000"/>
          <w:sz w:val="32"/>
          <w:szCs w:val="32"/>
        </w:rPr>
        <w:t>附件11：暂估价一览表</w:t>
      </w:r>
    </w:p>
    <w:p>
      <w:pPr>
        <w:pageBreakBefore w:val="0"/>
        <w:kinsoku/>
        <w:bidi w:val="0"/>
        <w:spacing w:before="156" w:beforeLines="50" w:after="156" w:afterLines="50" w:line="440" w:lineRule="exact"/>
        <w:ind w:firstLine="0" w:firstLineChars="0"/>
        <w:jc w:val="left"/>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附件1：</w:t>
      </w:r>
    </w:p>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承包人承揽工程项目一览表</w:t>
      </w:r>
    </w:p>
    <w:tbl>
      <w:tblPr>
        <w:tblStyle w:val="4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单位工程名称</w:t>
            </w:r>
          </w:p>
        </w:tc>
        <w:tc>
          <w:tcPr>
            <w:tcW w:w="1843"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建设规模</w:t>
            </w:r>
          </w:p>
        </w:tc>
        <w:tc>
          <w:tcPr>
            <w:tcW w:w="1417"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建筑面积(平方米)</w:t>
            </w:r>
          </w:p>
        </w:tc>
        <w:tc>
          <w:tcPr>
            <w:tcW w:w="241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结构形式</w:t>
            </w:r>
          </w:p>
        </w:tc>
        <w:tc>
          <w:tcPr>
            <w:tcW w:w="85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层数</w:t>
            </w:r>
          </w:p>
        </w:tc>
        <w:tc>
          <w:tcPr>
            <w:tcW w:w="156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生产能力</w:t>
            </w:r>
          </w:p>
        </w:tc>
        <w:tc>
          <w:tcPr>
            <w:tcW w:w="2126"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设备安装内容</w:t>
            </w:r>
          </w:p>
        </w:tc>
        <w:tc>
          <w:tcPr>
            <w:tcW w:w="1417"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合同价格（元）</w:t>
            </w:r>
          </w:p>
        </w:tc>
        <w:tc>
          <w:tcPr>
            <w:tcW w:w="851"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开工日期</w:t>
            </w:r>
          </w:p>
        </w:tc>
        <w:tc>
          <w:tcPr>
            <w:tcW w:w="85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8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41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56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212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bl>
    <w:p>
      <w:pPr>
        <w:pageBreakBefore w:val="0"/>
        <w:kinsoku/>
        <w:bidi w:val="0"/>
        <w:spacing w:line="440" w:lineRule="exact"/>
        <w:ind w:firstLine="0" w:firstLineChars="0"/>
        <w:rPr>
          <w:rFonts w:hint="eastAsia" w:ascii="方正仿宋_GB2312" w:hAnsi="方正仿宋_GB2312" w:eastAsia="方正仿宋_GB2312" w:cs="方正仿宋_GB2312"/>
          <w:b/>
          <w:color w:val="000000"/>
          <w:sz w:val="32"/>
          <w:szCs w:val="32"/>
        </w:rPr>
        <w:sectPr>
          <w:pgSz w:w="16838" w:h="11906" w:orient="landscape"/>
          <w:pgMar w:top="1554" w:right="1418" w:bottom="1531" w:left="1418" w:header="851" w:footer="992" w:gutter="0"/>
          <w:pgBorders>
            <w:top w:val="none" w:sz="0" w:space="0"/>
            <w:left w:val="none" w:sz="0" w:space="0"/>
            <w:bottom w:val="none" w:sz="0" w:space="0"/>
            <w:right w:val="none" w:sz="0" w:space="0"/>
          </w:pgBorders>
          <w:pgNumType w:fmt="decimal"/>
          <w:cols w:space="720" w:num="1"/>
          <w:titlePg/>
          <w:docGrid w:type="linesAndChars" w:linePitch="312" w:charSpace="0"/>
        </w:sect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w:t>
      </w:r>
      <w:bookmarkStart w:id="1703" w:name="_Toc296891265"/>
      <w:bookmarkStart w:id="1704" w:name="_Toc296944564"/>
      <w:bookmarkStart w:id="1705" w:name="_Toc296891053"/>
      <w:bookmarkStart w:id="1706" w:name="_Toc296503225"/>
      <w:bookmarkStart w:id="1707" w:name="_Toc267261692"/>
      <w:bookmarkStart w:id="1708" w:name="_Toc296347224"/>
      <w:bookmarkStart w:id="1709" w:name="_Toc296346726"/>
      <w:r>
        <w:rPr>
          <w:rFonts w:hint="eastAsia" w:ascii="方正仿宋_GB2312" w:hAnsi="方正仿宋_GB2312" w:eastAsia="方正仿宋_GB2312" w:cs="方正仿宋_GB2312"/>
          <w:color w:val="000000"/>
          <w:sz w:val="32"/>
          <w:szCs w:val="32"/>
        </w:rPr>
        <w:t>件2：</w:t>
      </w:r>
    </w:p>
    <w:bookmarkEnd w:id="1703"/>
    <w:bookmarkEnd w:id="1704"/>
    <w:bookmarkEnd w:id="1705"/>
    <w:bookmarkEnd w:id="1706"/>
    <w:bookmarkEnd w:id="1707"/>
    <w:bookmarkEnd w:id="1708"/>
    <w:bookmarkEnd w:id="1709"/>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发包人供应材料设备一览表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序号</w:t>
            </w:r>
          </w:p>
        </w:tc>
        <w:tc>
          <w:tcPr>
            <w:tcW w:w="1276"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 xml:space="preserve">  材料、</w:t>
            </w:r>
          </w:p>
          <w:p>
            <w:pPr>
              <w:pStyle w:val="17"/>
              <w:keepNext/>
              <w:pageBreakBefore w:val="0"/>
              <w:kinsoku/>
              <w:bidi w:val="0"/>
              <w:spacing w:after="0" w:line="440" w:lineRule="exact"/>
              <w:ind w:left="0" w:leftChars="0" w:right="63" w:firstLine="0" w:firstLineChars="0"/>
              <w:jc w:val="both"/>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设备品种</w:t>
            </w:r>
          </w:p>
        </w:tc>
        <w:tc>
          <w:tcPr>
            <w:tcW w:w="1418"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规格型号</w:t>
            </w:r>
          </w:p>
        </w:tc>
        <w:tc>
          <w:tcPr>
            <w:tcW w:w="94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单位</w:t>
            </w:r>
          </w:p>
        </w:tc>
        <w:tc>
          <w:tcPr>
            <w:tcW w:w="851"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数量</w:t>
            </w:r>
          </w:p>
        </w:tc>
        <w:tc>
          <w:tcPr>
            <w:tcW w:w="1044"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单价（元）</w:t>
            </w:r>
          </w:p>
        </w:tc>
        <w:tc>
          <w:tcPr>
            <w:tcW w:w="992"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质量等级</w:t>
            </w:r>
          </w:p>
        </w:tc>
        <w:tc>
          <w:tcPr>
            <w:tcW w:w="851"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供应时间</w:t>
            </w:r>
          </w:p>
        </w:tc>
        <w:tc>
          <w:tcPr>
            <w:tcW w:w="1487"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送达地点</w:t>
            </w:r>
          </w:p>
        </w:tc>
        <w:tc>
          <w:tcPr>
            <w:tcW w:w="992"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4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04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8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99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27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1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04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8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148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c>
          <w:tcPr>
            <w:tcW w:w="9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28"/>
                <w:szCs w:val="28"/>
              </w:rPr>
            </w:pPr>
          </w:p>
        </w:tc>
      </w:tr>
    </w:tbl>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p>
      <w:pP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br w:type="page"/>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w:t>
      </w:r>
      <w:bookmarkStart w:id="1710" w:name="_Toc296944565"/>
      <w:bookmarkStart w:id="1711" w:name="_Toc267261693"/>
      <w:bookmarkStart w:id="1712" w:name="_Toc296503226"/>
      <w:bookmarkStart w:id="1713" w:name="_Toc296346727"/>
      <w:bookmarkStart w:id="1714" w:name="_Toc296891054"/>
      <w:bookmarkStart w:id="1715" w:name="_Toc296891266"/>
      <w:bookmarkStart w:id="1716" w:name="_Toc296347225"/>
      <w:r>
        <w:rPr>
          <w:rFonts w:hint="eastAsia" w:ascii="方正仿宋_GB2312" w:hAnsi="方正仿宋_GB2312" w:eastAsia="方正仿宋_GB2312" w:cs="方正仿宋_GB2312"/>
          <w:color w:val="000000"/>
          <w:sz w:val="32"/>
          <w:szCs w:val="32"/>
        </w:rPr>
        <w:t>件3：</w:t>
      </w:r>
      <w:bookmarkEnd w:id="1710"/>
      <w:bookmarkEnd w:id="1711"/>
      <w:bookmarkEnd w:id="1712"/>
      <w:bookmarkEnd w:id="1713"/>
      <w:bookmarkEnd w:id="1714"/>
      <w:bookmarkEnd w:id="1715"/>
      <w:bookmarkEnd w:id="1716"/>
      <w:r>
        <w:rPr>
          <w:rFonts w:hint="eastAsia" w:ascii="方正仿宋_GB2312" w:hAnsi="方正仿宋_GB2312" w:eastAsia="方正仿宋_GB2312" w:cs="方正仿宋_GB2312"/>
          <w:color w:val="000000"/>
          <w:sz w:val="32"/>
          <w:szCs w:val="32"/>
        </w:rPr>
        <w:t xml:space="preserve">    </w:t>
      </w:r>
    </w:p>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工程质量保修书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发包人（全称）：</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承包人（全称）：</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发包人和承包人根据《中华人民共和国建筑法》和《建设工程质量管理条例》，经协商一致就</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（工程全称）签订工程质量保修书。</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bookmarkStart w:id="1717" w:name="_Toc9496"/>
      <w:r>
        <w:rPr>
          <w:rFonts w:hint="eastAsia" w:ascii="方正仿宋_GB2312" w:hAnsi="方正仿宋_GB2312" w:eastAsia="方正仿宋_GB2312" w:cs="方正仿宋_GB2312"/>
          <w:color w:val="000000"/>
          <w:sz w:val="32"/>
          <w:szCs w:val="32"/>
        </w:rPr>
        <w:t>一、工程质量保修范围和内容</w:t>
      </w:r>
      <w:bookmarkEnd w:id="1717"/>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承包人在质量保修期内，按照有关法律规定和合同约定，承担工程质量保修责任。</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lang w:val="en-US" w:eastAsia="zh-CN"/>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bookmarkStart w:id="1718" w:name="_Toc5236"/>
      <w:r>
        <w:rPr>
          <w:rFonts w:hint="eastAsia" w:ascii="方正仿宋_GB2312" w:hAnsi="方正仿宋_GB2312" w:eastAsia="方正仿宋_GB2312" w:cs="方正仿宋_GB2312"/>
          <w:color w:val="000000"/>
          <w:sz w:val="32"/>
          <w:szCs w:val="32"/>
        </w:rPr>
        <w:t>二、质量保修期</w:t>
      </w:r>
      <w:bookmarkEnd w:id="1718"/>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根据《建设工程质量管理条例》及有关规定，工程的质量保修期如下：</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color w:val="000000"/>
          <w:sz w:val="32"/>
          <w:szCs w:val="32"/>
        </w:rPr>
        <w:t>．</w:t>
      </w:r>
      <w:r>
        <w:rPr>
          <w:rFonts w:hint="eastAsia" w:ascii="方正仿宋_GB2312" w:hAnsi="方正仿宋_GB2312" w:eastAsia="方正仿宋_GB2312" w:cs="方正仿宋_GB2312"/>
          <w:sz w:val="32"/>
          <w:szCs w:val="32"/>
        </w:rPr>
        <w:t>地基基础工程和主体结构工程为设计文件规定的工程合理使用年限；</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屋面防水工程、有防水要求的卫生间、房间和外墙面的防渗     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装修工程为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电气管线、给排水管道、设备安装工程为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5</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供热与供冷系统为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个采暖期、供冷期；</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住宅小区内的给排水设施、道路等配套工程为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7</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其他项目保修期限约定如下：</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质量保修期自工程竣工验收合格之日起计算。</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bookmarkStart w:id="1719" w:name="_Toc1896"/>
      <w:r>
        <w:rPr>
          <w:rFonts w:hint="eastAsia" w:ascii="方正仿宋_GB2312" w:hAnsi="方正仿宋_GB2312" w:eastAsia="方正仿宋_GB2312" w:cs="方正仿宋_GB2312"/>
          <w:color w:val="000000"/>
          <w:sz w:val="32"/>
          <w:szCs w:val="32"/>
        </w:rPr>
        <w:t>三、缺陷责任期</w:t>
      </w:r>
      <w:bookmarkEnd w:id="1719"/>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工程缺陷责任期为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个月，缺陷责任期自工程通过竣工验收之日起计算。单位工程先于全部工程进行验收，单位工程缺陷责任期自单位工程验收合格之日起算。</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缺陷责任期终止后，发包人应退还剩余的质量保证金。</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bookmarkStart w:id="1720" w:name="_Toc20966"/>
      <w:r>
        <w:rPr>
          <w:rFonts w:hint="eastAsia" w:ascii="方正仿宋_GB2312" w:hAnsi="方正仿宋_GB2312" w:eastAsia="方正仿宋_GB2312" w:cs="方正仿宋_GB2312"/>
          <w:color w:val="000000"/>
          <w:sz w:val="32"/>
          <w:szCs w:val="32"/>
        </w:rPr>
        <w:t>四、质量保修责任</w:t>
      </w:r>
      <w:bookmarkEnd w:id="1720"/>
    </w:p>
    <w:p>
      <w:pPr>
        <w:keepNext w:val="0"/>
        <w:keepLines w:val="0"/>
        <w:pageBreakBefore w:val="0"/>
        <w:widowControl w:val="0"/>
        <w:kinsoku/>
        <w:wordWrap/>
        <w:overflowPunct/>
        <w:topLinePunct w:val="0"/>
        <w:autoSpaceDE/>
        <w:autoSpaceDN/>
        <w:bidi w:val="0"/>
        <w:adjustRightInd/>
        <w:snapToGrid/>
        <w:spacing w:line="440" w:lineRule="exact"/>
        <w:ind w:left="105" w:leftChars="50"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属于保修范围、内容的项目，承包人应当在接到保修通知之日起7天内派人保修。承包人不在约定期限内派人保修的，发包人可以委托他人修理。</w:t>
      </w:r>
    </w:p>
    <w:p>
      <w:pPr>
        <w:keepNext w:val="0"/>
        <w:keepLines w:val="0"/>
        <w:pageBreakBefore w:val="0"/>
        <w:widowControl w:val="0"/>
        <w:kinsoku/>
        <w:wordWrap/>
        <w:overflowPunct/>
        <w:topLinePunct w:val="0"/>
        <w:autoSpaceDE/>
        <w:autoSpaceDN/>
        <w:bidi w:val="0"/>
        <w:adjustRightInd/>
        <w:snapToGrid/>
        <w:spacing w:line="440" w:lineRule="exact"/>
        <w:ind w:left="105" w:leftChars="50"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发生紧急事故需抢修的，承包人在接到事故通知后，应当立即到达事故现场抢修。</w:t>
      </w:r>
    </w:p>
    <w:p>
      <w:pPr>
        <w:keepNext w:val="0"/>
        <w:keepLines w:val="0"/>
        <w:pageBreakBefore w:val="0"/>
        <w:widowControl w:val="0"/>
        <w:kinsoku/>
        <w:wordWrap/>
        <w:overflowPunct/>
        <w:topLinePunct w:val="0"/>
        <w:autoSpaceDE/>
        <w:autoSpaceDN/>
        <w:bidi w:val="0"/>
        <w:adjustRightInd/>
        <w:snapToGrid/>
        <w:spacing w:line="440" w:lineRule="exact"/>
        <w:ind w:left="105" w:leftChars="50"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sz w:val="32"/>
          <w:szCs w:val="32"/>
        </w:rPr>
        <w:t>质量保修完成后，由发包人组织验收。</w:t>
      </w:r>
      <w:bookmarkStart w:id="1721" w:name="_Toc5385"/>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五、保修费用</w:t>
      </w:r>
      <w:bookmarkEnd w:id="1721"/>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保修费用由造成质量缺陷的责任方承担。</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left"/>
        <w:textAlignment w:val="auto"/>
        <w:rPr>
          <w:rFonts w:hint="eastAsia" w:ascii="方正仿宋_GB2312" w:hAnsi="方正仿宋_GB2312" w:eastAsia="方正仿宋_GB2312" w:cs="方正仿宋_GB2312"/>
          <w:color w:val="000000"/>
          <w:sz w:val="32"/>
          <w:szCs w:val="32"/>
        </w:rPr>
      </w:pPr>
      <w:bookmarkStart w:id="1722" w:name="_Toc32183"/>
      <w:r>
        <w:rPr>
          <w:rFonts w:hint="eastAsia" w:ascii="方正仿宋_GB2312" w:hAnsi="方正仿宋_GB2312" w:eastAsia="方正仿宋_GB2312" w:cs="方正仿宋_GB2312"/>
          <w:b/>
          <w:color w:val="000000"/>
          <w:sz w:val="32"/>
          <w:szCs w:val="32"/>
        </w:rPr>
        <w:t>六</w:t>
      </w:r>
      <w:r>
        <w:rPr>
          <w:rFonts w:hint="eastAsia" w:ascii="方正仿宋_GB2312" w:hAnsi="方正仿宋_GB2312" w:eastAsia="方正仿宋_GB2312" w:cs="方正仿宋_GB2312"/>
          <w:color w:val="000000"/>
          <w:sz w:val="32"/>
          <w:szCs w:val="32"/>
        </w:rPr>
        <w:t>、双方约定的其他工程质量保修事项：</w:t>
      </w:r>
      <w:bookmarkEnd w:id="1722"/>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工程质量保修书由发包人、承包人在工程竣工验收前共同签署，作为施工合同附件，其有效期限至保修期满。</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发包人(公章)：</w:t>
      </w:r>
      <w:r>
        <w:rPr>
          <w:rFonts w:hint="eastAsia" w:ascii="方正仿宋_GB2312" w:hAnsi="方正仿宋_GB2312" w:eastAsia="方正仿宋_GB2312" w:cs="方正仿宋_GB2312"/>
          <w:color w:val="000000"/>
          <w:sz w:val="32"/>
          <w:szCs w:val="32"/>
          <w:u w:val="single"/>
        </w:rPr>
        <w:t xml:space="preserve">        </w:t>
      </w:r>
      <w:r>
        <w:rPr>
          <w:rFonts w:hint="eastAsia" w:ascii="方正仿宋_GB2312" w:hAnsi="方正仿宋_GB2312" w:eastAsia="方正仿宋_GB2312" w:cs="方正仿宋_GB2312"/>
          <w:color w:val="000000"/>
          <w:sz w:val="32"/>
          <w:szCs w:val="32"/>
        </w:rPr>
        <w:t xml:space="preserve"> 承包人(公章)：</w:t>
      </w:r>
      <w:r>
        <w:rPr>
          <w:rFonts w:hint="eastAsia" w:ascii="方正仿宋_GB2312" w:hAnsi="方正仿宋_GB2312" w:eastAsia="方正仿宋_GB2312" w:cs="方正仿宋_GB2312"/>
          <w:color w:val="000000"/>
          <w:sz w:val="32"/>
          <w:szCs w:val="32"/>
          <w:u w:val="single"/>
        </w:rPr>
        <w:t xml:space="preserve">          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地  址：</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 xml:space="preserve"> 地  址：</w:t>
      </w:r>
      <w:r>
        <w:rPr>
          <w:rFonts w:hint="eastAsia" w:ascii="方正仿宋_GB2312" w:hAnsi="方正仿宋_GB2312" w:eastAsia="方正仿宋_GB2312" w:cs="方正仿宋_GB2312"/>
          <w:color w:val="000000"/>
          <w:sz w:val="32"/>
          <w:szCs w:val="32"/>
          <w:u w:val="single"/>
        </w:rPr>
        <w:t xml:space="preserve"> 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法定代表人(签字)：</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法定代表人(签字)：</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委托代理人(签字)：</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委托代理人(签字)：</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电  话：</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电  话：</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传  真：</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传  真：</w:t>
      </w:r>
      <w:r>
        <w:rPr>
          <w:rFonts w:hint="eastAsia" w:ascii="方正仿宋_GB2312" w:hAnsi="方正仿宋_GB2312" w:eastAsia="方正仿宋_GB2312" w:cs="方正仿宋_GB2312"/>
          <w:color w:val="000000"/>
          <w:sz w:val="32"/>
          <w:szCs w:val="32"/>
          <w:u w:val="single"/>
        </w:rPr>
        <w:t xml:space="preserve">  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开户银行：</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开户银行：</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账  号：</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 xml:space="preserve">  账  号：</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邮政编码：</w:t>
      </w:r>
      <w:r>
        <w:rPr>
          <w:rFonts w:hint="eastAsia" w:ascii="方正仿宋_GB2312" w:hAnsi="方正仿宋_GB2312" w:eastAsia="方正仿宋_GB2312" w:cs="方正仿宋_GB2312"/>
          <w:color w:val="000000"/>
          <w:sz w:val="32"/>
          <w:szCs w:val="32"/>
          <w:u w:val="single"/>
        </w:rPr>
        <w:t xml:space="preserve">     </w:t>
      </w:r>
      <w:r>
        <w:rPr>
          <w:rFonts w:hint="eastAsia" w:ascii="方正仿宋_GB2312" w:hAnsi="方正仿宋_GB2312" w:eastAsia="方正仿宋_GB2312" w:cs="方正仿宋_GB2312"/>
          <w:color w:val="000000"/>
          <w:sz w:val="32"/>
          <w:szCs w:val="32"/>
        </w:rPr>
        <w:t xml:space="preserve"> 邮政编码：</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b/>
          <w:color w:val="000000"/>
          <w:sz w:val="32"/>
          <w:szCs w:val="32"/>
        </w:rPr>
        <w:br w:type="page"/>
      </w:r>
      <w:r>
        <w:rPr>
          <w:rFonts w:hint="eastAsia" w:ascii="方正仿宋_GB2312" w:hAnsi="方正仿宋_GB2312" w:eastAsia="方正仿宋_GB2312" w:cs="方正仿宋_GB2312"/>
          <w:color w:val="000000"/>
          <w:sz w:val="32"/>
          <w:szCs w:val="32"/>
        </w:rPr>
        <w:t>附件4：</w:t>
      </w:r>
    </w:p>
    <w:p>
      <w:pPr>
        <w:pageBreakBefore w:val="0"/>
        <w:kinsoku/>
        <w:bidi w:val="0"/>
        <w:spacing w:before="156" w:beforeLines="50" w:after="156" w:afterLines="50" w:line="440" w:lineRule="exact"/>
        <w:ind w:firstLine="0" w:firstLineChars="0"/>
        <w:jc w:val="center"/>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主要建设工程文件目录</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文件名称</w:t>
            </w:r>
          </w:p>
        </w:tc>
        <w:tc>
          <w:tcPr>
            <w:tcW w:w="1276"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套数</w:t>
            </w:r>
          </w:p>
        </w:tc>
        <w:tc>
          <w:tcPr>
            <w:tcW w:w="145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费用（元）</w:t>
            </w:r>
          </w:p>
        </w:tc>
        <w:tc>
          <w:tcPr>
            <w:tcW w:w="1243"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质量</w:t>
            </w:r>
          </w:p>
        </w:tc>
        <w:tc>
          <w:tcPr>
            <w:tcW w:w="1450" w:type="dxa"/>
            <w:tcBorders>
              <w:top w:val="single" w:color="auto" w:sz="12" w:space="0"/>
              <w:bottom w:val="double" w:color="auto" w:sz="6" w:space="0"/>
            </w:tcBorders>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移交时间</w:t>
            </w:r>
          </w:p>
        </w:tc>
        <w:tc>
          <w:tcPr>
            <w:tcW w:w="1667" w:type="dxa"/>
            <w:tcBorders>
              <w:top w:val="single" w:color="auto" w:sz="12" w:space="0"/>
              <w:bottom w:val="double" w:color="auto" w:sz="6" w:space="0"/>
            </w:tcBorders>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76"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243"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667"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76"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243"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667"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bl>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br w:type="page"/>
      </w:r>
      <w:r>
        <w:rPr>
          <w:rFonts w:hint="eastAsia" w:ascii="方正仿宋_GB2312" w:hAnsi="方正仿宋_GB2312" w:eastAsia="方正仿宋_GB2312" w:cs="方正仿宋_GB2312"/>
          <w:color w:val="000000"/>
          <w:sz w:val="32"/>
          <w:szCs w:val="32"/>
        </w:rPr>
        <w:t>附</w:t>
      </w:r>
      <w:bookmarkStart w:id="1723" w:name="_Toc296944566"/>
      <w:bookmarkStart w:id="1724" w:name="_Toc296891055"/>
      <w:bookmarkStart w:id="1725" w:name="_Toc296346728"/>
      <w:bookmarkStart w:id="1726" w:name="_Toc296347226"/>
      <w:bookmarkStart w:id="1727" w:name="_Toc296503227"/>
      <w:bookmarkStart w:id="1728" w:name="_Toc267261698"/>
      <w:bookmarkStart w:id="1729" w:name="_Toc296891267"/>
      <w:r>
        <w:rPr>
          <w:rFonts w:hint="eastAsia" w:ascii="方正仿宋_GB2312" w:hAnsi="方正仿宋_GB2312" w:eastAsia="方正仿宋_GB2312" w:cs="方正仿宋_GB2312"/>
          <w:color w:val="000000"/>
          <w:sz w:val="32"/>
          <w:szCs w:val="32"/>
        </w:rPr>
        <w:t>件5：</w:t>
      </w:r>
    </w:p>
    <w:bookmarkEnd w:id="1723"/>
    <w:bookmarkEnd w:id="1724"/>
    <w:bookmarkEnd w:id="1725"/>
    <w:bookmarkEnd w:id="1726"/>
    <w:bookmarkEnd w:id="1727"/>
    <w:bookmarkEnd w:id="1728"/>
    <w:bookmarkEnd w:id="1729"/>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承包人用于本工程施工的机械设备表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序号</w:t>
            </w:r>
          </w:p>
        </w:tc>
        <w:tc>
          <w:tcPr>
            <w:tcW w:w="1418"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机械或设备名称</w:t>
            </w:r>
          </w:p>
        </w:tc>
        <w:tc>
          <w:tcPr>
            <w:tcW w:w="85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规格型号</w:t>
            </w:r>
          </w:p>
        </w:tc>
        <w:tc>
          <w:tcPr>
            <w:tcW w:w="1058"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数量</w:t>
            </w:r>
          </w:p>
        </w:tc>
        <w:tc>
          <w:tcPr>
            <w:tcW w:w="88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产地</w:t>
            </w:r>
          </w:p>
        </w:tc>
        <w:tc>
          <w:tcPr>
            <w:tcW w:w="102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制造年份</w:t>
            </w:r>
          </w:p>
        </w:tc>
        <w:tc>
          <w:tcPr>
            <w:tcW w:w="148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额定功率(kW)</w:t>
            </w:r>
          </w:p>
        </w:tc>
        <w:tc>
          <w:tcPr>
            <w:tcW w:w="1020"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生产能力</w:t>
            </w:r>
          </w:p>
        </w:tc>
        <w:tc>
          <w:tcPr>
            <w:tcW w:w="921"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5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5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8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8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020"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921"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1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5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58"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8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48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1020"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c>
          <w:tcPr>
            <w:tcW w:w="92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tc>
      </w:tr>
    </w:tbl>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w:t>
      </w:r>
      <w:bookmarkStart w:id="1730" w:name="_Toc296944567"/>
      <w:bookmarkStart w:id="1731" w:name="_Toc296503228"/>
      <w:bookmarkStart w:id="1732" w:name="_Toc296347227"/>
      <w:bookmarkStart w:id="1733" w:name="_Toc296346729"/>
      <w:bookmarkStart w:id="1734" w:name="_Toc296891268"/>
      <w:bookmarkStart w:id="1735" w:name="_Toc267261699"/>
      <w:bookmarkStart w:id="1736" w:name="_Toc296891056"/>
      <w:r>
        <w:rPr>
          <w:rFonts w:hint="eastAsia" w:ascii="方正仿宋_GB2312" w:hAnsi="方正仿宋_GB2312" w:eastAsia="方正仿宋_GB2312" w:cs="方正仿宋_GB2312"/>
          <w:color w:val="000000"/>
          <w:sz w:val="32"/>
          <w:szCs w:val="32"/>
        </w:rPr>
        <w:t>件6：</w:t>
      </w:r>
    </w:p>
    <w:bookmarkEnd w:id="1730"/>
    <w:bookmarkEnd w:id="1731"/>
    <w:bookmarkEnd w:id="1732"/>
    <w:bookmarkEnd w:id="1733"/>
    <w:bookmarkEnd w:id="1734"/>
    <w:bookmarkEnd w:id="1735"/>
    <w:bookmarkEnd w:id="1736"/>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承包人主要施工管理人员表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名    称</w:t>
            </w:r>
          </w:p>
        </w:tc>
        <w:tc>
          <w:tcPr>
            <w:tcW w:w="1418"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姓名</w:t>
            </w:r>
          </w:p>
        </w:tc>
        <w:tc>
          <w:tcPr>
            <w:tcW w:w="1134"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职务</w:t>
            </w:r>
          </w:p>
        </w:tc>
        <w:tc>
          <w:tcPr>
            <w:tcW w:w="1134"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职称</w:t>
            </w:r>
          </w:p>
        </w:tc>
        <w:tc>
          <w:tcPr>
            <w:tcW w:w="4252"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项目主管</w:t>
            </w:r>
          </w:p>
        </w:tc>
        <w:tc>
          <w:tcPr>
            <w:tcW w:w="1418"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其他人员</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项目经理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项目副经理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技术负责人</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造价管理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质量管理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材料管理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计划管理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安全管理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其他人员</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tcBorders>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tcBorders>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bl>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br w:type="page"/>
      </w:r>
      <w:r>
        <w:rPr>
          <w:rFonts w:hint="eastAsia" w:ascii="方正仿宋_GB2312" w:hAnsi="方正仿宋_GB2312" w:eastAsia="方正仿宋_GB2312" w:cs="方正仿宋_GB2312"/>
          <w:color w:val="000000"/>
          <w:sz w:val="32"/>
          <w:szCs w:val="32"/>
        </w:rPr>
        <w:t>附</w:t>
      </w:r>
      <w:bookmarkStart w:id="1737" w:name="_Toc296944568"/>
      <w:bookmarkStart w:id="1738" w:name="_Toc296891269"/>
      <w:bookmarkStart w:id="1739" w:name="_Toc296891057"/>
      <w:bookmarkStart w:id="1740" w:name="_Toc296347228"/>
      <w:bookmarkStart w:id="1741" w:name="_Toc296346730"/>
      <w:bookmarkStart w:id="1742" w:name="_Toc296503229"/>
      <w:r>
        <w:rPr>
          <w:rFonts w:hint="eastAsia" w:ascii="方正仿宋_GB2312" w:hAnsi="方正仿宋_GB2312" w:eastAsia="方正仿宋_GB2312" w:cs="方正仿宋_GB2312"/>
          <w:color w:val="000000"/>
          <w:sz w:val="32"/>
          <w:szCs w:val="32"/>
        </w:rPr>
        <w:t>件7：</w:t>
      </w:r>
    </w:p>
    <w:bookmarkEnd w:id="1737"/>
    <w:bookmarkEnd w:id="1738"/>
    <w:bookmarkEnd w:id="1739"/>
    <w:bookmarkEnd w:id="1740"/>
    <w:bookmarkEnd w:id="1741"/>
    <w:bookmarkEnd w:id="1742"/>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分包人主要施工管理人员表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名    称</w:t>
            </w:r>
          </w:p>
        </w:tc>
        <w:tc>
          <w:tcPr>
            <w:tcW w:w="1418"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姓名</w:t>
            </w:r>
          </w:p>
        </w:tc>
        <w:tc>
          <w:tcPr>
            <w:tcW w:w="1134"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职务</w:t>
            </w:r>
          </w:p>
        </w:tc>
        <w:tc>
          <w:tcPr>
            <w:tcW w:w="1134"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职称</w:t>
            </w:r>
          </w:p>
        </w:tc>
        <w:tc>
          <w:tcPr>
            <w:tcW w:w="4252" w:type="dxa"/>
            <w:tcBorders>
              <w:top w:val="single" w:color="auto" w:sz="12" w:space="0"/>
              <w:bottom w:val="doub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项目主管</w:t>
            </w:r>
          </w:p>
        </w:tc>
        <w:tc>
          <w:tcPr>
            <w:tcW w:w="1418"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tcBorders>
              <w:top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其他人员</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项目经理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项目副经理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技术负责人</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造价管理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质量管理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材料管理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计划管理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安全管理</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r>
              <w:rPr>
                <w:rFonts w:hint="eastAsia" w:ascii="方正仿宋_GB2312" w:hAnsi="方正仿宋_GB2312" w:eastAsia="方正仿宋_GB2312" w:cs="方正仿宋_GB2312"/>
                <w:color w:val="000000"/>
                <w:kern w:val="2"/>
                <w:sz w:val="32"/>
                <w:szCs w:val="32"/>
                <w:lang w:val="en-US" w:eastAsia="zh-CN"/>
              </w:rPr>
              <w:t>其他人员</w:t>
            </w: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tcBorders>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tcBorders>
              <w:bottom w:val="nil"/>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418" w:type="dxa"/>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1134" w:type="dxa"/>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c>
          <w:tcPr>
            <w:tcW w:w="4252" w:type="dxa"/>
            <w:tcBorders>
              <w:bottom w:val="single" w:color="auto" w:sz="12" w:space="0"/>
            </w:tcBorders>
            <w:noWrap w:val="0"/>
            <w:vAlign w:val="center"/>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32"/>
                <w:szCs w:val="32"/>
                <w:lang w:val="en-US" w:eastAsia="zh-CN"/>
              </w:rPr>
            </w:pPr>
          </w:p>
        </w:tc>
      </w:tr>
    </w:tbl>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br w:type="page"/>
      </w:r>
      <w:bookmarkStart w:id="1743" w:name="_Toc267261701"/>
      <w:r>
        <w:rPr>
          <w:rFonts w:hint="eastAsia" w:ascii="方正仿宋_GB2312" w:hAnsi="方正仿宋_GB2312" w:eastAsia="方正仿宋_GB2312" w:cs="方正仿宋_GB2312"/>
          <w:color w:val="000000"/>
          <w:sz w:val="32"/>
          <w:szCs w:val="32"/>
        </w:rPr>
        <w:t>附</w:t>
      </w:r>
      <w:bookmarkStart w:id="1744" w:name="_Toc296347230"/>
      <w:bookmarkStart w:id="1745" w:name="_Toc296346732"/>
      <w:bookmarkStart w:id="1746" w:name="_Toc296503231"/>
      <w:bookmarkStart w:id="1747" w:name="_Toc296891271"/>
      <w:bookmarkStart w:id="1748" w:name="_Toc296891059"/>
      <w:bookmarkStart w:id="1749" w:name="_Toc296944570"/>
      <w:r>
        <w:rPr>
          <w:rFonts w:hint="eastAsia" w:ascii="方正仿宋_GB2312" w:hAnsi="方正仿宋_GB2312" w:eastAsia="方正仿宋_GB2312" w:cs="方正仿宋_GB2312"/>
          <w:color w:val="000000"/>
          <w:sz w:val="32"/>
          <w:szCs w:val="32"/>
        </w:rPr>
        <w:t>件8：</w:t>
      </w:r>
    </w:p>
    <w:bookmarkEnd w:id="1743"/>
    <w:bookmarkEnd w:id="1744"/>
    <w:bookmarkEnd w:id="1745"/>
    <w:bookmarkEnd w:id="1746"/>
    <w:bookmarkEnd w:id="1747"/>
    <w:bookmarkEnd w:id="1748"/>
    <w:bookmarkEnd w:id="1749"/>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履约担保</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rPr>
        <w:t>（发包人名称）：</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鉴于</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（发包人名称，以下简称“发包人”）与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（承包人名称）（以下称“承包人”）于</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月</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日就</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（工程名称）施工及有关事项协商一致共同签订《建设工程施工合同》。我方愿意无条件地、不可撤销地就承包人履行与你方签订的合同，向你方提供连带责任担保。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 担保金额人民币（大写）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元（¥</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 担保有效期自你方与承包人签订的合同生效之日起至你方签发或应签发工程接收证书之日止。</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 在本担保有效期内，因承包人违反合同约定的义务给你方造成经济损失时，我方在收到你方以书面形式提出的在担保金额内的赔偿要求后，在7天内无条件支付。</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 你方和承包人按合同约定变更合同时，我方承担本担保规定的义务不变。</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5. 因本保函发生的纠纷，可由双方协商解决，协商不成的，任何一方均可提请</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仲裁委员会仲裁。</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 本保函自我方法定代表人（或其授权代理人）签字并加盖公章之日起生效。</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担 保 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（盖单位章）</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法定代表人或其委托代理人：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（签字）</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地    址：</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邮政编码：</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电    话：</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传    真：</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u w:val="single"/>
        </w:rPr>
      </w:pPr>
    </w:p>
    <w:p>
      <w:pPr>
        <w:pageBreakBefore w:val="0"/>
        <w:kinsoku/>
        <w:bidi w:val="0"/>
        <w:spacing w:line="440" w:lineRule="exact"/>
        <w:ind w:left="1899"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sz w:val="32"/>
          <w:szCs w:val="32"/>
          <w:lang w:val="en-US" w:eastAsia="zh-CN"/>
        </w:rPr>
        <w:t xml:space="preserve">     </w:t>
      </w: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月</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日</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w:t>
      </w:r>
      <w:bookmarkStart w:id="1750" w:name="_Toc296347231"/>
      <w:bookmarkStart w:id="1751" w:name="_Toc296346733"/>
      <w:bookmarkStart w:id="1752" w:name="_Toc296891060"/>
      <w:bookmarkStart w:id="1753" w:name="_Toc267261702"/>
      <w:bookmarkStart w:id="1754" w:name="_Toc296503232"/>
      <w:bookmarkStart w:id="1755" w:name="_Toc296891272"/>
      <w:bookmarkStart w:id="1756" w:name="_Toc296944571"/>
      <w:r>
        <w:rPr>
          <w:rFonts w:hint="eastAsia" w:ascii="方正仿宋_GB2312" w:hAnsi="方正仿宋_GB2312" w:eastAsia="方正仿宋_GB2312" w:cs="方正仿宋_GB2312"/>
          <w:color w:val="000000"/>
          <w:sz w:val="32"/>
          <w:szCs w:val="32"/>
        </w:rPr>
        <w:t>件9 ：</w:t>
      </w:r>
    </w:p>
    <w:bookmarkEnd w:id="1750"/>
    <w:bookmarkEnd w:id="1751"/>
    <w:bookmarkEnd w:id="1752"/>
    <w:bookmarkEnd w:id="1753"/>
    <w:bookmarkEnd w:id="1754"/>
    <w:bookmarkEnd w:id="1755"/>
    <w:bookmarkEnd w:id="1756"/>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预付款担保</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 xml:space="preserve"> （发包人名称）：</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根据</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（承包人名称）（以下称“承包人”）与</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（发包人名称）（以下简称“发包人”）</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于</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月</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日签订的</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（工程名称）《建设工程施工合同》，承包人按约定的金额向你方提交一份预付款担保，即有权得到你方支付相等金额的预付款。我方愿意就你方提供给承包人的预付款为承包人提供连带责任担保。</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 担保金额人民币（大写）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元（¥</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 担保有效期自预付款支付给承包人起生效，至你方签发的进度款支付证书说明已完全扣清止。</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 你方和承包人按合同约定变更合同时，我方承担本保函规定的义务不变。</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5. 因本保函发生的纠纷，可由双方协商解决，协商不成的，任何一方均可提请</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仲裁委员会仲裁。</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6. 本保函自我方法定代表人（或其授权代理人）签字并加盖公章之日起生效。</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val="en-US" w:eastAsia="zh-CN"/>
        </w:rPr>
        <w:t xml:space="preserve">    </w:t>
      </w:r>
      <w:r>
        <w:rPr>
          <w:rFonts w:hint="eastAsia" w:ascii="方正仿宋_GB2312" w:hAnsi="方正仿宋_GB2312" w:eastAsia="方正仿宋_GB2312" w:cs="方正仿宋_GB2312"/>
          <w:color w:val="000000"/>
          <w:sz w:val="32"/>
          <w:szCs w:val="32"/>
        </w:rPr>
        <w:t>担保人：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（盖单位章）</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lang w:val="en-US" w:eastAsia="zh-CN"/>
        </w:rPr>
        <w:t xml:space="preserve"> </w:t>
      </w:r>
      <w:r>
        <w:rPr>
          <w:rFonts w:hint="eastAsia" w:ascii="方正仿宋_GB2312" w:hAnsi="方正仿宋_GB2312" w:eastAsia="方正仿宋_GB2312" w:cs="方正仿宋_GB2312"/>
          <w:color w:val="000000"/>
          <w:sz w:val="32"/>
          <w:szCs w:val="32"/>
        </w:rPr>
        <w:t>法定代表人或其委托代理人：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（签字）</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地    址：</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邮政编码：</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电    话：</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方正仿宋_GB2312" w:hAnsi="方正仿宋_GB2312" w:eastAsia="方正仿宋_GB2312" w:cs="方正仿宋_GB2312"/>
          <w:color w:val="000000"/>
          <w:sz w:val="32"/>
          <w:szCs w:val="32"/>
          <w:u w:val="single"/>
        </w:rPr>
      </w:pPr>
      <w:r>
        <w:rPr>
          <w:rFonts w:hint="eastAsia" w:ascii="方正仿宋_GB2312" w:hAnsi="方正仿宋_GB2312" w:eastAsia="方正仿宋_GB2312" w:cs="方正仿宋_GB2312"/>
          <w:color w:val="000000"/>
          <w:sz w:val="32"/>
          <w:szCs w:val="32"/>
        </w:rPr>
        <w:t>传    真：</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r>
        <w:rPr>
          <w:rFonts w:hint="eastAsia" w:ascii="方正仿宋_GB2312" w:hAnsi="方正仿宋_GB2312" w:eastAsia="方正仿宋_GB2312" w:cs="方正仿宋_GB2312"/>
          <w:color w:val="000000"/>
          <w:sz w:val="32"/>
          <w:szCs w:val="32"/>
          <w:u w:val="single"/>
        </w:rPr>
        <w:tab/>
      </w:r>
    </w:p>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righ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月</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日</w:t>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b/>
          <w:color w:val="000000"/>
          <w:sz w:val="32"/>
          <w:szCs w:val="32"/>
        </w:rPr>
        <w:br w:type="page"/>
      </w:r>
      <w:r>
        <w:rPr>
          <w:rFonts w:hint="eastAsia" w:ascii="方正仿宋_GB2312" w:hAnsi="方正仿宋_GB2312" w:eastAsia="方正仿宋_GB2312" w:cs="方正仿宋_GB2312"/>
          <w:color w:val="000000"/>
          <w:sz w:val="32"/>
          <w:szCs w:val="32"/>
        </w:rPr>
        <w:t>附</w:t>
      </w:r>
      <w:bookmarkStart w:id="1757" w:name="_Toc296503233"/>
      <w:bookmarkStart w:id="1758" w:name="_Toc296891273"/>
      <w:bookmarkStart w:id="1759" w:name="_Toc296891061"/>
      <w:bookmarkStart w:id="1760" w:name="_Toc296346734"/>
      <w:bookmarkStart w:id="1761" w:name="_Toc296347232"/>
      <w:bookmarkStart w:id="1762" w:name="_Toc296944572"/>
      <w:r>
        <w:rPr>
          <w:rFonts w:hint="eastAsia" w:ascii="方正仿宋_GB2312" w:hAnsi="方正仿宋_GB2312" w:eastAsia="方正仿宋_GB2312" w:cs="方正仿宋_GB2312"/>
          <w:color w:val="000000"/>
          <w:sz w:val="32"/>
          <w:szCs w:val="32"/>
        </w:rPr>
        <w:t xml:space="preserve">件10:  </w:t>
      </w:r>
    </w:p>
    <w:bookmarkEnd w:id="1757"/>
    <w:bookmarkEnd w:id="1758"/>
    <w:bookmarkEnd w:id="1759"/>
    <w:bookmarkEnd w:id="1760"/>
    <w:bookmarkEnd w:id="1761"/>
    <w:bookmarkEnd w:id="1762"/>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支付担保</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（承包人）：</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鉴于你方作为承包人已经与</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（发包人名称）（以下称“发包人”）于</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月</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日签订了</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（工程名称）《建设工程施工合同》（以下称“主合同”），应发包人的申请，我方愿就发包人履行主合同约定的工程款支付义务以保证的方式向你方提供如下担保：</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763" w:name="_Toc8090"/>
      <w:r>
        <w:rPr>
          <w:rFonts w:hint="eastAsia" w:ascii="方正仿宋_GB2312" w:hAnsi="方正仿宋_GB2312" w:eastAsia="方正仿宋_GB2312" w:cs="方正仿宋_GB2312"/>
          <w:color w:val="000000"/>
          <w:sz w:val="32"/>
          <w:szCs w:val="32"/>
        </w:rPr>
        <w:t>一、保证的范围及保证金额</w:t>
      </w:r>
      <w:bookmarkEnd w:id="1763"/>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 我方的保证范围是主合同约定的工程款。</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 本保函所称主合同约定的工程款是指主合同约定的除工程质量保证金以外的合同价款。</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 我方保证的金额是主合同约定的工程款的</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%，数额最高不超过人民币元（大写：</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764" w:name="_Toc3997"/>
      <w:r>
        <w:rPr>
          <w:rFonts w:hint="eastAsia" w:ascii="方正仿宋_GB2312" w:hAnsi="方正仿宋_GB2312" w:eastAsia="方正仿宋_GB2312" w:cs="方正仿宋_GB2312"/>
          <w:color w:val="000000"/>
          <w:sz w:val="32"/>
          <w:szCs w:val="32"/>
        </w:rPr>
        <w:t>二、保证的方式及保证期间</w:t>
      </w:r>
      <w:bookmarkEnd w:id="1764"/>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 我方保证的方式为：连带责任保证。</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 我方保证的期间为：自本合同生效之日起至主合同约定的工程款支付完毕之日后</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日内。</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 你方与发包人协议变更工程款支付日期的，经我方书面同意后，保证期间按照变更后的支付日期做相应调整。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765" w:name="_Toc16956"/>
      <w:r>
        <w:rPr>
          <w:rFonts w:hint="eastAsia" w:ascii="方正仿宋_GB2312" w:hAnsi="方正仿宋_GB2312" w:eastAsia="方正仿宋_GB2312" w:cs="方正仿宋_GB2312"/>
          <w:color w:val="000000"/>
          <w:sz w:val="32"/>
          <w:szCs w:val="32"/>
        </w:rPr>
        <w:t>三、承担保证责任的形式</w:t>
      </w:r>
      <w:bookmarkEnd w:id="1765"/>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我方承担保证责任的形式是代为支付。发包人未按主合同约定向你方支付工程款的，由我方在保证金额内代为支付。</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766" w:name="_Toc22358"/>
      <w:r>
        <w:rPr>
          <w:rFonts w:hint="eastAsia" w:ascii="方正仿宋_GB2312" w:hAnsi="方正仿宋_GB2312" w:eastAsia="方正仿宋_GB2312" w:cs="方正仿宋_GB2312"/>
          <w:color w:val="000000"/>
          <w:sz w:val="32"/>
          <w:szCs w:val="32"/>
        </w:rPr>
        <w:t>四、代偿的安排</w:t>
      </w:r>
      <w:bookmarkEnd w:id="1766"/>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 你方要求我方承担保证责任的，应向我方发出书面索赔通知及发包人未支付主合同约定工程款的证明材料。索赔通知应写明要求索赔的金额，支付款项应到达的账号。</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 在出现你方与发包人因工程质量发生争议，发包人拒绝向你方支付工程款的情形时，你方要求我方履行保证责任代为支付的，需提供符合相应条件要求的工程质量检测机构出具的质量说明材料。</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 我方收到你方的书面索赔通知及相应的证明材料后７天内无条件支付。</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767" w:name="_Toc12884"/>
      <w:r>
        <w:rPr>
          <w:rFonts w:hint="eastAsia" w:ascii="方正仿宋_GB2312" w:hAnsi="方正仿宋_GB2312" w:eastAsia="方正仿宋_GB2312" w:cs="方正仿宋_GB2312"/>
          <w:color w:val="000000"/>
          <w:sz w:val="32"/>
          <w:szCs w:val="32"/>
        </w:rPr>
        <w:t>五、保证责任的解除</w:t>
      </w:r>
      <w:bookmarkEnd w:id="1767"/>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 在本保函承诺的保证期间内，你方未书面向我方主张保证责任的，自保证期间届满次日起，我方保证责任解除。</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 发包人按主合同约定履行了工程款的全部支付义务的，自本保函承诺的保证期间届满次日起，我方保证责任解除。</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 我方按照本保函向你方履行保证责任所支付金额达到本保函保证金额时，自我方向你方支付（支付款项从我方账户划出）之日起，保证责任即解除。</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 按照法律法规的规定或出现应解除我方保证责任的其他情形的，我方在本保函项下的保证责任亦解除。</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5. 我方解除保证责任后，你方应自我方保证责任解除之日起</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个工作日内，将本保函原件返还我方。</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768" w:name="_Toc12005"/>
      <w:r>
        <w:rPr>
          <w:rFonts w:hint="eastAsia" w:ascii="方正仿宋_GB2312" w:hAnsi="方正仿宋_GB2312" w:eastAsia="方正仿宋_GB2312" w:cs="方正仿宋_GB2312"/>
          <w:color w:val="000000"/>
          <w:sz w:val="32"/>
          <w:szCs w:val="32"/>
        </w:rPr>
        <w:t>六、免责条款</w:t>
      </w:r>
      <w:bookmarkEnd w:id="1768"/>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 因你方违约致使发包人不能履行义务的，我方不承担保证责任。</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 依照法律法规的规定或你方与发包人的另行约定，免除发包人部分或全部义务的，我方亦免除其相应的保证责任。</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3. 你方与发包人协议变更主合同的，如加重发包人责任致使我方保证责任加重的，需征得我方书面同意，否则我方不再承担因此而加重部分的保证责任，但主合同第10条〔变更〕约定的变更不受本款限制。</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4. 因不可抗力造成发包人不能履行义务的，我方不承担保证责任。</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769" w:name="_Toc15171"/>
      <w:r>
        <w:rPr>
          <w:rFonts w:hint="eastAsia" w:ascii="方正仿宋_GB2312" w:hAnsi="方正仿宋_GB2312" w:eastAsia="方正仿宋_GB2312" w:cs="方正仿宋_GB2312"/>
          <w:color w:val="000000"/>
          <w:sz w:val="32"/>
          <w:szCs w:val="32"/>
        </w:rPr>
        <w:t>七、争议解决</w:t>
      </w:r>
      <w:bookmarkEnd w:id="1769"/>
    </w:p>
    <w:p>
      <w:pPr>
        <w:keepNext w:val="0"/>
        <w:keepLines w:val="0"/>
        <w:pageBreakBefore w:val="0"/>
        <w:widowControl w:val="0"/>
        <w:kinsoku/>
        <w:wordWrap/>
        <w:overflowPunct/>
        <w:topLinePunct w:val="0"/>
        <w:autoSpaceDE/>
        <w:autoSpaceDN/>
        <w:bidi w:val="0"/>
        <w:adjustRightInd/>
        <w:snapToGrid/>
        <w:spacing w:after="120" w:line="440" w:lineRule="exact"/>
        <w:ind w:firstLine="640" w:firstLineChars="20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因本保函或本保函相关事项发生的纠纷，可由双方协商解决，协商不成的，按下列第</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种方式解决：</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（1）向</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仲裁委员会申请仲裁；</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（2）向</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人民法院起诉。</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color w:val="000000"/>
          <w:sz w:val="32"/>
          <w:szCs w:val="32"/>
        </w:rPr>
      </w:pPr>
      <w:bookmarkStart w:id="1770" w:name="_Toc20459"/>
      <w:r>
        <w:rPr>
          <w:rFonts w:hint="eastAsia" w:ascii="方正仿宋_GB2312" w:hAnsi="方正仿宋_GB2312" w:eastAsia="方正仿宋_GB2312" w:cs="方正仿宋_GB2312"/>
          <w:color w:val="000000"/>
          <w:sz w:val="32"/>
          <w:szCs w:val="32"/>
        </w:rPr>
        <w:t>八、保函的生效</w:t>
      </w:r>
      <w:bookmarkEnd w:id="1770"/>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本保函自我方法定代表人（或其授权代理人）签字并加盖公章之日起生效。</w:t>
      </w:r>
    </w:p>
    <w:p>
      <w:pPr>
        <w:keepNext w:val="0"/>
        <w:keepLines w:val="0"/>
        <w:pageBreakBefore w:val="0"/>
        <w:widowControl w:val="0"/>
        <w:kinsoku/>
        <w:wordWrap/>
        <w:overflowPunct/>
        <w:topLinePunct w:val="0"/>
        <w:autoSpaceDE/>
        <w:autoSpaceDN/>
        <w:bidi w:val="0"/>
        <w:adjustRightInd/>
        <w:snapToGrid/>
        <w:spacing w:line="440" w:lineRule="exact"/>
        <w:ind w:right="600" w:firstLine="640" w:firstLineChars="200"/>
        <w:jc w:val="left"/>
        <w:textAlignment w:val="auto"/>
        <w:rPr>
          <w:rFonts w:hint="eastAsia" w:ascii="方正仿宋_GB2312" w:hAnsi="方正仿宋_GB2312" w:eastAsia="方正仿宋_GB2312" w:cs="方正仿宋_GB2312"/>
          <w:color w:val="000000"/>
          <w:sz w:val="32"/>
          <w:szCs w:val="32"/>
        </w:rPr>
      </w:pPr>
    </w:p>
    <w:p>
      <w:pPr>
        <w:pageBreakBefore w:val="0"/>
        <w:kinsoku/>
        <w:bidi w:val="0"/>
        <w:spacing w:line="440" w:lineRule="exact"/>
        <w:ind w:right="600"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担保人：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（盖章）</w:t>
      </w:r>
    </w:p>
    <w:p>
      <w:pPr>
        <w:pageBreakBefore w:val="0"/>
        <w:kinsoku/>
        <w:bidi w:val="0"/>
        <w:spacing w:line="440" w:lineRule="exact"/>
        <w:ind w:right="1200" w:firstLine="0" w:firstLineChars="0"/>
        <w:jc w:val="left"/>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法定代表人或委托代理人：</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（签字）</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地    址：</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邮政编码：</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传    真：</w:t>
      </w:r>
      <w:r>
        <w:rPr>
          <w:rFonts w:hint="eastAsia" w:ascii="方正仿宋_GB2312" w:hAnsi="方正仿宋_GB2312" w:eastAsia="方正仿宋_GB2312" w:cs="方正仿宋_GB2312"/>
          <w:color w:val="000000"/>
          <w:sz w:val="32"/>
          <w:szCs w:val="32"/>
          <w:u w:val="single"/>
        </w:rPr>
        <w:t xml:space="preserve">                                        </w:t>
      </w:r>
    </w:p>
    <w:p>
      <w:pPr>
        <w:pageBreakBefore w:val="0"/>
        <w:kinsoku/>
        <w:bidi w:val="0"/>
        <w:spacing w:line="440" w:lineRule="exact"/>
        <w:ind w:right="150" w:firstLine="0" w:firstLineChars="0"/>
        <w:jc w:val="left"/>
        <w:rPr>
          <w:rFonts w:hint="eastAsia" w:ascii="方正仿宋_GB2312" w:hAnsi="方正仿宋_GB2312" w:eastAsia="方正仿宋_GB2312" w:cs="方正仿宋_GB2312"/>
          <w:color w:val="000000"/>
          <w:sz w:val="32"/>
          <w:szCs w:val="32"/>
          <w:u w:val="single"/>
        </w:rPr>
      </w:pPr>
    </w:p>
    <w:p>
      <w:pPr>
        <w:pageBreakBefore w:val="0"/>
        <w:kinsoku/>
        <w:bidi w:val="0"/>
        <w:spacing w:line="440" w:lineRule="exact"/>
        <w:ind w:right="150" w:firstLine="0" w:firstLineChars="0"/>
        <w:jc w:val="left"/>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 xml:space="preserve">             </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月</w:t>
      </w:r>
      <w:r>
        <w:rPr>
          <w:rFonts w:hint="eastAsia" w:ascii="方正仿宋_GB2312" w:hAnsi="方正仿宋_GB2312" w:eastAsia="方正仿宋_GB2312" w:cs="方正仿宋_GB2312"/>
          <w:color w:val="000000"/>
          <w:sz w:val="32"/>
          <w:szCs w:val="32"/>
          <w:u w:val="single"/>
        </w:rPr>
        <w:t xml:space="preserve">      </w:t>
      </w:r>
      <w:r>
        <w:rPr>
          <w:rFonts w:hint="eastAsia" w:ascii="方正仿宋_GB2312" w:hAnsi="方正仿宋_GB2312" w:eastAsia="方正仿宋_GB2312" w:cs="方正仿宋_GB2312"/>
          <w:color w:val="000000"/>
          <w:sz w:val="32"/>
          <w:szCs w:val="32"/>
        </w:rPr>
        <w:t>日</w:t>
      </w:r>
    </w:p>
    <w:p>
      <w:pP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br w:type="page"/>
      </w:r>
    </w:p>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附件11：</w:t>
      </w:r>
    </w:p>
    <w:p>
      <w:pPr>
        <w:pageBreakBefore w:val="0"/>
        <w:kinsoku/>
        <w:bidi w:val="0"/>
        <w:spacing w:before="156" w:beforeLines="50" w:after="156" w:afterLines="50" w:line="440" w:lineRule="exact"/>
        <w:ind w:firstLine="0" w:firstLineChars="0"/>
        <w:jc w:val="center"/>
        <w:outlineLvl w:val="9"/>
        <w:rPr>
          <w:rFonts w:hint="eastAsia" w:ascii="方正仿宋_GB2312" w:hAnsi="方正仿宋_GB2312" w:eastAsia="方正仿宋_GB2312" w:cs="方正仿宋_GB2312"/>
          <w:color w:val="000000"/>
          <w:sz w:val="32"/>
          <w:szCs w:val="32"/>
        </w:rPr>
      </w:pPr>
      <w:bookmarkStart w:id="1771" w:name="_Toc25820"/>
      <w:r>
        <w:rPr>
          <w:rFonts w:hint="eastAsia" w:ascii="方正仿宋_GB2312" w:hAnsi="方正仿宋_GB2312" w:eastAsia="方正仿宋_GB2312" w:cs="方正仿宋_GB2312"/>
          <w:color w:val="000000"/>
          <w:sz w:val="32"/>
          <w:szCs w:val="32"/>
        </w:rPr>
        <w:t>11-1：材料暂估价表</w:t>
      </w:r>
      <w:bookmarkEnd w:id="1771"/>
    </w:p>
    <w:tbl>
      <w:tblPr>
        <w:tblStyle w:val="43"/>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序号</w:t>
            </w:r>
          </w:p>
        </w:tc>
        <w:tc>
          <w:tcPr>
            <w:tcW w:w="1984"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名称</w:t>
            </w:r>
          </w:p>
        </w:tc>
        <w:tc>
          <w:tcPr>
            <w:tcW w:w="851"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单位</w:t>
            </w:r>
          </w:p>
        </w:tc>
        <w:tc>
          <w:tcPr>
            <w:tcW w:w="774"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数量</w:t>
            </w:r>
          </w:p>
        </w:tc>
        <w:tc>
          <w:tcPr>
            <w:tcW w:w="1352"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单价（元）</w:t>
            </w:r>
          </w:p>
        </w:tc>
        <w:tc>
          <w:tcPr>
            <w:tcW w:w="1418"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合价（元）</w:t>
            </w:r>
          </w:p>
        </w:tc>
        <w:tc>
          <w:tcPr>
            <w:tcW w:w="1701"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bl>
    <w:p>
      <w:pPr>
        <w:pageBreakBefore w:val="0"/>
        <w:kinsoku/>
        <w:bidi w:val="0"/>
        <w:spacing w:before="156" w:beforeLines="50" w:after="156" w:afterLines="50" w:line="440" w:lineRule="exact"/>
        <w:ind w:firstLine="0" w:firstLineChars="0"/>
        <w:rPr>
          <w:rFonts w:hint="eastAsia" w:ascii="方正仿宋_GB2312" w:hAnsi="方正仿宋_GB2312" w:eastAsia="方正仿宋_GB2312" w:cs="方正仿宋_GB2312"/>
          <w:color w:val="000000"/>
          <w:sz w:val="32"/>
          <w:szCs w:val="32"/>
        </w:rPr>
      </w:pPr>
    </w:p>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t>11-2：工程设备暂估价表</w:t>
      </w:r>
    </w:p>
    <w:tbl>
      <w:tblPr>
        <w:tblStyle w:val="43"/>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序号</w:t>
            </w:r>
          </w:p>
        </w:tc>
        <w:tc>
          <w:tcPr>
            <w:tcW w:w="1984"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名称</w:t>
            </w:r>
          </w:p>
        </w:tc>
        <w:tc>
          <w:tcPr>
            <w:tcW w:w="851"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单位</w:t>
            </w:r>
          </w:p>
        </w:tc>
        <w:tc>
          <w:tcPr>
            <w:tcW w:w="774"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数量</w:t>
            </w:r>
          </w:p>
        </w:tc>
        <w:tc>
          <w:tcPr>
            <w:tcW w:w="1352"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单价（元）</w:t>
            </w:r>
          </w:p>
        </w:tc>
        <w:tc>
          <w:tcPr>
            <w:tcW w:w="1418"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合价（元）</w:t>
            </w:r>
          </w:p>
        </w:tc>
        <w:tc>
          <w:tcPr>
            <w:tcW w:w="1701"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85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77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352"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41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701"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bl>
    <w:p>
      <w:pPr>
        <w:pageBreakBefore w:val="0"/>
        <w:kinsoku/>
        <w:bidi w:val="0"/>
        <w:spacing w:line="440" w:lineRule="exact"/>
        <w:ind w:firstLine="0" w:firstLineChars="0"/>
        <w:rPr>
          <w:rFonts w:hint="eastAsia" w:ascii="方正仿宋_GB2312" w:hAnsi="方正仿宋_GB2312" w:eastAsia="方正仿宋_GB2312" w:cs="方正仿宋_GB2312"/>
          <w:color w:val="000000"/>
          <w:sz w:val="32"/>
          <w:szCs w:val="32"/>
        </w:rPr>
      </w:pPr>
    </w:p>
    <w:p>
      <w:pPr>
        <w:pageBreakBefore w:val="0"/>
        <w:kinsoku/>
        <w:bidi w:val="0"/>
        <w:spacing w:before="156" w:beforeLines="50" w:after="156" w:afterLines="50" w:line="440" w:lineRule="exact"/>
        <w:ind w:firstLine="0" w:firstLineChars="0"/>
        <w:jc w:val="center"/>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color w:val="000000"/>
          <w:sz w:val="32"/>
          <w:szCs w:val="32"/>
        </w:rPr>
        <w:br w:type="page"/>
      </w:r>
      <w:r>
        <w:rPr>
          <w:rFonts w:hint="eastAsia" w:ascii="方正仿宋_GB2312" w:hAnsi="方正仿宋_GB2312" w:eastAsia="方正仿宋_GB2312" w:cs="方正仿宋_GB2312"/>
          <w:color w:val="000000"/>
          <w:sz w:val="32"/>
          <w:szCs w:val="32"/>
        </w:rPr>
        <w:t>11-3：专业工程暂估价表</w:t>
      </w:r>
    </w:p>
    <w:tbl>
      <w:tblPr>
        <w:tblStyle w:val="4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序号</w:t>
            </w:r>
          </w:p>
        </w:tc>
        <w:tc>
          <w:tcPr>
            <w:tcW w:w="1984"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专业工程名称</w:t>
            </w:r>
          </w:p>
        </w:tc>
        <w:tc>
          <w:tcPr>
            <w:tcW w:w="4678"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工程内容</w:t>
            </w:r>
          </w:p>
        </w:tc>
        <w:tc>
          <w:tcPr>
            <w:tcW w:w="1276" w:type="dxa"/>
            <w:tcBorders>
              <w:top w:val="single" w:color="auto" w:sz="12" w:space="0"/>
              <w:bottom w:val="doub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tcBorders>
              <w:top w:val="double" w:color="auto" w:sz="6" w:space="0"/>
              <w:bottom w:val="single" w:color="auto" w:sz="6" w:space="0"/>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tcBorders>
              <w:top w:val="nil"/>
            </w:tcBorders>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984"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4678"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c>
          <w:tcPr>
            <w:tcW w:w="1276" w:type="dxa"/>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pPr>
              <w:pStyle w:val="17"/>
              <w:keepNext/>
              <w:pageBreakBefore w:val="0"/>
              <w:kinsoku/>
              <w:bidi w:val="0"/>
              <w:spacing w:after="0" w:line="440" w:lineRule="exact"/>
              <w:ind w:left="63" w:right="63" w:firstLine="0" w:firstLineChars="0"/>
              <w:rPr>
                <w:rFonts w:hint="eastAsia" w:ascii="方正仿宋_GB2312" w:hAnsi="方正仿宋_GB2312" w:eastAsia="方正仿宋_GB2312" w:cs="方正仿宋_GB2312"/>
                <w:color w:val="000000"/>
                <w:kern w:val="2"/>
                <w:sz w:val="28"/>
                <w:szCs w:val="28"/>
                <w:lang w:val="en-US" w:eastAsia="zh-CN"/>
              </w:rPr>
            </w:pPr>
            <w:r>
              <w:rPr>
                <w:rFonts w:hint="eastAsia" w:ascii="方正仿宋_GB2312" w:hAnsi="方正仿宋_GB2312" w:eastAsia="方正仿宋_GB2312" w:cs="方正仿宋_GB2312"/>
                <w:color w:val="000000"/>
                <w:kern w:val="2"/>
                <w:sz w:val="28"/>
                <w:szCs w:val="28"/>
                <w:lang w:val="en-US" w:eastAsia="zh-CN"/>
              </w:rPr>
              <w:t>小计：</w:t>
            </w: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color w:val="000000" w:themeColor="text1"/>
          <w:sz w:val="32"/>
          <w:szCs w:val="32"/>
          <w14:textFill>
            <w14:solidFill>
              <w14:schemeClr w14:val="tx1"/>
            </w14:solidFill>
          </w14:textFill>
        </w:rPr>
        <w:br w:type="page"/>
      </w:r>
    </w:p>
    <w:bookmarkEnd w:id="1"/>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bookmarkStart w:id="1772" w:name="_Toc508286139"/>
      <w:bookmarkStart w:id="1773" w:name="_Toc30521"/>
      <w:bookmarkStart w:id="1774" w:name="_Toc358569763"/>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b/>
          <w:bCs/>
          <w:sz w:val="32"/>
          <w:szCs w:val="32"/>
        </w:rPr>
      </w:pPr>
    </w:p>
    <w:p>
      <w:pPr>
        <w:pageBreakBefore w:val="0"/>
        <w:widowControl/>
        <w:kinsoku/>
        <w:bidi w:val="0"/>
        <w:spacing w:line="440" w:lineRule="exact"/>
        <w:ind w:firstLine="0" w:firstLineChars="0"/>
        <w:jc w:val="center"/>
        <w:outlineLvl w:val="0"/>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bookmarkStart w:id="1775" w:name="_Toc3541"/>
      <w:r>
        <w:rPr>
          <w:rFonts w:hint="eastAsia" w:ascii="方正仿宋_GB2312" w:hAnsi="方正仿宋_GB2312" w:eastAsia="方正仿宋_GB2312" w:cs="方正仿宋_GB2312"/>
          <w:b/>
          <w:bCs/>
          <w:kern w:val="2"/>
          <w:sz w:val="32"/>
          <w:szCs w:val="32"/>
          <w:lang w:val="en-US" w:eastAsia="zh-CN" w:bidi="ar-SA"/>
        </w:rPr>
        <w:t xml:space="preserve">第五章  </w:t>
      </w:r>
      <w:bookmarkEnd w:id="1772"/>
      <w:bookmarkEnd w:id="1773"/>
      <w:r>
        <w:rPr>
          <w:rFonts w:hint="eastAsia" w:ascii="方正仿宋_GB2312" w:hAnsi="方正仿宋_GB2312" w:eastAsia="方正仿宋_GB2312" w:cs="方正仿宋_GB2312"/>
          <w:b/>
          <w:bCs/>
          <w:kern w:val="2"/>
          <w:sz w:val="32"/>
          <w:szCs w:val="32"/>
          <w:lang w:val="en-US" w:eastAsia="zh-CN" w:bidi="ar-SA"/>
        </w:rPr>
        <w:t>工程量清单</w:t>
      </w:r>
      <w:bookmarkEnd w:id="1775"/>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bookmarkStart w:id="1776" w:name="_Toc9794"/>
      <w:bookmarkStart w:id="1777" w:name="_Toc28647"/>
      <w:bookmarkStart w:id="1778" w:name="_Toc21825"/>
      <w:bookmarkStart w:id="1779" w:name="_Toc27838"/>
      <w:bookmarkStart w:id="1780" w:name="_Toc508286141"/>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（另卷）</w:t>
      </w:r>
      <w:bookmarkEnd w:id="1776"/>
      <w:bookmarkEnd w:id="1777"/>
      <w:bookmarkEnd w:id="1778"/>
      <w:bookmarkEnd w:id="1779"/>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2"/>
        <w:pageBreakBefore w:val="0"/>
        <w:kinsoku/>
        <w:bidi w:val="0"/>
        <w:spacing w:line="440" w:lineRule="exact"/>
        <w:ind w:firstLine="0" w:firstLineChars="0"/>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p>
    <w:p>
      <w:pPr>
        <w:pStyle w:val="150"/>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bookmarkStart w:id="1781" w:name="_Toc682"/>
      <w:bookmarkStart w:id="1782" w:name="_Toc14140"/>
      <w:bookmarkStart w:id="1783" w:name="_Toc12385"/>
      <w:r>
        <w:rPr>
          <w:rFonts w:hint="eastAsia" w:ascii="方正仿宋_GB2312" w:hAnsi="方正仿宋_GB2312" w:eastAsia="方正仿宋_GB2312" w:cs="方正仿宋_GB2312"/>
          <w:sz w:val="32"/>
          <w:szCs w:val="32"/>
        </w:rPr>
        <w:t>一、 工程量清单说明部分</w:t>
      </w:r>
      <w:bookmarkEnd w:id="1781"/>
      <w:bookmarkEnd w:id="1782"/>
    </w:p>
    <w:p>
      <w:pPr>
        <w:pStyle w:val="150"/>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bookmarkStart w:id="1784" w:name="_Toc29471"/>
      <w:bookmarkStart w:id="1785" w:name="_Toc7407"/>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1.工程量清单说明</w:t>
      </w:r>
      <w:bookmarkEnd w:id="1784"/>
      <w:bookmarkEnd w:id="1785"/>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1.2 本工程量清单应与招标文件中的投标人须知、通用合同条款、专用合同条款、技术标准和要求及图纸等章节内容一起阅读和理解。</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1.3 本工程量清单是工程量清单计价的基础,应为编制招标控制价（最高投标限价）、投标报价、计算或调整工程量、索赔等的依据之一。合同履行期间,本工程量清单缺陷经发承包双方确认后,应按照承包人实际完成合同工程的应予计量的工程量和实际发生的措施项目调整,合同价格的确定以及价款支付应遵循合同条款(包括通用合同条款和专用合同条款)、第七章“技术标准和要求”以及本章的有关约定。</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1.4 补充项目的项目特征、计量单位、工程量计算规则及工作内容说明：</w:t>
      </w:r>
      <w:r>
        <w:rPr>
          <w:rFonts w:hint="eastAsia" w:ascii="方正仿宋_GB2312" w:hAnsi="方正仿宋_GB2312" w:eastAsia="方正仿宋_GB2312" w:cs="方正仿宋_GB2312"/>
          <w:b w:val="0"/>
          <w:bCs w:val="0"/>
          <w:color w:val="000000" w:themeColor="text1"/>
          <w:kern w:val="2"/>
          <w:sz w:val="32"/>
          <w:szCs w:val="32"/>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b w:val="0"/>
          <w:bCs w:val="0"/>
          <w:color w:val="000000" w:themeColor="text1"/>
          <w:kern w:val="2"/>
          <w:sz w:val="32"/>
          <w:szCs w:val="32"/>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1.5 本条第1.1款中约定的计量和计价规则适用于合同履约过程中工程量计量与价款支付、工程变更、索赔和工程结算。</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1.6 本条与下述第2条和第3条的说明内容是构成合同文件的已标价工程量清单的组成部分。</w:t>
      </w:r>
    </w:p>
    <w:p>
      <w:pPr>
        <w:pStyle w:val="150"/>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bookmarkStart w:id="1786" w:name="_Toc22798"/>
      <w:bookmarkStart w:id="1787" w:name="_Toc6722"/>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2.投标报价说明</w:t>
      </w:r>
      <w:bookmarkEnd w:id="1786"/>
      <w:bookmarkEnd w:id="1787"/>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2.1 投标报价应根据招标文件中的有关计价要求，并按照下列依据自主报价。</w:t>
      </w:r>
    </w:p>
    <w:p>
      <w:pPr>
        <w:keepNext w:val="0"/>
        <w:keepLines w:val="0"/>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 本招标文件、招标工程量清单；</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 《建设工程工程量清单计价规范》（GB50500-2013）；</w:t>
      </w:r>
    </w:p>
    <w:p>
      <w:pPr>
        <w:keepNext w:val="0"/>
        <w:keepLines w:val="0"/>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(3) 国家或自治区、行业建设主管部门颁发的计价办法；</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(4) 企业定额，国家或自治区、行业建设主管部门颁发的计价定额；</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(5) 招标文件(包括工程量清单)的澄清、补充和修改文件；</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(6) 建设工程设计文件及相关资料；</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(7) 施工现场情况、工程特点及拟定的投标</w:t>
      </w:r>
      <w:r>
        <w:rPr>
          <w:rFonts w:hint="eastAsia" w:ascii="方正仿宋_GB2312" w:hAnsi="方正仿宋_GB2312" w:eastAsia="方正仿宋_GB2312" w:cs="方正仿宋_GB2312"/>
          <w:b w:val="0"/>
          <w:bCs w:val="0"/>
          <w:color w:val="000000" w:themeColor="text1"/>
          <w:kern w:val="2"/>
          <w:sz w:val="32"/>
          <w:szCs w:val="32"/>
          <w:highlight w:val="none"/>
          <w:lang w:val="en-US" w:eastAsia="zh-CN" w:bidi="ar-SA"/>
          <w14:textFill>
            <w14:solidFill>
              <w14:schemeClr w14:val="tx1"/>
            </w14:solidFill>
          </w14:textFill>
        </w:rPr>
        <w:t>施工组织设计（技术标）</w:t>
      </w: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或施工方案；</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(8) 与建设项目相关的标准、规范、规定等技术资料；</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(9) 市场价格信息或工程造价管理机构发布的工程造价信息；</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(10) 其他的相关资料。</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2.2 工程量清单中列明的所有需要填写单价和合价的项目,投标人均应填写且只允许有一个报价。未填写单价和合价的项目,可视为此项费用已包括在已标价工程量清单中其他相关项目的单价和合价之中。结算时,此项目不得重新组价与调整。</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2.3工程量清单中标价的综合单价或金额，应包括所需人工费、材料费、施工机械使用费、企业管理费及利润，以及一定范围内的风险费用。所谓“一定范围内的风险”是指合同约定的风险。</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highlight w:val="none"/>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highlight w:val="none"/>
          <w:lang w:val="en-US" w:eastAsia="zh-CN" w:bidi="ar-SA"/>
          <w14:textFill>
            <w14:solidFill>
              <w14:schemeClr w14:val="tx1"/>
            </w14:solidFill>
          </w14:textFill>
        </w:rPr>
        <w:t>2.4 投标总报价为投标人完成招标范围所述的全部工程内容的体现和完成该工程项目的成本、管理费、技术措施费、利润、风险费及政策性文件规定的不可竞争费用、规费和税金等所有费用，以及所有根据合同或其它原因由投标人支付的税金和其它应缴纳的费用。</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2.5 “投标报价汇总表”中的投标总价由分部分项工程费、措施项目费、其他项目费、规费和税金组成，并且“投标报价汇总表”中的投标总价应当与构成已标价工程量清单的分部分项工程费、措施项目费、其他项目费、规费、税金的合计金额一致。投标人应依据《建设工程工程量清单计价规范》（GB50500—2013）、企业定额及当地市场因素及工程特点等报出综合单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2.5.1除非招标人对招标文件予以修改，投标人必须按照招标人提供的分部分项工程量清单，列出分部分项工程量的综合单价和合价。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2.5.2 投标人在进行工程量清单单价合同方式招标的投标报价时，不能进行投标总价优惠（或降价、让利），投标人对投标报价的任何优惠（或降价、让利）均应反映在相应清单项目的综合单价中。不得出现任意一项单价重大让利，低于成本报价。投标人不得以自有机械闲置、自有材料等不计成本为由进行投标报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2.5.3 每一分项只允许有一个报价，任何有选择的报价将不予接受。投标人未填列综合单价或合价的分项工程，在实施后，招标人将不予以支付，并视为该项费用已包括在其他有价款的综合单价或合价内。由于承包人自行计算错误或漏报的，将不再给予调整。</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2.5.4 分部分项工程量清单已包括本投标人须知前附表第1.3.1条确定的本项目招标范围内施工图全部内容，并须在招标过程中经投标人提出质询，招标人以答疑的形式确认，结算工程量以完成的实体量为准。中标人由于自身原因造成工程量的增加不以任何形式调增。分部分项工程量调整按照以下方法调整：</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已标价工程量清单中有适用于变更工作的子目的，采用该子目的单价。</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已标价工程量清单中无适用于变更工作的子目，但有类似子目的，可在合理范围内参照类似子目的单价，由监理人按第3.5款商定或确定变更工作的单价。</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jc w:val="left"/>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已标价工程量清单中无适用或类似子目的单价，可按照成本加利润的原则，由监理人按通用条款第3.5 款商定或确定变更工作的单价。</w:t>
      </w:r>
    </w:p>
    <w:p>
      <w:pPr>
        <w:keepNext w:val="0"/>
        <w:keepLines w:val="0"/>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2.6 分部分项工程项目按下列要求报价：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2.6.1 分部分项工程量清单计价应依据计价规范中关于综合单价的组成内容确定报价。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2.6.2 如果分部分项工程量清单中涉及“材料和工程设备暂估单价表”中列出的材料和工程设备，则应将该类材料和工程设备的暂估单价本身以及除对应的规费及税金以外的费用计入分部分项工程量清单相应子目的综合单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2.6.3 如果分部分项工程量清单中涉及“发包人提供的材料和工程设备一览表”(见第四章合同条款及格式附件二)中列出的材料和工程设备，则该类材料和工程设备供应至现场指定位置的采购供应价本身不计入投标报价，但应将该类材料和工程设备的安装、安装所需要的辅助材料、安装损耗以及其他必要的辅助工作及其对应的管理费及利润计入分部分项工程量清单相应子目的综合单价，并其他项目清单报价中计取与合同约定服务内容相对应的总承包服务费。</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2.6.4 “分部分项工程量清单与计价表”所列各子目的综合单价组成中，各子目的人工、材料和机械台班消耗量由投标人按照其自身情况做充分的、竞争性考虑。材料消耗量包括损耗量。</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2.6.5 投标人在投标文件中提交并构成合同文件的“主要材料和工程设备选用表”中所列的材料和工程设备的价格是指此类材料和工程设备到达施工现场指定堆放地点的落地价格，即包括采购、包装、运输、装卸、堆放等到达施工现场指定落地或堆放地点之前的全部费用，但不包括落地之后发生的仓储、保管、库损以及从堆放地点运至安装地点的二次搬运费用。“主要材料和工程设备选用表”中所列材料和工程设备的价格应与构成综合单价相应材料或工程设备的价格一致。落地之后发生的仓储、保管、库损以及从堆放地点运至安装地点的二次搬运等其他费用均应在投标报价中考虑。</w:t>
      </w:r>
    </w:p>
    <w:p>
      <w:pPr>
        <w:keepNext w:val="0"/>
        <w:keepLines w:val="0"/>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2.7 措施项目按下列要求报价：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2.7.1 措施项目清单计价应根据投标人的施工组织设计（技术标）进行报价。可以计量工程量的措施项目，应按分部分项工程量清单的方式采用综合单价计价；其余的措施项目可以“项”为单位的方式计价。投标人所填报价格应包括除规费、税金外的全部费用。</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2.7.2 措施项目清单中的安全文明施工费应按其中安全文明施工费应按照新建标[2016]2号文的规定计算，不得作为竞争性费用。</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2.7.3 招标人提供的措施项目清单中所列项目仅指一般的通用项目，投标人在报价时应充分、全面地阅读和理解招标文件的相关内容和约定，包括第七章“技术标准和要求”的相关约定，详实了解工程场地及其周围环境，充分考虑招标工程特点及拟定的施工方案和施工组织设计，对招标人给出的措施项目清单的内容进行细化或增减。</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2.7.4 “措施项目清单与计价表”中所填写的报价金额，应全面涵盖招标文件约定的投标人中标后施工、竣工、交付本工程并维修其任何缺陷所需要履行的责任和义务的全部费用。</w:t>
      </w:r>
    </w:p>
    <w:p>
      <w:pPr>
        <w:keepNext w:val="0"/>
        <w:keepLines w:val="0"/>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2.8．其他项目清单费应按下列规定报价：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2.8.1 暂列金额按“暂列金额明细表”中列出的金额报价，此处的暂列金额是招标人在招标文件中统一给定的，并不包括本章第2.8.3项的计日工金额。</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2.8.2 暂估价分为材料和工程设备暂估单价和专业工程暂估价两类。其中的材料和工程设备暂估单价进入分部分项工程量清单之综合单价，不在其他项目清单中汇总；专业工程暂估价直接按“专业工程暂估价表”中列出的金额计入其他项目清单报价。</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2.8.3  计日工按“计日工表”中列出的子目和估算数量，自主确定综合单价并计算计日工金额。计日工综合单价均不包括规费和税金，其中：</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 劳务单价应当包括工人工资、交通费用、各种补贴、劳动安全保护、社保费用、手提手动和电动工器具、施工场地内已经搭设的脚手架、水电和低值易耗品费用、现场管理费用、企业管理费和利润；</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 材料价格包括材料运到现场的价格以及现场搬运、仓储、二次搬运、损耗、保险、企业管理费和利润，但不包括规费和税金。</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(3) 施工机械限于在施工场地(现场)的机械设备，其价格包括租赁或折旧、维修、维护和燃油等消耗品以及操作人员费用，包括承包人企业管理费和利润，但不包括规费和税金。辅助人员按劳务价格另计。</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2.8.4 总承包服务费各投标人根据招标文件中列出的内容和要求，按本招标文件的“总承包服务费计价表”中自报费率并计算金额。</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2.9 规费和税金应按“规费、税金项目清单与计价表”所列项目，按新建标[2016]2号文的规定计算，不得作为竞争性费用。</w:t>
      </w:r>
    </w:p>
    <w:p>
      <w:pPr>
        <w:keepNext w:val="0"/>
        <w:keepLines w:val="0"/>
        <w:pageBreakBefore w:val="0"/>
        <w:widowControl w:val="0"/>
        <w:kinsoku/>
        <w:wordWrap/>
        <w:overflowPunct/>
        <w:topLinePunct w:val="0"/>
        <w:bidi w:val="0"/>
        <w:snapToGrid/>
        <w:spacing w:line="440" w:lineRule="exact"/>
        <w:ind w:left="2" w:leftChars="1"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2.10 除招标文件有强制性规定以及不可竞争部分以外，投标报价由投标人自主确定，但不得低于其成本。</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2.11 工程量清单计价所涉及的生产资源(包括各类人工、材料、工程设备、施工设备、临时设施、临时用水、临时用电等)的投标价格，应根据自身的信息渠道和采购渠道，分析其市场价格水平并判断其整个施工周期内的变化趋势，体现投标人自身的管理水平、技术水平和综合实力。</w:t>
      </w:r>
    </w:p>
    <w:p>
      <w:pPr>
        <w:keepNext w:val="0"/>
        <w:keepLines w:val="0"/>
        <w:pageBreakBefore w:val="0"/>
        <w:widowControl w:val="0"/>
        <w:kinsoku/>
        <w:wordWrap/>
        <w:overflowPunct/>
        <w:topLinePunct w:val="0"/>
        <w:bidi w:val="0"/>
        <w:snapToGrid/>
        <w:spacing w:line="440" w:lineRule="exact"/>
        <w:ind w:left="2" w:leftChars="1"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2.12 管理费应由投标人在保证不低于其成本的基础上做竞争性考虑；利润由投标人根据自身情况和综合实力做竞争性考虑。</w:t>
      </w:r>
    </w:p>
    <w:p>
      <w:pPr>
        <w:keepNext w:val="0"/>
        <w:keepLines w:val="0"/>
        <w:pageBreakBefore w:val="0"/>
        <w:widowControl w:val="0"/>
        <w:kinsoku/>
        <w:wordWrap/>
        <w:overflowPunct/>
        <w:topLinePunct w:val="0"/>
        <w:bidi w:val="0"/>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2.13 投标报价中应考虑招标文件中要求投标人承担的风险范围以及相关的费用。</w:t>
      </w:r>
    </w:p>
    <w:p>
      <w:pPr>
        <w:keepNext w:val="0"/>
        <w:keepLines w:val="0"/>
        <w:pageBreakBefore w:val="0"/>
        <w:widowControl w:val="0"/>
        <w:kinsoku/>
        <w:wordWrap/>
        <w:overflowPunct/>
        <w:topLinePunct w:val="0"/>
        <w:bidi w:val="0"/>
        <w:snapToGrid/>
        <w:spacing w:line="440" w:lineRule="exact"/>
        <w:ind w:left="2" w:leftChars="1"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2.14 投标总价为投标人在投标文件中提出的各项支付金额的总和，为实施、完成招标工程并修补缺陷以及履行招标文件中约定的风险范围内的所有责任和义务所发生的全部费用。</w:t>
      </w:r>
    </w:p>
    <w:p>
      <w:pPr>
        <w:keepNext w:val="0"/>
        <w:keepLines w:val="0"/>
        <w:pageBreakBefore w:val="0"/>
        <w:widowControl w:val="0"/>
        <w:kinsoku/>
        <w:wordWrap/>
        <w:overflowPunct/>
        <w:topLinePunct w:val="0"/>
        <w:bidi w:val="0"/>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2.15 有关投标报价的其他说明：</w:t>
      </w:r>
    </w:p>
    <w:p>
      <w:pPr>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3. 其他说明</w:t>
      </w:r>
    </w:p>
    <w:p>
      <w:pPr>
        <w:keepNext w:val="0"/>
        <w:keepLines w:val="0"/>
        <w:pageBreakBefore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3.1 投标人应先到工地踏勘以及充分了解工地位置、情况、道路、储存空间、装卸限制及任何其他足以影响承包价的情况，任何因忽视或误解工地情况而导致的索赔或工期延长申请将不被批准。</w:t>
      </w:r>
    </w:p>
    <w:p>
      <w:pPr>
        <w:keepNext w:val="0"/>
        <w:keepLines w:val="0"/>
        <w:pageBreakBefore w:val="0"/>
        <w:widowControl/>
        <w:kinsoku/>
        <w:wordWrap/>
        <w:overflowPunct/>
        <w:topLinePunct w:val="0"/>
        <w:autoSpaceDE/>
        <w:autoSpaceDN/>
        <w:bidi w:val="0"/>
        <w:adjustRightInd/>
        <w:snapToGrid/>
        <w:spacing w:line="440" w:lineRule="exact"/>
        <w:ind w:firstLine="640" w:firstLineChars="200"/>
        <w:jc w:val="both"/>
        <w:textAlignment w:val="auto"/>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3.2 投标报价时，水费按</w:t>
      </w:r>
      <w:r>
        <w:rPr>
          <w:rFonts w:hint="eastAsia" w:ascii="方正仿宋_GB2312" w:hAnsi="方正仿宋_GB2312" w:eastAsia="方正仿宋_GB2312" w:cs="方正仿宋_GB2312"/>
          <w:b w:val="0"/>
          <w:bCs w:val="0"/>
          <w:color w:val="000000" w:themeColor="text1"/>
          <w:kern w:val="2"/>
          <w:sz w:val="32"/>
          <w:szCs w:val="32"/>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元/m3计入报价，电费按</w:t>
      </w:r>
      <w:r>
        <w:rPr>
          <w:rFonts w:hint="eastAsia" w:ascii="方正仿宋_GB2312" w:hAnsi="方正仿宋_GB2312" w:eastAsia="方正仿宋_GB2312" w:cs="方正仿宋_GB2312"/>
          <w:b w:val="0"/>
          <w:bCs w:val="0"/>
          <w:color w:val="000000" w:themeColor="text1"/>
          <w:kern w:val="2"/>
          <w:sz w:val="32"/>
          <w:szCs w:val="32"/>
          <w:u w:val="single"/>
          <w:lang w:val="en-US" w:eastAsia="zh-CN" w:bidi="ar-SA"/>
          <w14:textFill>
            <w14:solidFill>
              <w14:schemeClr w14:val="tx1"/>
            </w14:solidFill>
          </w14:textFill>
        </w:rPr>
        <w:t xml:space="preserve">   </w:t>
      </w: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元/度计入报价。</w:t>
      </w: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0"/>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bookmarkStart w:id="1788" w:name="_Toc25657"/>
      <w:r>
        <w:rPr>
          <w:rFonts w:hint="eastAsia" w:ascii="方正仿宋_GB2312" w:hAnsi="方正仿宋_GB2312" w:eastAsia="方正仿宋_GB2312" w:cs="方正仿宋_GB2312"/>
          <w:b/>
          <w:bCs/>
          <w:kern w:val="2"/>
          <w:sz w:val="32"/>
          <w:szCs w:val="32"/>
          <w:lang w:val="en-US" w:eastAsia="zh-CN" w:bidi="ar-SA"/>
        </w:rPr>
        <w:t xml:space="preserve">第六章 </w:t>
      </w:r>
      <w:bookmarkEnd w:id="1780"/>
      <w:bookmarkEnd w:id="1783"/>
      <w:r>
        <w:rPr>
          <w:rFonts w:hint="eastAsia" w:ascii="方正仿宋_GB2312" w:hAnsi="方正仿宋_GB2312" w:eastAsia="方正仿宋_GB2312" w:cs="方正仿宋_GB2312"/>
          <w:b/>
          <w:bCs/>
          <w:kern w:val="2"/>
          <w:sz w:val="32"/>
          <w:szCs w:val="32"/>
          <w:lang w:val="en-US" w:eastAsia="zh-CN" w:bidi="ar-SA"/>
        </w:rPr>
        <w:t>图纸</w:t>
      </w:r>
      <w:bookmarkEnd w:id="1788"/>
    </w:p>
    <w:p>
      <w:pPr>
        <w:pStyle w:val="19"/>
        <w:pageBreakBefore w:val="0"/>
        <w:kinsoku/>
        <w:bidi w:val="0"/>
        <w:spacing w:before="0" w:beforeAutospacing="0" w:after="0" w:afterAutospacing="0" w:line="440" w:lineRule="exact"/>
        <w:ind w:firstLine="0" w:firstLineChars="0"/>
        <w:jc w:val="cente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bookmarkStart w:id="1789" w:name="_Toc508286142"/>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（另卷）</w:t>
      </w: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p>
    <w:p>
      <w:pPr>
        <w:pageBreakBefore w:val="0"/>
        <w:widowControl/>
        <w:kinsoku/>
        <w:bidi w:val="0"/>
        <w:spacing w:line="440" w:lineRule="exact"/>
        <w:ind w:firstLine="0" w:firstLineChars="0"/>
        <w:jc w:val="center"/>
        <w:outlineLvl w:val="0"/>
        <w:rPr>
          <w:rFonts w:hint="eastAsia" w:ascii="方正仿宋_GB2312" w:hAnsi="方正仿宋_GB2312" w:eastAsia="方正仿宋_GB2312" w:cs="方正仿宋_GB2312"/>
          <w:b/>
          <w:bCs/>
          <w:kern w:val="2"/>
          <w:sz w:val="32"/>
          <w:szCs w:val="32"/>
          <w:lang w:val="en-US" w:eastAsia="zh-CN" w:bidi="ar-SA"/>
        </w:rPr>
      </w:pPr>
      <w:bookmarkStart w:id="1790" w:name="_Toc11922"/>
      <w:bookmarkStart w:id="1791" w:name="_Toc8710"/>
      <w:r>
        <w:rPr>
          <w:rFonts w:hint="eastAsia" w:ascii="方正仿宋_GB2312" w:hAnsi="方正仿宋_GB2312" w:eastAsia="方正仿宋_GB2312" w:cs="方正仿宋_GB2312"/>
          <w:b/>
          <w:bCs/>
          <w:kern w:val="2"/>
          <w:sz w:val="32"/>
          <w:szCs w:val="32"/>
          <w:lang w:val="en-US" w:eastAsia="zh-CN" w:bidi="ar-SA"/>
        </w:rPr>
        <w:t>第七章  技术标准和要求</w:t>
      </w:r>
      <w:bookmarkEnd w:id="1790"/>
    </w:p>
    <w:p>
      <w:pPr>
        <w:pStyle w:val="3"/>
        <w:pageBreakBefore w:val="0"/>
        <w:kinsoku/>
        <w:bidi w:val="0"/>
        <w:spacing w:line="440" w:lineRule="exact"/>
        <w:ind w:firstLine="0" w:firstLineChars="0"/>
        <w:jc w:val="center"/>
        <w:outlineLvl w:val="1"/>
        <w:rPr>
          <w:rFonts w:hint="eastAsia" w:ascii="方正仿宋_GB2312" w:hAnsi="方正仿宋_GB2312" w:eastAsia="方正仿宋_GB2312" w:cs="方正仿宋_GB2312"/>
          <w:b/>
          <w:bCs/>
          <w:sz w:val="32"/>
          <w:szCs w:val="32"/>
        </w:rPr>
      </w:pPr>
      <w:bookmarkStart w:id="1792" w:name="_Toc19629"/>
      <w:bookmarkStart w:id="1793" w:name="_Toc8118"/>
      <w:bookmarkStart w:id="1794" w:name="_Toc19909"/>
      <w:r>
        <w:rPr>
          <w:rFonts w:hint="eastAsia" w:ascii="方正仿宋_GB2312" w:hAnsi="方正仿宋_GB2312" w:eastAsia="方正仿宋_GB2312" w:cs="方正仿宋_GB2312"/>
          <w:b/>
          <w:bCs/>
          <w:sz w:val="32"/>
          <w:szCs w:val="32"/>
        </w:rPr>
        <w:t>第一节  一般要求</w:t>
      </w:r>
      <w:bookmarkEnd w:id="1792"/>
      <w:bookmarkEnd w:id="1793"/>
      <w:bookmarkEnd w:id="1794"/>
    </w:p>
    <w:p>
      <w:pPr>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1.工程说明</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 工程概况</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14:textFill>
            <w14:solidFill>
              <w14:schemeClr w14:val="tx1"/>
            </w14:solidFill>
          </w14:textFill>
        </w:rPr>
        <w:t>.1.1 本工程基本情况如下：</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u w:val="single"/>
          <w:lang w:val="en-US" w:eastAsia="zh-CN"/>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工程名称：</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u w:val="single"/>
          <w:lang w:val="en-US" w:eastAsia="zh-CN"/>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建设规模：</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结构类型：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层数：</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1.1.2 本工程施工场地(现场)具体地理位置如下：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 现场条件和周围环境</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1.2.1 本工程施工场地(现场)已经具备施工条件。施工场地(现场)临时水源接口位置、临时电源接口位置、临时排污口位置、建筑红线位置、道路交通和出入口、以及施工场地(现场)和周围环境等情况。</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1.2.2 施工场地(现场)临时供水管径：</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施工场地(现场)临时排污管径：</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施工场地(现场)临时雨水管径：</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施工现场临时供电容量(变压器输出功率)：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u w:val="single"/>
          <w:lang w:val="en-US" w:eastAsia="zh-CN"/>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1.2.3 现场条件和周围环境的其他资料和信息数据如下：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1.2.4 承包人被认为已在本工程投标阶段踏勘现场时充分了解本工程现场条件和周围环境，并已在其投标时就此给予了充分的考虑。</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1.3 地质及水文资料</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1.3.1 现场地质及水文资料和信息数据如下：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1.4 资料和信息的使用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pPr>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2.承包范围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 承包范围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2.1.1 承包人自行施工范围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本工程承包人自行施工的工程范围如下：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2.1.2 承包范围内的暂估价项目</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2.1.2.1 承包范围内以暂估价形式实施的专业工程见第八章“三、经济标格式”附表</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9</w:t>
      </w:r>
      <w:r>
        <w:rPr>
          <w:rFonts w:hint="eastAsia" w:ascii="方正仿宋_GB2312" w:hAnsi="方正仿宋_GB2312" w:eastAsia="方正仿宋_GB2312" w:cs="方正仿宋_GB2312"/>
          <w:color w:val="000000" w:themeColor="text1"/>
          <w:sz w:val="32"/>
          <w:szCs w:val="32"/>
          <w14:textFill>
            <w14:solidFill>
              <w14:schemeClr w14:val="tx1"/>
            </w14:solidFill>
          </w14:textFill>
        </w:rPr>
        <w:t>.3“专业工程暂估价表”。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2.1.2.2 承包范围内以暂估价形式实施的材料和工程设备见第八章“三、经济标格式”</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9</w:t>
      </w:r>
      <w:r>
        <w:rPr>
          <w:rFonts w:hint="eastAsia" w:ascii="方正仿宋_GB2312" w:hAnsi="方正仿宋_GB2312" w:eastAsia="方正仿宋_GB2312" w:cs="方正仿宋_GB2312"/>
          <w:color w:val="000000" w:themeColor="text1"/>
          <w:sz w:val="32"/>
          <w:szCs w:val="32"/>
          <w14:textFill>
            <w14:solidFill>
              <w14:schemeClr w14:val="tx1"/>
            </w14:solidFill>
          </w14:textFill>
        </w:rPr>
        <w:t>.2“材料暂估单价表”。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2.1.3 承包范围内的暂列金额项目：</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2.2 发包人发包专业工程和发包人供应的材料和工程设备</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2.2.1 由发包人发包的专业工程属于与本工程有关的其他工程，不属于承包人的承包范围。发包人发包的专业工程如下：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2.2.2 由发包人供应的材料和工程设备不属于承包人的承包范围。</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2.3 承包人与发包人发包专业工程承包人的工作界面</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u w:val="single"/>
          <w:lang w:val="en-US" w:eastAsia="zh-CN"/>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2.3.1 承包人与发包人发包专业工程承包人以及与发包人供应的材料和设备的供应商之间的工作界面划分如下：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u w:val="single"/>
          <w:lang w:val="en-US" w:eastAsia="zh-CN"/>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2.4 承包人需要为发包人和监理人提供的现场办公条件和设施</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2.4.1 承包人需要为发包人和监理人提供的现场办公条件和设施及其详细要求如下：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none"/>
          <w:lang w:val="en-US" w:eastAsia="zh-CN"/>
        </w:rPr>
        <w:t>。</w:t>
      </w:r>
    </w:p>
    <w:p>
      <w:pPr>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3. 合同工期</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3.1 合同工期</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本工程合同工期和计划开、竣工日期为承包人在投标函附录中承诺的工期和计划开、竣工日期，并在合同协议书中载明。</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3.2 关于工期的一般规定</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3.2.1 承包人在投标函中承诺的工期和计划开、竣工日期之间发生矛盾或者不一致时，以承包人承诺的工期为准。实际开工日期以合同条款约定的监理人发出的开工通知中载明的开工日期为准。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3.2.3 承包人在投标函附录中所承诺的工期应当包括实施并完成本节上述2.1.2项规定的暂估价项目和上述2.1.3项规定的实际可能发生的暂列金额在内的所有工作的工期。</w:t>
      </w:r>
    </w:p>
    <w:p>
      <w:pPr>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4. 质量要求</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4.1 质量标准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4.1.1 本工程要求的质量标准为符合现行国家有关工程施工验收规范和标准的要求合格。</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4.2 特殊质量要求</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4.2.1 有关本工程质量方面的特殊要求如下：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5.适用规范和标准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5.1 适用的规范、标准和规程</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5.1.1 除合同另有约定外，本工程适用现行国家、行业和地方规范、标准和规程。适用于本工程的国家、行业和地方的规范、标准和规范等的名录见本章第二节。</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构成合同文件的任何内容与适用的规范、标准和规程之间出现矛盾，承包人应书面要求监理人予以澄清，除监理人有特别指示外，承包人应按照其中要求最严格的标准执行。</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的约定办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5.2 技术标准和要求</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5.2.1 适用本工程的技术标准和要求见本章第二节。</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5.2.2 有合同约束力的图纸和其他设计文件中的有关文字说明是本节的组成内容。</w:t>
      </w:r>
    </w:p>
    <w:p>
      <w:pPr>
        <w:pageBreakBefore w:val="0"/>
        <w:kinsoku/>
        <w:bidi w:val="0"/>
        <w:spacing w:line="440" w:lineRule="exact"/>
        <w:ind w:firstLine="0" w:firstLineChars="0"/>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6. 安全文明施工</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 安全防护</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 在工程施工、竣工、交付及修补任何缺陷的过程中，承包人应当始终遵守国家和地方有关安全生产的法律、法规、规范、标准和规程等，按照合同条款的约定履行其安全施工职责。</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6.1.2 承包人应坚持“安全第一，预防为主”的方针，建立、健全安全生产责任制度和安全生产教育培训制度。在整个工程施工期间，承包人应在施工场地(现场)设立、提供和维护并在有关工作完成或竣工后撤除：</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（1）设立在现场入口显著位置的现场施工总平面图、总平面管理、安全生产、文明施工、环境保护、质量控制、材料管理等的规章制度和主要参建单位名称和工程概况等说明的图板；</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（2）为确保工程安全施工须设立的足够的标志、宣传画、标语、指示牌、警告牌、火警、匪警和急救电话提示牌等等；</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（3）洞口和临边位置的安全防护设施，包括护身栏杆、脚手架、洞口盖板和加筋、竖井防护栏杆、防护棚、防护网、坡道等等；</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（4）安全带、安全绳、安全帽、安全网、绝缘鞋、绝缘手套、防护口罩和防护衣等安全生产用品；</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（5）所有机械设备包括各类电动工具的安全保护和接地装置和操作说明；</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（6）装备良好的临时急救站和配备称职的医护人员；</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（7）主要作业场所和临时安全疏散通道24小时36伏安全照明和必要的警示等以防止各种可能的事故；</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（8）足够数量的和合格的手提灭火器；</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（9）装备良好的易燃易爆物品仓库和相应的使用管理制度；</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（10）对涉及明火施工的工作制定诸如用火证等的管理制度；</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（11）其他：</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6.1.3 安全文明施工费用必须专款专用，承包人应对其由于安全文明施工费用和施工安全措施不到位而发生的安全事故承担全部责任。</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6.1.13 承包人应成立应急救援小组，配备必要的应急救援器材和设备，制定灾害和生产安全事故的应急救援预案，并将应急救援预案报送监理人。应急救援预案应能随时组织应救专职人员、并定期组织演练。</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6.1.14 施工过程中需要使用爆破或带炸药的工具等危险性施工方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6.1.16 承包人应按照合同条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6.1.17 承包人还应根据有关法律、法规、规定和条例等的要求，制定一套安全生产应急措施和程序，保证一旦出现任何安全事故，能立即保护好现场，抢救伤员和财产，保证施工生产的正常进行，防止损失扩大。</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6.1.18 安全防护方面的其他要求如下：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t>6.2 临时消防</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6.2.1 承包人应建立消防安全责任制度，制定用火、用电和使用易燃易爆等危险品的消防安全管理制度和操作规程。各项制度和规程等应满足相关法律法规和政府消防管理机构的要求。</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6.2.3 承包人应当成立由项目主要负责人担任组长的临时消防组或消防队，宣传消防基本知识和基本操作培训，组织消防演练，保证一旦发生火灾，能够组织有效的自救，保护生命和财产安全。</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6.2.4 施工场地(现场)内的易燃、易爆物品应单独和安全地存放，设专人进行存放和领用管理。施工场地(现场)储有或正在使用易燃、易爆或可燃材料时或有明火施工的工序，应当实行严格的“用火证”管理制度。</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6.2.5 临时消防方面的其他要求如下：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6.3 临时供电</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严地面明设，并应避免机械损伤和介质腐蚀。埋地电缆路径应设方位标志。各种配电设备均设有防止漏电和防雨防水设施。</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6.3.5 凡可能漏电伤人或易受雷击的电器及建筑物均应设置接地和避雷装置。承包人应负责避雷装置的采购、安装、管理和维修，并建立定期检查制度。</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6.3.6 临时用电方面的其他要求如下：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6.4 劳动保护</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6.4.5 承包人应在现场设立专门的临时医疗站，配备足够的设施、药物和称职的医务人员，承包人还应准备急救担架，用于一旦发生安全事故时对受伤人员的急救。</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6.4.6 劳动保护方面的其他要求如下：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6.5 脚手架</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6.5.2 所有脚手架，尤其是大型、复杂、高耸和非常规脚手架，要编制专项施工方案，还应当经过安全验算，脚手架安全验算结果必须报送监理人核查后方可实施。</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6.5.3 搭设爬架、挂架、超高脚手架等特种或新型脚手架时，承包人应确保此类脚手架的安全性和保证此类脚手架已经过有关行政管理部门允许使用的批准，并承担与此有关的一切费用。</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6.5.4 承包人应当加强脚手架的日常安全巡查，及时对其中的安全隐患进行整改，确保脚手架使用安全。雨、雪、雾、霜和大风等天气后，承包人必须对脚手架进行安全巡查，并及时消除安全隐患。</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6.5.6 脚手架的其他要求如下：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6.6 施工安全措施计划</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6.6.1 承包人应根据《中华人民共和国安全生产法》、《职业健康安全管理体系规范》、《中华人民共和国消防法》、《中华人民共和国道路交通安全法》、《中华人民共和国传染病防治法实施办法》和地方有关的法规等，按照合同条款的约定，编制一份施工安全措施计划，报送监理人审批。</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6.6.2 施工安全措施计划是承包人阐明其安全管理方针、管理体系、安全制度和安全措施等的文件，其内容应当反映现行法律法规规定的和合同条款约定的以及本条上述约定的承包人安全职责，包括但不限于：</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（1）施工安全管理机构的设置；</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（2）专职安全管理人员的配备；</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（3）安全责任制度和管理措施；</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（4）安全教育和培训制度及管理措施；</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（5）各项安全生产规章制度和操作规程；</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（6）各项施工安全措施和防护措施；</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（7）危险品管理和使用制度；</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（8）安全设施、设备、器材和劳动保护用品的配置；</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（9）其他：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6.6.3 施工安全措施计划应当在合同条款约定的期限内报送监理人。承包人应当严格执行经监理人批准的施工安全措施计划，并及时补充、修订和完善施工安全措施计划，确保安全生产。</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 文明施工</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6.7.1 承包人应遵守国家和工程所在地有关法规、规范、规程和标准的规定，履行文明施工义务，确保文明施工专项费用专款专用。</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6.7.2 承包人应当规范现场施工秩序，实行标准化管理：</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（1）承包人的施工场地(现场)必须干净整治、做到无积水、无淤泥、无杂物，材料堆放整齐；</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（2）施工场地(现场)应进行硬化处理，定期定时洒水，做好防治扬尘和大气污染工作；</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（3）严格遵守“工完、料尽、场地净”的原则，不留垃圾、不留剩余施工材料和施工机具，各种设备运转正常；</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（4）承包人修建的施工临时设施应符合监理人批准的施工规划要求，并应满足本节规定的各项安全要求；</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（5）监理人可要求承包人在施工场地(现场)设置各级承包人的安全文明施工责任牌等文明施工警示牌；</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（6）材料进入现场应按指定位置堆放整齐，不得影响现场施工和堵塞施工、消防通道。材料堆放场地应有专职的管理人员；</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（7）施工和安装用的各种扣件、紧固件、绳索具、小型配件、镙钉等应在专设的仓库内装箱放置；</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（8）现场风、水管及照明电线的布置应安全、合理、规范、有序，做到整齐美观。不得随意架设和造成隐患或影响施工。</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6.7.3 承包人应为其雇佣的施工工人建立并维护相应的生活宿舍、食堂、浴室、厕所和文化活动室等，其标准应满足政府有关机构的生活标准和卫生标准等的要求。</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6.7.5 在工程施工期间，承包人应始终避免现场出现不必要的障碍物，妥当存放并处置施工设备和多余的材料，及时从现场清除运走任何废料、垃圾或不再需要的临时工程和设施。</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6.7.7 承包人应在现场设立固定的垃圾临时存放点并在各楼层或区域设立必要的垃圾箱；所有垃圾必须在当天清除出现场，并按有关行政管理部门的规定，运送到指定的垃圾消纳场。</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注、材料运输、材料装卸、现场清理等工作中应采取一切必要的措施防止影响公共交通。</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6.7.10 文明施工方面的其他要求如下：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 环境保护</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6.8.1 在工程施工、完工及修补任何缺陷的过程中，承包人应当始终遵守国家和工程所在地有关环境保护、水土保护和污染防治的法律、法规、规章、规范、标准和规程等，按照合同条款的约定履行其环境与生态保护职责。</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6.8.9 环境保护方面的其他要求如下：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6.9 施工环保措施计划</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6.9.1 合同条款约定的施工环保措施计划是承包人阐明环保方针和拟采用的环保措施及方法等的文件，其内容应包括但不限于：</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（1）承包人生活区(如果有)的生活用水和生活污水处理措施；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（2）施工生产废水处理措施；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（3）施工扬尘和废气的处理措施；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（4）施工噪声和光污染控制措施；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（5）节能减排措施；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（6）不可再生资源循环利用措施；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（7）固体废弃物处理措施；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（8）人群健康保护和卫生防疫措施；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（9）防止误用有害材料的保证措施；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（10）施工边坡工程的水土流失保护措施；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（11）道路污染防治措施；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（12）完工后场地清理及其植被(如果有)恢复的规划和措施；</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（13）其他：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6.9.2 施工环保措施计划应当在合同条款约定的期限内报送监理人。承包人应当严格执行经监理人批准的施工环保措施计划，并及时补充、修订和完善施工环保措施计划。</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 治安保卫</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7.1 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7.3 承包人应制定并实施严格的施工场地(现场)出入制度并报监理人审批；车辆的出入须有出入审批制度，并有指定的专人负责管理；人员进出现场应有出入证，出入证须以经过监理人批准的格式印制。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7.7 施工场地(现场)治安管理计划的要求：</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7.8 突发治安事件紧急预案的要求：</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7.9 治安保卫方面的其他要求如下：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 地上、地下设施和周边建筑物的临时保护</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8.1 承包人应为施工场地及其周边现有的地上、地下设施和建筑物提供足够的临时保护设施，确保施工过程中这些设施和建筑物不会受到干扰和破坏。</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8.3 发包人特别提醒承包人注意以下地上、地下设施和周边建筑物的保护：</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8.4 地上、地下设施和周边建筑物的临时保护的其他要求如下</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 样品和材料代换</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9.1 样品</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9.1.1 本工程需要承包人提供样品的材料和工程设备如下：</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9.1.2 对于本款第9.1.1项约定的材料和工程设备，承包人应按照合同条款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9.1.3 合同条款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9.1.5 得到批准后的样品由监理人负责存放。但承包人应为保存样品提供适当和固定的场所并保持适当和良好的环境条件。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9.1.6 提供样品和提供存放样品场所的费用由承包人承担。</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9.2 材料代换</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9.2.2 如果使用替代品，承包人应至少在被替代品按批准的进度计划用于永久工程前56天以书面形式通知监理人并随此通知提交下列文件：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（1）拟被替代的合同约定的材料和工程设备的名称、数量、规格、型号、品牌、性能、价格及其他任何详细资料；</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（2）拟采用的替代品的名称、数量、规格、型号、品牌、性能、价格及其他任何必要的详细资料；</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（3）替代品使用的工程部位；</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（4）采用替代品的理由和原因说明；</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（5）替代品与合同中约定的产品之间的差异以及使用替代品后可能对工程产生的任何影响；</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（6）价格上的差异；</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（7）监理人为做出适当的决定而随时要求承包人提供的任何其他文件。</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监理人在收到此类通知及上述文件后，应在28天内向承包人给出书面指示。如果28天内监理人未给出书面指示，应视为监理人和发包人已经批准使用上述替代品，承包人可以据此使用替代品。</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9.2.3 任何情况下，替代品都应遵守本合同中对相关材料和工程设备的要求。</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9.2.4 如果承包人根据本条约定使用了替代品，监理人应与承包人适当协商之后并在合理的期限内确定替代材料和工程设备与合同中约定的材料和工程设备之间的价值差值，并决定：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（1）如果替代材料和工程设备的价值高于合同中约定的材料和工程设备的价值，则将高出部分的价值追加到签约合同价中并相应地通知承包人；</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（2）如果替代材料和工程设备的价值低于合同中约定的材料和工程设备的价值，则将节余部分的价值从签约合同价中扣除并相应地通知承包人。</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10. 进口材料和工程设备</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10.1 本工程需要进口的材料和工程设备如下：</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10.2 上述进口材料和工程设备采购、进口、报关、清关、商检、境内运输(包括保险)、保管的责任以及费用承担方式划分如下：</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 进度报告和进度例会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11.1 进度报告</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11.1.5 各个进度报表的格式和内容应经过监理人的审批。进度报表应如实填写，由承包人授权代表签名，并报监理人的指定代表签名确认后再行分发。</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11.1.6 如果监理人认为必要，进度报告和进度照片应同时以存储在磁盘或光盘中的数据文件的形式递交给发包人和监理人。数据文件采用的应用软件及其版本应经过监理人的审批。</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11.1.7 有关进度报告的其他要求：</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11.2 进度例会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11.2.2 进度例会的内容将涉及合同管理、进度协调和工程管理的各个方面，由监理人准备的会议议题将随会议通知在会议召开前至少24小时发给各参会方。</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11.2.4 有关进度例会的其他要求：</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 试验和检验</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12.1 承包人应当按照工程施工验收规范和标准的规定和合同条款的约定，对用于永久工程的主要材料、半成品、成品、建筑构配件、工程设备等进行试验和检验。</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12.2 本工程需要承包人进行试验和检验的材料、工程设备和工艺如下：</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监理人可以根据工程需要，指示承包人进行其他现场材料和工艺的试验和检验。</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12.3 本工程需要由监理人和承包人共同进行试验和检验的材料、工程设备和工艺如下：</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12.4 本条上述约定需要进行检验的材料、工程设备和工艺在经过检验并获得监理人批准以前，不得用于任何永久工程。</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12.7 承包人应在监理人的监督下，对涉及结构安全的试块、试件以及有关材料进行现场取样，并送</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质量检测单位进行检测。</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12.8 除合同另有约定外，承包人应负担本合同项下的所有材料、工程设备和工艺检验的费用。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13. 计日工</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13.1 合同条款约定的计日工，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合同条款约定通知承包人实施。</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13.2 在工程实际开工后14天内，承包人应当按合同条款约定的计日工报表内容，准备一份计日工日报表的格式，报送监理人审批，监理人应当在收到之日后7天内给予批复或提出修改意见。</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13.3 按计日工实施相关变更的过程中，承包人应当按经监理人批准的计日工日报表格式，每天提交计日工报表和有关凭证，报送监理人审批，监理人应当在收到相关报表和凭证后24小时内给予批复。</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13.4 计日工劳务按工日(8小时)计量，单次4小时以内按0.5个工日，单次4小时至8小时按1个工日，加班时间按照国家劳动法律法规的规定办理。实施计日工的劳务人员仅应包括直接从事计日工工作的工人和班组长(如果有)，不应包括工长及其以上管理人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13.5 已标价工程量清单计日工材料表中未列出的材料，实际发生于计日工时，其价格按照经监理人事先审批的材料运到现场的价格和有关材料采购的发票票面价格(运到现场价)中的较低者结算，另计一个在计日工材料表中填写的包括承包人企业管理费、利润在内的一个固定百分比，规费和税金另计。</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13.6 施工机械按台班计量(8小时)，单次4小时以内按0.5个台班，单次4小时至8小时按1个台班，操作人员加班时间按照国家劳动法律法规的规定办理。计日工如果需要使用场外施工机械，台班费用和进出场费用按市场平均价格，由承包人事后报监理人审批。</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color w:val="000000" w:themeColor="text1"/>
          <w:sz w:val="32"/>
          <w:szCs w:val="32"/>
          <w14:textFill>
            <w14:solidFill>
              <w14:schemeClr w14:val="tx1"/>
            </w14:solidFill>
          </w14:textFill>
        </w:rPr>
        <w:t>13.7 关于计日工的其他约定：</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 计量与支付</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14.1 付款申请单</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14.1.1 在工程实际开工后14天内，承包人应当按照合同条款的约定，准备一份已完工程量报表、进度付款申请单和计量文件的格式等报送监理人，监理人应当在收到承包人报送的格式后7天内给予批复或者提出修改意见。</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14.1.2 根据合同条款， 承包人应当在合同约定的每个付款周期末，对当期完成的各项工程量进行计量和计价，并按照约定，对当期应增加和扣减的各类款项进行梳理和汇总，按经监理人批准的格式和专用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14.1.3 竣工付款申请单的内容按合同条款的约定。采用单价合同形式的，竣工付款申请单应当附上按合同条款确定的结算工程量和最近一欠进度付款和竣工付款之间完成的各子目的工程量计量文件。采用总价合同形式的，签约合同价所基于的工程量就是相应的竣工结算工程量，但是，变更应按合同约定进行计量和计价。</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14.1.4 竣工结算总价(合同价格)应当按以下内容梳理：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（1）签约合同价；</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（2）应当扣减的项目；</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1）所有暂列金额；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2）所有暂估价；</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3）根据合同条款应扣减的变更金额；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4）根据合同条款应扣减的价格调整(下调部分)；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5）根据合同条款应扣减的发包人索赔金额；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6）甩项工程的合同价值(如果有)；</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7）根据合同约定发包人应扣减的其他金额。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（3）应当增加的项目；</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1）实际发生的暂列金额(包括计日工)；</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2）实际发生的暂估价；</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3）根据合同条款应增加的变更金额；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4）根据合同条款应增加的价格调整(上调部分)；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5）根据合同条款应增加的承包人索赔金额；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6）根据合同约定承包人应当得到的其他金额。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（4）规费和税金差额部分。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14.1.5 最终结清申请单的应付金额应当按下列内容梳理：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（1）按合同约定扣留的质量保证金；</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（2）应当扣除的金额：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1）按合同条款约定扣留的质量保证金；</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2）按合同条款约定扣除的质量保证金；</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3）根据合同条款应扣减的缺陷责任期内发生的发包人索赔金额；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4）根据合同约定应扣减的其他金额。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（3）应当增加的金额：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1）已完且符合合同约定的甩项工程的价值；</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2）按合同条款约定由承包人修复的发包人原因造成的缺陷的价值；</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3）根据合同条款应增加的缺陷责任期内发生的承包人索赔金额；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4）根据合同约定承包人应当得到的其他金额。</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最终结清应当由发包人和承包人按照“多退少补”的原则办理。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14.1.6 竣工付款申请单和最终结清申请单应当比照进度付款申请单的格式准备，并提供相关证明材料。</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14.2 其他约定</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其他约定内容：</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15. 竣工验收和工程移交</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15.1 竣工验收前的清理</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15.1.1 在向监理人提交竣工验收申请报告前，承包人应当完成竣工验收前的清理工作，包括但不限于：</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（1）从永久工程内清除所有剩余材料、杂物、垃圾等等；</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（2）清洗工程的所有地面、墙面、楼面、路面等表面；</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（3）清洗和擦洗所有玻璃、磁砖、石材和所有金属面；</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（4）修缮所有损坏、清除所有污迹、替换所有需更换的材料；</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（5）所有表面完成约定的装修和装饰；</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（6）检查和调试所有的门、窗、抽屉等以确保他们开启的顺畅；</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（7）检查和调试所有的五金件并上油；</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（8）检查、测试和确保所有服务系统、设施和设备达到良好的运行状态和效果；</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（9）所有钥匙(如果有)贴上标签并固定到钥匙排上随时可以交给监理人。</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15.1.2 清理工作所需费用由承包人承担。</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15.2 竣工验收申请报告</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15.2.3 竣工验收申请报告应当按合同条款附上下列内容：</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承包人的自行检查和评定记录文件，即除监理人同意列入缺陷责任期内完成的尾工(甩项)工程和缺陷修补工作外，合同范围内的全部单位工程以及有关工作，包括合同要求的试验、试运行以及检验和验收均已完成，并符合合同要求；</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（2）按合同条款约定的内容和份数整理的符合要求的竣工资料；</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（3）按监理人的要求编制了在缺陷责任期内完成的尾工(甩项)工程和缺陷修补工作清单以及相应施工计划；</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（4）监理人要求在竣工验收前应完成的其他工作的证明材料；</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（5）监理人要求提交的竣工验收资料清单；</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（6）合同条款约定的单位工程竣工验收成果和结论文件(如有)；</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（7）合同条款约定的质量保修书(此前已经提交的不再提交)；</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 xml:space="preserve">（8）其他： </w:t>
      </w:r>
      <w:r>
        <w:rPr>
          <w:rFonts w:hint="eastAsia" w:ascii="方正仿宋_GB2312" w:hAnsi="方正仿宋_GB2312" w:eastAsia="方正仿宋_GB2312" w:cs="方正仿宋_GB2312"/>
          <w:sz w:val="32"/>
          <w:szCs w:val="32"/>
          <w:u w:val="single"/>
          <w:lang w:val="en-US" w:eastAsia="zh-CN"/>
        </w:rPr>
        <w:t xml:space="preserve">                                                                 </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15.3 竣工清场</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15.3.1 监理人颁发(出具)工程接收证书后，承包人应在56天内按以下要求对施工场地(现场)进行清理：</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（1）从施工场地(现场)清除所有杂物和垃圾等等；</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（2）从施工场地现场拆除所有的临时工程和临时设施并恢复地面原状，但经监理人批准的护坡桩、锚杆、塔吊基础和无法拆除的埋入式模板等无法拆除的临时设施除外；</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（3）撤离所有承包人施工设备和剩余材料(经监理人同意需在缺陷责任期内继续使用的除外)；</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（4）监理人指示的其他清场工作。</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16. 其他要求</w:t>
      </w:r>
      <w:r>
        <w:rPr>
          <w:rFonts w:hint="eastAsia" w:ascii="方正仿宋_GB2312" w:hAnsi="方正仿宋_GB2312" w:eastAsia="方正仿宋_GB2312" w:cs="方正仿宋_GB2312"/>
          <w:sz w:val="32"/>
          <w:szCs w:val="32"/>
          <w:u w:val="single"/>
          <w:lang w:val="en-US" w:eastAsia="zh-CN"/>
        </w:rPr>
        <w:t xml:space="preserve">                                                                 </w:t>
      </w:r>
    </w:p>
    <w:p>
      <w:pPr>
        <w:pStyle w:val="3"/>
        <w:pageBreakBefore w:val="0"/>
        <w:widowControl w:val="0"/>
        <w:kinsoku/>
        <w:overflowPunct/>
        <w:topLinePunct w:val="0"/>
        <w:autoSpaceDE/>
        <w:autoSpaceDN/>
        <w:bidi w:val="0"/>
        <w:adjustRightInd/>
        <w:snapToGrid/>
        <w:spacing w:line="440" w:lineRule="exact"/>
        <w:ind w:firstLine="640" w:firstLineChars="200"/>
        <w:jc w:val="center"/>
        <w:textAlignment w:val="auto"/>
        <w:outlineLvl w:val="1"/>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val="0"/>
          <w:bCs w:val="0"/>
          <w:sz w:val="32"/>
          <w:szCs w:val="32"/>
        </w:rPr>
        <w:br w:type="page"/>
      </w:r>
      <w:bookmarkStart w:id="1795" w:name="_BookMark_3"/>
      <w:bookmarkEnd w:id="1795"/>
      <w:bookmarkStart w:id="1796" w:name="_Toc16685"/>
      <w:bookmarkStart w:id="1797" w:name="_Toc6741"/>
      <w:bookmarkStart w:id="1798" w:name="_Toc30936"/>
      <w:r>
        <w:rPr>
          <w:rFonts w:hint="eastAsia" w:ascii="方正仿宋_GB2312" w:hAnsi="方正仿宋_GB2312" w:eastAsia="方正仿宋_GB2312" w:cs="方正仿宋_GB2312"/>
          <w:sz w:val="32"/>
          <w:szCs w:val="32"/>
        </w:rPr>
        <w:t>第二节  特殊技术标准和要求</w:t>
      </w:r>
      <w:bookmarkEnd w:id="1796"/>
      <w:bookmarkEnd w:id="1797"/>
      <w:bookmarkEnd w:id="1798"/>
    </w:p>
    <w:p>
      <w:pPr>
        <w:pStyle w:val="150"/>
        <w:keepNext w:val="0"/>
        <w:pageBreakBefore w:val="0"/>
        <w:widowControl w:val="0"/>
        <w:kinsoku/>
        <w:overflowPunct/>
        <w:topLinePunct w:val="0"/>
        <w:autoSpaceDE/>
        <w:autoSpaceDN/>
        <w:bidi w:val="0"/>
        <w:adjustRightInd/>
        <w:snapToGrid/>
        <w:spacing w:before="0" w:line="440" w:lineRule="exact"/>
        <w:jc w:val="both"/>
        <w:textAlignment w:val="auto"/>
        <w:outlineLvl w:val="9"/>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pPr>
      <w:bookmarkStart w:id="1799" w:name="_Toc25362"/>
      <w:bookmarkStart w:id="1800" w:name="_Toc10004"/>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1. 材料和工程设备技术要求</w:t>
      </w:r>
      <w:bookmarkEnd w:id="1799"/>
      <w:bookmarkEnd w:id="1800"/>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1.1 对主要材料采用厂家和代理商及材料品牌的要求</w:t>
      </w:r>
    </w:p>
    <w:p>
      <w:pPr>
        <w:pageBreakBefore w:val="0"/>
        <w:widowControl w:val="0"/>
        <w:kinsoku/>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1.1.1 设备、材料供应厂家和代理商及品牌的要求（详见附表）</w:t>
      </w:r>
    </w:p>
    <w:p>
      <w:pPr>
        <w:pageBreakBefore w:val="0"/>
        <w:widowControl w:val="0"/>
        <w:kinsoku/>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1.1.2 附表中列举的材料品牌投标人可以选定其一填报或采用相当于或高于所列品牌技术标准的材料和工程设备。未尽之处详见设计图纸。</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附表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主要材料采用厂家和代理商及材料品牌的要求（指定厂家品牌不得小于三家）</w:t>
      </w:r>
    </w:p>
    <w:tbl>
      <w:tblPr>
        <w:tblStyle w:val="43"/>
        <w:tblW w:w="4363" w:type="pct"/>
        <w:jc w:val="center"/>
        <w:tblBorders>
          <w:top w:val="none" w:color="auto" w:sz="0" w:space="0"/>
          <w:left w:val="none" w:color="auto" w:sz="0" w:space="0"/>
          <w:bottom w:val="single" w:color="auto" w:sz="8" w:space="0"/>
          <w:right w:val="single" w:color="auto" w:sz="8" w:space="0"/>
          <w:insideH w:val="none" w:color="auto" w:sz="0" w:space="0"/>
          <w:insideV w:val="none" w:color="auto" w:sz="0" w:space="0"/>
        </w:tblBorders>
        <w:tblLayout w:type="fixed"/>
        <w:tblCellMar>
          <w:top w:w="0" w:type="dxa"/>
          <w:left w:w="0" w:type="dxa"/>
          <w:bottom w:w="0" w:type="dxa"/>
          <w:right w:w="0" w:type="dxa"/>
        </w:tblCellMar>
      </w:tblPr>
      <w:tblGrid>
        <w:gridCol w:w="859"/>
        <w:gridCol w:w="835"/>
        <w:gridCol w:w="847"/>
        <w:gridCol w:w="1424"/>
        <w:gridCol w:w="656"/>
        <w:gridCol w:w="630"/>
        <w:gridCol w:w="629"/>
        <w:gridCol w:w="630"/>
        <w:gridCol w:w="630"/>
        <w:gridCol w:w="632"/>
      </w:tblGrid>
      <w:tr>
        <w:tblPrEx>
          <w:tblBorders>
            <w:top w:val="none" w:color="auto" w:sz="0" w:space="0"/>
            <w:left w:val="none" w:color="auto" w:sz="0"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rPr>
          <w:trHeight w:val="362" w:hRule="atLeast"/>
          <w:jc w:val="center"/>
        </w:trPr>
        <w:tc>
          <w:tcPr>
            <w:tcW w:w="869" w:type="dxa"/>
            <w:vMerge w:val="restart"/>
            <w:tcBorders>
              <w:top w:val="single" w:color="auto" w:sz="8" w:space="0"/>
              <w:left w:val="single" w:color="auto" w:sz="8" w:space="0"/>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序号</w:t>
            </w:r>
          </w:p>
        </w:tc>
        <w:tc>
          <w:tcPr>
            <w:tcW w:w="844" w:type="dxa"/>
            <w:vMerge w:val="restart"/>
            <w:tcBorders>
              <w:top w:val="single" w:color="auto" w:sz="8" w:space="0"/>
              <w:left w:val="single" w:color="auto" w:sz="8" w:space="0"/>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材料</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名称</w:t>
            </w:r>
          </w:p>
        </w:tc>
        <w:tc>
          <w:tcPr>
            <w:tcW w:w="856" w:type="dxa"/>
            <w:vMerge w:val="restart"/>
            <w:tcBorders>
              <w:top w:val="single" w:color="auto" w:sz="8" w:space="0"/>
              <w:left w:val="single" w:color="auto" w:sz="8" w:space="0"/>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规格型号</w:t>
            </w:r>
          </w:p>
        </w:tc>
        <w:tc>
          <w:tcPr>
            <w:tcW w:w="1440" w:type="dxa"/>
            <w:vMerge w:val="restart"/>
            <w:tcBorders>
              <w:top w:val="single" w:color="auto" w:sz="8" w:space="0"/>
              <w:left w:val="single" w:color="auto" w:sz="8" w:space="0"/>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pPr>
            <w:r>
              <w:rPr>
                <w:rFonts w:hint="eastAsia" w:ascii="方正仿宋_GB2312" w:hAnsi="方正仿宋_GB2312" w:eastAsia="方正仿宋_GB2312" w:cs="方正仿宋_GB2312"/>
                <w:b w:val="0"/>
                <w:bCs w:val="0"/>
                <w:color w:val="000000" w:themeColor="text1"/>
                <w:kern w:val="2"/>
                <w:sz w:val="32"/>
                <w:szCs w:val="32"/>
                <w:lang w:val="en-US" w:eastAsia="zh-CN" w:bidi="ar-SA"/>
                <w14:textFill>
                  <w14:solidFill>
                    <w14:schemeClr w14:val="tx1"/>
                  </w14:solidFill>
                </w14:textFill>
              </w:rPr>
              <w:t>投标产地厂家品牌及联系电话</w:t>
            </w:r>
          </w:p>
        </w:tc>
        <w:tc>
          <w:tcPr>
            <w:tcW w:w="663" w:type="dxa"/>
            <w:tcBorders>
              <w:top w:val="single" w:color="auto" w:sz="8" w:space="0"/>
              <w:lef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c>
          <w:tcPr>
            <w:tcW w:w="637" w:type="dxa"/>
            <w:tcBorders>
              <w:top w:val="single" w:color="auto" w:sz="8" w:space="0"/>
              <w:lef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c>
          <w:tcPr>
            <w:tcW w:w="636" w:type="dxa"/>
            <w:tcBorders>
              <w:top w:val="single" w:color="auto" w:sz="8" w:space="0"/>
              <w:lef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c>
          <w:tcPr>
            <w:tcW w:w="637" w:type="dxa"/>
            <w:tcBorders>
              <w:top w:val="single" w:color="auto" w:sz="8" w:space="0"/>
              <w:lef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c>
          <w:tcPr>
            <w:tcW w:w="637" w:type="dxa"/>
            <w:tcBorders>
              <w:top w:val="single" w:color="auto" w:sz="8" w:space="0"/>
              <w:lef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c>
          <w:tcPr>
            <w:tcW w:w="639" w:type="dxa"/>
            <w:tcBorders>
              <w:top w:val="single" w:color="auto" w:sz="8" w:space="0"/>
              <w:lef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r>
      <w:tr>
        <w:tblPrEx>
          <w:tblBorders>
            <w:top w:val="none" w:color="auto" w:sz="0" w:space="0"/>
            <w:left w:val="none" w:color="auto" w:sz="0" w:space="0"/>
            <w:bottom w:val="single" w:color="auto" w:sz="8" w:space="0"/>
            <w:right w:val="single" w:color="auto" w:sz="8" w:space="0"/>
            <w:insideH w:val="none" w:color="auto" w:sz="0" w:space="0"/>
            <w:insideV w:val="none" w:color="auto" w:sz="0" w:space="0"/>
          </w:tblBorders>
          <w:tblCellMar>
            <w:top w:w="0" w:type="dxa"/>
            <w:left w:w="0" w:type="dxa"/>
            <w:bottom w:w="0" w:type="dxa"/>
            <w:right w:w="0" w:type="dxa"/>
          </w:tblCellMar>
        </w:tblPrEx>
        <w:trPr>
          <w:trHeight w:val="648" w:hRule="atLeast"/>
          <w:jc w:val="center"/>
        </w:trPr>
        <w:tc>
          <w:tcPr>
            <w:tcW w:w="869" w:type="dxa"/>
            <w:vMerge w:val="continue"/>
            <w:tcBorders>
              <w:top w:val="single" w:color="auto" w:sz="8" w:space="0"/>
              <w:left w:val="single" w:color="auto" w:sz="8" w:space="0"/>
            </w:tcBorders>
            <w:vAlign w:val="center"/>
          </w:tcPr>
          <w:p>
            <w:pPr>
              <w:keepNext w:val="0"/>
              <w:keepLines w:val="0"/>
              <w:pageBreakBefore w:val="0"/>
              <w:widowControl w:val="0"/>
              <w:kinsoku/>
              <w:overflowPunct/>
              <w:topLinePunct w:val="0"/>
              <w:autoSpaceDE/>
              <w:autoSpaceDN/>
              <w:bidi w:val="0"/>
              <w:adjustRightInd/>
              <w:snapToGrid/>
              <w:spacing w:line="440" w:lineRule="exact"/>
              <w:ind w:firstLine="0" w:firstLineChars="0"/>
              <w:jc w:val="left"/>
              <w:textAlignment w:val="auto"/>
              <w:rPr>
                <w:rFonts w:hint="eastAsia" w:ascii="方正仿宋_GB2312" w:hAnsi="方正仿宋_GB2312" w:eastAsia="方正仿宋_GB2312" w:cs="方正仿宋_GB2312"/>
                <w:sz w:val="32"/>
                <w:szCs w:val="32"/>
              </w:rPr>
            </w:pPr>
          </w:p>
        </w:tc>
        <w:tc>
          <w:tcPr>
            <w:tcW w:w="844" w:type="dxa"/>
            <w:vMerge w:val="continue"/>
            <w:tcBorders>
              <w:top w:val="single" w:color="auto" w:sz="8" w:space="0"/>
              <w:left w:val="single" w:color="auto" w:sz="8" w:space="0"/>
            </w:tcBorders>
            <w:vAlign w:val="center"/>
          </w:tcPr>
          <w:p>
            <w:pPr>
              <w:keepNext w:val="0"/>
              <w:keepLines w:val="0"/>
              <w:pageBreakBefore w:val="0"/>
              <w:widowControl w:val="0"/>
              <w:kinsoku/>
              <w:overflowPunct/>
              <w:topLinePunct w:val="0"/>
              <w:autoSpaceDE/>
              <w:autoSpaceDN/>
              <w:bidi w:val="0"/>
              <w:adjustRightInd/>
              <w:snapToGrid/>
              <w:spacing w:line="440" w:lineRule="exact"/>
              <w:ind w:firstLine="0" w:firstLineChars="0"/>
              <w:jc w:val="left"/>
              <w:textAlignment w:val="auto"/>
              <w:rPr>
                <w:rFonts w:hint="eastAsia" w:ascii="方正仿宋_GB2312" w:hAnsi="方正仿宋_GB2312" w:eastAsia="方正仿宋_GB2312" w:cs="方正仿宋_GB2312"/>
                <w:sz w:val="32"/>
                <w:szCs w:val="32"/>
              </w:rPr>
            </w:pPr>
          </w:p>
        </w:tc>
        <w:tc>
          <w:tcPr>
            <w:tcW w:w="856" w:type="dxa"/>
            <w:vMerge w:val="continue"/>
            <w:tcBorders>
              <w:top w:val="single" w:color="auto" w:sz="8" w:space="0"/>
              <w:left w:val="single" w:color="auto" w:sz="8" w:space="0"/>
            </w:tcBorders>
            <w:vAlign w:val="center"/>
          </w:tcPr>
          <w:p>
            <w:pPr>
              <w:keepNext w:val="0"/>
              <w:keepLines w:val="0"/>
              <w:pageBreakBefore w:val="0"/>
              <w:widowControl w:val="0"/>
              <w:kinsoku/>
              <w:overflowPunct/>
              <w:topLinePunct w:val="0"/>
              <w:autoSpaceDE/>
              <w:autoSpaceDN/>
              <w:bidi w:val="0"/>
              <w:adjustRightInd/>
              <w:snapToGrid/>
              <w:spacing w:line="440" w:lineRule="exact"/>
              <w:ind w:firstLine="0" w:firstLineChars="0"/>
              <w:jc w:val="left"/>
              <w:textAlignment w:val="auto"/>
              <w:rPr>
                <w:rFonts w:hint="eastAsia" w:ascii="方正仿宋_GB2312" w:hAnsi="方正仿宋_GB2312" w:eastAsia="方正仿宋_GB2312" w:cs="方正仿宋_GB2312"/>
                <w:sz w:val="32"/>
                <w:szCs w:val="32"/>
              </w:rPr>
            </w:pPr>
          </w:p>
        </w:tc>
        <w:tc>
          <w:tcPr>
            <w:tcW w:w="1440" w:type="dxa"/>
            <w:vMerge w:val="continue"/>
            <w:tcBorders>
              <w:top w:val="single" w:color="auto" w:sz="8" w:space="0"/>
              <w:left w:val="single" w:color="auto" w:sz="8" w:space="0"/>
            </w:tcBorders>
            <w:vAlign w:val="center"/>
          </w:tcPr>
          <w:p>
            <w:pPr>
              <w:keepNext w:val="0"/>
              <w:keepLines w:val="0"/>
              <w:pageBreakBefore w:val="0"/>
              <w:widowControl w:val="0"/>
              <w:kinsoku/>
              <w:overflowPunct/>
              <w:topLinePunct w:val="0"/>
              <w:autoSpaceDE/>
              <w:autoSpaceDN/>
              <w:bidi w:val="0"/>
              <w:adjustRightInd/>
              <w:snapToGrid/>
              <w:spacing w:line="440" w:lineRule="exact"/>
              <w:ind w:firstLine="0" w:firstLineChars="0"/>
              <w:jc w:val="left"/>
              <w:textAlignment w:val="auto"/>
              <w:rPr>
                <w:rFonts w:hint="eastAsia" w:ascii="方正仿宋_GB2312" w:hAnsi="方正仿宋_GB2312" w:eastAsia="方正仿宋_GB2312" w:cs="方正仿宋_GB2312"/>
                <w:sz w:val="32"/>
                <w:szCs w:val="32"/>
              </w:rPr>
            </w:pPr>
          </w:p>
        </w:tc>
        <w:tc>
          <w:tcPr>
            <w:tcW w:w="663" w:type="dxa"/>
            <w:tcBorders>
              <w:top w:val="single" w:color="auto" w:sz="8" w:space="0"/>
              <w:left w:val="single" w:color="auto" w:sz="8" w:space="0"/>
              <w:righ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vanish/>
                <w:sz w:val="32"/>
                <w:szCs w:val="32"/>
              </w:rPr>
            </w:pPr>
          </w:p>
        </w:tc>
        <w:tc>
          <w:tcPr>
            <w:tcW w:w="637" w:type="dxa"/>
            <w:tcBorders>
              <w:top w:val="single" w:color="auto" w:sz="8" w:space="0"/>
              <w:left w:val="single" w:color="auto" w:sz="8" w:space="0"/>
              <w:righ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vanish/>
                <w:sz w:val="32"/>
                <w:szCs w:val="32"/>
              </w:rPr>
            </w:pPr>
          </w:p>
        </w:tc>
        <w:tc>
          <w:tcPr>
            <w:tcW w:w="636" w:type="dxa"/>
            <w:tcBorders>
              <w:top w:val="single" w:color="auto" w:sz="8" w:space="0"/>
              <w:left w:val="single" w:color="auto" w:sz="8" w:space="0"/>
              <w:righ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vanish/>
                <w:sz w:val="32"/>
                <w:szCs w:val="32"/>
              </w:rPr>
            </w:pPr>
          </w:p>
        </w:tc>
        <w:tc>
          <w:tcPr>
            <w:tcW w:w="637" w:type="dxa"/>
            <w:tcBorders>
              <w:top w:val="single" w:color="auto" w:sz="8" w:space="0"/>
              <w:left w:val="single" w:color="auto" w:sz="8" w:space="0"/>
              <w:righ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vanish/>
                <w:sz w:val="32"/>
                <w:szCs w:val="32"/>
              </w:rPr>
            </w:pPr>
          </w:p>
        </w:tc>
        <w:tc>
          <w:tcPr>
            <w:tcW w:w="637" w:type="dxa"/>
            <w:tcBorders>
              <w:top w:val="single" w:color="auto" w:sz="8" w:space="0"/>
              <w:left w:val="single" w:color="auto" w:sz="8" w:space="0"/>
              <w:righ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vanish/>
                <w:sz w:val="32"/>
                <w:szCs w:val="32"/>
              </w:rPr>
            </w:pPr>
          </w:p>
        </w:tc>
        <w:tc>
          <w:tcPr>
            <w:tcW w:w="639" w:type="dxa"/>
            <w:tcBorders>
              <w:top w:val="single" w:color="auto" w:sz="8" w:space="0"/>
              <w:left w:val="single" w:color="auto" w:sz="8" w:space="0"/>
              <w:right w:val="single" w:color="auto" w:sz="8" w:space="0"/>
            </w:tcBorders>
          </w:tcPr>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vanish/>
                <w:sz w:val="32"/>
                <w:szCs w:val="32"/>
              </w:rPr>
            </w:pPr>
          </w:p>
        </w:tc>
      </w:tr>
    </w:tbl>
    <w:p>
      <w:pPr>
        <w:keepNext w:val="0"/>
        <w:keepLines w:val="0"/>
        <w:pageBreakBefore w:val="0"/>
        <w:widowControl w:val="0"/>
        <w:kinsoku/>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1.1.3 以上所给定的产品品牌规格如与图纸设计规格不尽相同，可采用同种品牌相近的规格代替（质量必须在原图纸设计规格质量之上）。</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1.1.4 如果给定的以上品牌中没有与图纸设计相同或相近规格的产品，请以书面形式通知招标人，招标人以书面形式予以答复。</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1.1.5 其余材料设备由投标人自行选定，所选材料必须符合国家标准且必须是大中型企业生产的中高档产品，中标后，招标人将中标人选定的材料设备制造厂商或供应商进行考察，若中标人采用小型企业生产的材料设备，招标人将要求中标人无条件更换招标人指定的制造厂商或供应商，价格不作调整。</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 承包人供应的设备材料：</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1.2.1 在发货前必须向业主提供所投标产品在中国总代理的发货证明及双方合同；</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1.2.2 在发货时提供产品的原产地证明及原厂家发票；</w:t>
      </w:r>
    </w:p>
    <w:p>
      <w:pPr>
        <w:pageBreakBefore w:val="0"/>
        <w:widowControl w:val="0"/>
        <w:kinsoku/>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1.2.3 在发货时提供产品的材质证明原件。</w:t>
      </w:r>
    </w:p>
    <w:p>
      <w:pPr>
        <w:pageBreakBefore w:val="0"/>
        <w:widowControl w:val="0"/>
        <w:kinsoku/>
        <w:overflowPunct/>
        <w:topLinePunct w:val="0"/>
        <w:autoSpaceDE/>
        <w:autoSpaceDN/>
        <w:bidi w:val="0"/>
        <w:adjustRightInd/>
        <w:snapToGrid/>
        <w:spacing w:line="440" w:lineRule="exact"/>
        <w:textAlignment w:val="auto"/>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2. 技术规范</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技术规范按国家技术规范、标准、规程执行及节能防火要求。</w:t>
      </w:r>
    </w:p>
    <w:p>
      <w:pPr>
        <w:pageBreakBefore w:val="0"/>
        <w:widowControl w:val="0"/>
        <w:kinsoku/>
        <w:overflowPunct/>
        <w:topLinePunct w:val="0"/>
        <w:autoSpaceDE/>
        <w:autoSpaceDN/>
        <w:bidi w:val="0"/>
        <w:adjustRightInd/>
        <w:snapToGrid/>
        <w:spacing w:line="440" w:lineRule="exact"/>
        <w:textAlignment w:val="auto"/>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3. 技术标准</w:t>
      </w:r>
    </w:p>
    <w:p>
      <w:pPr>
        <w:pageBreakBefore w:val="0"/>
        <w:widowControl w:val="0"/>
        <w:kinsoku/>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技术标准按国家有关强制性标准和地方强制性标准执行。</w:t>
      </w:r>
    </w:p>
    <w:p>
      <w:pPr>
        <w:pageBreakBefore w:val="0"/>
        <w:widowControl w:val="0"/>
        <w:kinsoku/>
        <w:overflowPunct/>
        <w:topLinePunct w:val="0"/>
        <w:autoSpaceDE/>
        <w:autoSpaceDN/>
        <w:bidi w:val="0"/>
        <w:adjustRightInd/>
        <w:snapToGrid/>
        <w:spacing w:line="440" w:lineRule="exact"/>
        <w:textAlignment w:val="auto"/>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4. 本工程施工材料应满足设计要求，具体技术要求</w:t>
      </w:r>
    </w:p>
    <w:p>
      <w:pPr>
        <w:pageBreakBefore w:val="0"/>
        <w:kinsoku/>
        <w:bidi w:val="0"/>
        <w:spacing w:line="440" w:lineRule="exact"/>
        <w:ind w:firstLine="0" w:firstLineChars="0"/>
        <w:jc w:val="center"/>
        <w:outlineLvl w:val="1"/>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val="0"/>
          <w:bCs w:val="0"/>
          <w:sz w:val="32"/>
          <w:szCs w:val="32"/>
        </w:rPr>
        <w:br w:type="page"/>
      </w:r>
      <w:bookmarkStart w:id="1801" w:name="_BookMark_4"/>
      <w:bookmarkEnd w:id="1801"/>
      <w:bookmarkStart w:id="1802" w:name="_Toc29082"/>
      <w:bookmarkStart w:id="1803" w:name="_Toc22327"/>
      <w:r>
        <w:rPr>
          <w:rFonts w:hint="eastAsia" w:ascii="方正仿宋_GB2312" w:hAnsi="方正仿宋_GB2312" w:eastAsia="方正仿宋_GB2312" w:cs="方正仿宋_GB2312"/>
          <w:b/>
          <w:bCs/>
          <w:sz w:val="32"/>
          <w:szCs w:val="32"/>
        </w:rPr>
        <w:t>第三节  适用的国家、行业以及地方规范、标准和规程</w:t>
      </w:r>
      <w:bookmarkEnd w:id="1802"/>
      <w:bookmarkEnd w:id="1803"/>
    </w:p>
    <w:p>
      <w:pPr>
        <w:pageBreakBefore w:val="0"/>
        <w:kinsoku/>
        <w:bidi w:val="0"/>
        <w:spacing w:line="440" w:lineRule="exact"/>
        <w:ind w:firstLine="0" w:firstLineChars="0"/>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说明：</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本节内容只需列出规范、标准、规程等的名称、编号等内容。本节由招标人根据国家、行业和地方现行标准、规范和规程等，以及项目具体情况摘录。</w:t>
      </w:r>
    </w:p>
    <w:p>
      <w:pPr>
        <w:pStyle w:val="2"/>
        <w:pageBreakBefore w:val="0"/>
        <w:kinsoku/>
        <w:bidi w:val="0"/>
        <w:spacing w:line="440" w:lineRule="exact"/>
        <w:ind w:firstLine="0" w:firstLineChars="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br w:type="page"/>
      </w:r>
      <w:bookmarkStart w:id="1804" w:name="_Toc508286143"/>
      <w:bookmarkStart w:id="1805" w:name="_Toc23544"/>
    </w:p>
    <w:p>
      <w:pPr>
        <w:pageBreakBefore w:val="0"/>
        <w:kinsoku/>
        <w:bidi w:val="0"/>
        <w:spacing w:line="440" w:lineRule="exact"/>
        <w:ind w:firstLine="0" w:firstLineChars="0"/>
        <w:jc w:val="both"/>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附件A：</w:t>
      </w: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14:textFill>
            <w14:solidFill>
              <w14:schemeClr w14:val="tx1"/>
            </w14:solidFill>
          </w14:textFill>
        </w:rPr>
        <w:t>施工现场现状平面图</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说明：该图由招标人准备，并作为招标文件本章的组成内容提供给投标人。图中应当标示本章第一节第1.2.1项规定的内容，并做必要的文字说明。</w:t>
      </w: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Style w:val="2"/>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br w:type="page"/>
      </w: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bookmarkEnd w:id="1804"/>
    <w:bookmarkEnd w:id="1805"/>
    <w:p>
      <w:pPr>
        <w:pageBreakBefore w:val="0"/>
        <w:widowControl/>
        <w:kinsoku/>
        <w:bidi w:val="0"/>
        <w:spacing w:line="440" w:lineRule="exact"/>
        <w:ind w:firstLine="0" w:firstLineChars="0"/>
        <w:jc w:val="center"/>
        <w:outlineLvl w:val="9"/>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0"/>
        <w:rPr>
          <w:rFonts w:hint="eastAsia" w:ascii="方正仿宋_GB2312" w:hAnsi="方正仿宋_GB2312" w:eastAsia="方正仿宋_GB2312" w:cs="方正仿宋_GB2312"/>
          <w:b w:val="0"/>
          <w:bCs w:val="0"/>
          <w:kern w:val="2"/>
          <w:sz w:val="32"/>
          <w:szCs w:val="32"/>
          <w:lang w:val="en-US" w:eastAsia="zh-CN" w:bidi="ar-SA"/>
        </w:rPr>
      </w:pPr>
      <w:bookmarkStart w:id="1806" w:name="_Toc2568"/>
      <w:r>
        <w:rPr>
          <w:rFonts w:hint="eastAsia" w:ascii="方正仿宋_GB2312" w:hAnsi="方正仿宋_GB2312" w:eastAsia="方正仿宋_GB2312" w:cs="方正仿宋_GB2312"/>
          <w:b/>
          <w:bCs/>
          <w:kern w:val="2"/>
          <w:sz w:val="32"/>
          <w:szCs w:val="32"/>
          <w:lang w:val="en-US" w:eastAsia="zh-CN" w:bidi="ar-SA"/>
        </w:rPr>
        <w:t>第八章  投标文件格式</w:t>
      </w:r>
      <w:bookmarkEnd w:id="1806"/>
    </w:p>
    <w:p>
      <w:pPr>
        <w:pStyle w:val="3"/>
        <w:pageBreakBefore w:val="0"/>
        <w:kinsoku/>
        <w:bidi w:val="0"/>
        <w:spacing w:line="440" w:lineRule="exact"/>
        <w:ind w:firstLine="0" w:firstLineChars="0"/>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bookmarkStart w:id="1807" w:name="_Toc16484"/>
      <w:bookmarkStart w:id="1808" w:name="_Toc5753"/>
      <w:bookmarkStart w:id="1809" w:name="_Toc31153"/>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outlineLvl w:val="1"/>
        <w:rPr>
          <w:rFonts w:hint="eastAsia" w:ascii="方正仿宋_GB2312" w:hAnsi="方正仿宋_GB2312" w:eastAsia="方正仿宋_GB2312" w:cs="方正仿宋_GB2312"/>
          <w:b/>
          <w:bCs/>
          <w:kern w:val="2"/>
          <w:sz w:val="32"/>
          <w:szCs w:val="32"/>
          <w:lang w:val="en-US" w:eastAsia="zh-CN" w:bidi="ar-SA"/>
        </w:rPr>
      </w:pPr>
      <w:bookmarkStart w:id="1810" w:name="_Toc12715"/>
      <w:r>
        <w:rPr>
          <w:rFonts w:hint="eastAsia" w:ascii="方正仿宋_GB2312" w:hAnsi="方正仿宋_GB2312" w:eastAsia="方正仿宋_GB2312" w:cs="方正仿宋_GB2312"/>
          <w:b/>
          <w:bCs/>
          <w:kern w:val="2"/>
          <w:sz w:val="32"/>
          <w:szCs w:val="32"/>
          <w:lang w:val="en-US" w:eastAsia="zh-CN" w:bidi="ar-SA"/>
        </w:rPr>
        <w:t>第一节  投标函格式</w:t>
      </w:r>
      <w:bookmarkEnd w:id="1810"/>
    </w:p>
    <w:bookmarkEnd w:id="1807"/>
    <w:bookmarkEnd w:id="1808"/>
    <w:bookmarkEnd w:id="1809"/>
    <w:p>
      <w:pPr>
        <w:pStyle w:val="3"/>
        <w:pageBreakBefore w:val="0"/>
        <w:kinsoku/>
        <w:bidi w:val="0"/>
        <w:spacing w:line="440" w:lineRule="exact"/>
        <w:ind w:firstLine="0" w:firstLineChars="0"/>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3"/>
        <w:pageBreakBefore w:val="0"/>
        <w:kinsoku/>
        <w:bidi w:val="0"/>
        <w:spacing w:line="440" w:lineRule="exact"/>
        <w:ind w:firstLine="0" w:firstLineChars="0"/>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before="240" w:beforeLines="100" w:after="240" w:afterLines="100"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before="240" w:beforeLines="100" w:after="240" w:afterLines="100"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before="240" w:beforeLines="100" w:after="240" w:afterLines="100"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p>
    <w:p>
      <w:pP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（项目名称及标段）</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none"/>
          <w:lang w:val="en-US" w:eastAsia="zh-CN"/>
          <w14:textFill>
            <w14:solidFill>
              <w14:schemeClr w14:val="tx1"/>
            </w14:solidFill>
          </w14:textFill>
        </w:rPr>
        <w:t>施工招标</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u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none"/>
          <w:lang w:val="en-US" w:eastAsia="zh-CN"/>
          <w14:textFill>
            <w14:solidFill>
              <w14:schemeClr w14:val="tx1"/>
            </w14:solidFill>
          </w14:textFill>
        </w:rPr>
        <w:t>投  标  文  件</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（投标函）</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（盖章）</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法定代表人或其委托代理人：</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（签字或盖章）</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年  月  日</w:t>
      </w:r>
    </w:p>
    <w:p>
      <w:pPr>
        <w:pStyle w:val="150"/>
        <w:keepNext/>
        <w:keepLines/>
        <w:pageBreakBefore w:val="0"/>
        <w:widowControl w:val="0"/>
        <w:kinsoku/>
        <w:wordWrap/>
        <w:overflowPunct/>
        <w:topLinePunct w:val="0"/>
        <w:autoSpaceDE/>
        <w:autoSpaceDN/>
        <w:bidi w:val="0"/>
        <w:adjustRightInd/>
        <w:snapToGrid/>
        <w:spacing w:line="440" w:lineRule="exact"/>
        <w:ind w:firstLine="0" w:firstLineChars="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bookmarkStart w:id="1811" w:name="_Toc6483"/>
      <w:bookmarkStart w:id="1812" w:name="_Toc13144"/>
      <w:bookmarkStart w:id="1813" w:name="_Toc5448"/>
    </w:p>
    <w:p>
      <w:pPr>
        <w:pStyle w:val="150"/>
        <w:keepNext/>
        <w:keepLines/>
        <w:pageBreakBefore w:val="0"/>
        <w:widowControl w:val="0"/>
        <w:kinsoku/>
        <w:wordWrap/>
        <w:overflowPunct/>
        <w:topLinePunct w:val="0"/>
        <w:autoSpaceDE/>
        <w:autoSpaceDN/>
        <w:bidi w:val="0"/>
        <w:adjustRightInd/>
        <w:snapToGrid/>
        <w:spacing w:line="440" w:lineRule="exact"/>
        <w:ind w:firstLine="0" w:firstLineChars="0"/>
        <w:textAlignment w:val="auto"/>
        <w:outlineLvl w:val="9"/>
        <w:rPr>
          <w:rFonts w:hint="eastAsia" w:ascii="方正仿宋_GB2312" w:hAnsi="方正仿宋_GB2312" w:eastAsia="方正仿宋_GB2312" w:cs="方正仿宋_GB2312"/>
          <w:b/>
          <w:bCs w:val="0"/>
          <w:sz w:val="32"/>
          <w:szCs w:val="32"/>
        </w:rPr>
      </w:pPr>
      <w:bookmarkStart w:id="1814" w:name="_Toc7470"/>
      <w:bookmarkStart w:id="1815" w:name="_Toc17077"/>
      <w:r>
        <w:rPr>
          <w:rFonts w:hint="eastAsia" w:ascii="方正仿宋_GB2312" w:hAnsi="方正仿宋_GB2312" w:eastAsia="方正仿宋_GB2312" w:cs="方正仿宋_GB2312"/>
          <w:b/>
          <w:bCs w:val="0"/>
          <w:sz w:val="32"/>
          <w:szCs w:val="32"/>
        </w:rPr>
        <w:t>适用于</w:t>
      </w:r>
      <w:r>
        <w:rPr>
          <w:rFonts w:hint="eastAsia" w:ascii="方正仿宋_GB2312" w:hAnsi="方正仿宋_GB2312" w:eastAsia="方正仿宋_GB2312" w:cs="方正仿宋_GB2312"/>
          <w:b/>
          <w:bCs w:val="0"/>
          <w:sz w:val="32"/>
          <w:szCs w:val="32"/>
          <w:lang w:val="en-US" w:eastAsia="zh-CN"/>
        </w:rPr>
        <w:t>已</w:t>
      </w:r>
      <w:r>
        <w:rPr>
          <w:rFonts w:hint="eastAsia" w:ascii="方正仿宋_GB2312" w:hAnsi="方正仿宋_GB2312" w:eastAsia="方正仿宋_GB2312" w:cs="方正仿宋_GB2312"/>
          <w:b/>
          <w:bCs w:val="0"/>
          <w:sz w:val="32"/>
          <w:szCs w:val="32"/>
        </w:rPr>
        <w:t>资格</w:t>
      </w:r>
      <w:r>
        <w:rPr>
          <w:rFonts w:hint="eastAsia" w:ascii="方正仿宋_GB2312" w:hAnsi="方正仿宋_GB2312" w:eastAsia="方正仿宋_GB2312" w:cs="方正仿宋_GB2312"/>
          <w:b/>
          <w:bCs w:val="0"/>
          <w:sz w:val="32"/>
          <w:szCs w:val="32"/>
          <w:lang w:val="en-US" w:eastAsia="zh-CN"/>
        </w:rPr>
        <w:t>预</w:t>
      </w:r>
      <w:r>
        <w:rPr>
          <w:rFonts w:hint="eastAsia" w:ascii="方正仿宋_GB2312" w:hAnsi="方正仿宋_GB2312" w:eastAsia="方正仿宋_GB2312" w:cs="方正仿宋_GB2312"/>
          <w:b/>
          <w:bCs w:val="0"/>
          <w:sz w:val="32"/>
          <w:szCs w:val="32"/>
        </w:rPr>
        <w:t>审</w:t>
      </w:r>
      <w:bookmarkEnd w:id="1814"/>
      <w:bookmarkEnd w:id="1815"/>
      <w:r>
        <w:rPr>
          <w:rFonts w:hint="eastAsia" w:ascii="方正仿宋_GB2312" w:hAnsi="方正仿宋_GB2312" w:eastAsia="方正仿宋_GB2312" w:cs="方正仿宋_GB2312"/>
          <w:b/>
          <w:bCs w:val="0"/>
          <w:sz w:val="32"/>
          <w:szCs w:val="32"/>
        </w:rPr>
        <w:t xml:space="preserve"> </w:t>
      </w:r>
    </w:p>
    <w:p>
      <w:pPr>
        <w:pStyle w:val="150"/>
        <w:pageBreakBefore w:val="0"/>
        <w:kinsoku/>
        <w:bidi w:val="0"/>
        <w:spacing w:line="440" w:lineRule="exact"/>
        <w:ind w:firstLine="0" w:firstLineChars="0"/>
        <w:outlineLvl w:val="9"/>
        <w:rPr>
          <w:rFonts w:hint="eastAsia" w:ascii="方正仿宋_GB2312" w:hAnsi="方正仿宋_GB2312" w:eastAsia="方正仿宋_GB2312" w:cs="方正仿宋_GB2312"/>
          <w:sz w:val="32"/>
          <w:szCs w:val="32"/>
        </w:rPr>
      </w:pPr>
    </w:p>
    <w:p>
      <w:pPr>
        <w:pStyle w:val="150"/>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bookmarkStart w:id="1816" w:name="_Toc26663"/>
      <w:bookmarkStart w:id="1817" w:name="_Toc21454"/>
      <w:r>
        <w:rPr>
          <w:rFonts w:hint="eastAsia" w:ascii="方正仿宋_GB2312" w:hAnsi="方正仿宋_GB2312" w:eastAsia="方正仿宋_GB2312" w:cs="方正仿宋_GB2312"/>
          <w:sz w:val="32"/>
          <w:szCs w:val="32"/>
        </w:rPr>
        <w:t>目    录</w:t>
      </w:r>
      <w:bookmarkEnd w:id="1816"/>
      <w:bookmarkEnd w:id="1817"/>
    </w:p>
    <w:p>
      <w:pPr>
        <w:pStyle w:val="150"/>
        <w:pageBreakBefore w:val="0"/>
        <w:kinsoku/>
        <w:bidi w:val="0"/>
        <w:spacing w:line="440" w:lineRule="exact"/>
        <w:ind w:firstLine="0" w:firstLineChars="0"/>
        <w:outlineLvl w:val="9"/>
        <w:rPr>
          <w:rFonts w:hint="eastAsia" w:ascii="方正仿宋_GB2312" w:hAnsi="方正仿宋_GB2312" w:eastAsia="方正仿宋_GB2312" w:cs="方正仿宋_GB2312"/>
          <w:sz w:val="32"/>
          <w:szCs w:val="32"/>
        </w:rPr>
      </w:pPr>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18" w:name="_Toc16638"/>
      <w:bookmarkStart w:id="1819" w:name="_Toc8997"/>
      <w:r>
        <w:rPr>
          <w:rFonts w:hint="eastAsia" w:ascii="方正仿宋_GB2312" w:hAnsi="方正仿宋_GB2312" w:eastAsia="方正仿宋_GB2312" w:cs="方正仿宋_GB2312"/>
          <w:b w:val="0"/>
          <w:bCs w:val="0"/>
          <w:kern w:val="2"/>
          <w:sz w:val="32"/>
          <w:szCs w:val="32"/>
          <w:lang w:val="en-US" w:eastAsia="zh-CN" w:bidi="ar-SA"/>
        </w:rPr>
        <w:t>1、投标函及投标报价表；</w:t>
      </w:r>
      <w:bookmarkEnd w:id="1818"/>
      <w:bookmarkEnd w:id="1819"/>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20" w:name="_Toc6178"/>
      <w:bookmarkStart w:id="1821" w:name="_Toc32617"/>
      <w:r>
        <w:rPr>
          <w:rFonts w:hint="eastAsia" w:ascii="方正仿宋_GB2312" w:hAnsi="方正仿宋_GB2312" w:eastAsia="方正仿宋_GB2312" w:cs="方正仿宋_GB2312"/>
          <w:b w:val="0"/>
          <w:bCs w:val="0"/>
          <w:kern w:val="2"/>
          <w:sz w:val="32"/>
          <w:szCs w:val="32"/>
          <w:lang w:val="en-US" w:eastAsia="zh-CN" w:bidi="ar-SA"/>
        </w:rPr>
        <w:t>（一）投标函</w:t>
      </w:r>
      <w:bookmarkEnd w:id="1820"/>
      <w:bookmarkEnd w:id="1821"/>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22" w:name="_Toc24567"/>
      <w:bookmarkStart w:id="1823" w:name="_Toc30254"/>
      <w:r>
        <w:rPr>
          <w:rFonts w:hint="eastAsia" w:ascii="方正仿宋_GB2312" w:hAnsi="方正仿宋_GB2312" w:eastAsia="方正仿宋_GB2312" w:cs="方正仿宋_GB2312"/>
          <w:b w:val="0"/>
          <w:bCs w:val="0"/>
          <w:kern w:val="2"/>
          <w:sz w:val="32"/>
          <w:szCs w:val="32"/>
          <w:lang w:val="en-US" w:eastAsia="zh-CN" w:bidi="ar-SA"/>
        </w:rPr>
        <w:t>（二）投标报价表</w:t>
      </w:r>
      <w:bookmarkEnd w:id="1822"/>
      <w:bookmarkEnd w:id="1823"/>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24" w:name="_Toc8622"/>
      <w:bookmarkStart w:id="1825" w:name="_Toc22606"/>
      <w:r>
        <w:rPr>
          <w:rFonts w:hint="eastAsia" w:ascii="方正仿宋_GB2312" w:hAnsi="方正仿宋_GB2312" w:eastAsia="方正仿宋_GB2312" w:cs="方正仿宋_GB2312"/>
          <w:b w:val="0"/>
          <w:bCs w:val="0"/>
          <w:kern w:val="2"/>
          <w:sz w:val="32"/>
          <w:szCs w:val="32"/>
          <w:lang w:val="en-US" w:eastAsia="zh-CN" w:bidi="ar-SA"/>
        </w:rPr>
        <w:t>（三）投标函附录（附：价格指数权重表）</w:t>
      </w:r>
      <w:bookmarkEnd w:id="1824"/>
      <w:bookmarkEnd w:id="1825"/>
      <w:r>
        <w:rPr>
          <w:rFonts w:hint="eastAsia" w:ascii="方正仿宋_GB2312" w:hAnsi="方正仿宋_GB2312" w:eastAsia="方正仿宋_GB2312" w:cs="方正仿宋_GB2312"/>
          <w:b w:val="0"/>
          <w:bCs w:val="0"/>
          <w:kern w:val="2"/>
          <w:sz w:val="32"/>
          <w:szCs w:val="32"/>
          <w:lang w:val="en-US" w:eastAsia="zh-CN" w:bidi="ar-SA"/>
        </w:rPr>
        <w:t xml:space="preserve"> </w:t>
      </w:r>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26" w:name="_Toc2327"/>
      <w:bookmarkStart w:id="1827" w:name="_Toc10260"/>
      <w:r>
        <w:rPr>
          <w:rFonts w:hint="eastAsia" w:ascii="方正仿宋_GB2312" w:hAnsi="方正仿宋_GB2312" w:eastAsia="方正仿宋_GB2312" w:cs="方正仿宋_GB2312"/>
          <w:b w:val="0"/>
          <w:bCs w:val="0"/>
          <w:kern w:val="2"/>
          <w:sz w:val="32"/>
          <w:szCs w:val="32"/>
          <w:lang w:val="en-US" w:eastAsia="zh-CN" w:bidi="ar-SA"/>
        </w:rPr>
        <w:t>2、法定代表人身份证明或附有法定代表人身份证明的授权委托书；</w:t>
      </w:r>
      <w:bookmarkEnd w:id="1826"/>
      <w:bookmarkEnd w:id="1827"/>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28" w:name="_Toc4401"/>
      <w:bookmarkStart w:id="1829" w:name="_Toc19825"/>
      <w:r>
        <w:rPr>
          <w:rFonts w:hint="eastAsia" w:ascii="方正仿宋_GB2312" w:hAnsi="方正仿宋_GB2312" w:eastAsia="方正仿宋_GB2312" w:cs="方正仿宋_GB2312"/>
          <w:b w:val="0"/>
          <w:bCs w:val="0"/>
          <w:kern w:val="2"/>
          <w:sz w:val="32"/>
          <w:szCs w:val="32"/>
          <w:lang w:val="en-US" w:eastAsia="zh-CN" w:bidi="ar-SA"/>
        </w:rPr>
        <w:t>3、联合体协议书（若有时填报）；</w:t>
      </w:r>
      <w:bookmarkEnd w:id="1828"/>
      <w:bookmarkEnd w:id="1829"/>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30" w:name="_Toc1052"/>
      <w:bookmarkStart w:id="1831" w:name="_Toc10165"/>
      <w:r>
        <w:rPr>
          <w:rFonts w:hint="eastAsia" w:ascii="方正仿宋_GB2312" w:hAnsi="方正仿宋_GB2312" w:eastAsia="方正仿宋_GB2312" w:cs="方正仿宋_GB2312"/>
          <w:b w:val="0"/>
          <w:bCs w:val="0"/>
          <w:kern w:val="2"/>
          <w:sz w:val="32"/>
          <w:szCs w:val="32"/>
          <w:lang w:val="en-US" w:eastAsia="zh-CN" w:bidi="ar-SA"/>
        </w:rPr>
        <w:t>4、投标保证金（附收据复印件）；</w:t>
      </w:r>
      <w:bookmarkEnd w:id="1830"/>
      <w:bookmarkEnd w:id="1831"/>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32" w:name="_Toc30469"/>
      <w:bookmarkStart w:id="1833" w:name="_Toc24734"/>
      <w:r>
        <w:rPr>
          <w:rFonts w:hint="eastAsia" w:ascii="方正仿宋_GB2312" w:hAnsi="方正仿宋_GB2312" w:eastAsia="方正仿宋_GB2312" w:cs="方正仿宋_GB2312"/>
          <w:b w:val="0"/>
          <w:bCs w:val="0"/>
          <w:kern w:val="2"/>
          <w:sz w:val="32"/>
          <w:szCs w:val="32"/>
          <w:lang w:val="en-US" w:eastAsia="zh-CN" w:bidi="ar-SA"/>
        </w:rPr>
        <w:t>5、项目管理机构（现场技术力量配备）；</w:t>
      </w:r>
      <w:bookmarkEnd w:id="1832"/>
      <w:bookmarkEnd w:id="1833"/>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34" w:name="_Toc30723"/>
      <w:bookmarkStart w:id="1835" w:name="_Toc26037"/>
      <w:r>
        <w:rPr>
          <w:rFonts w:hint="eastAsia" w:ascii="方正仿宋_GB2312" w:hAnsi="方正仿宋_GB2312" w:eastAsia="方正仿宋_GB2312" w:cs="方正仿宋_GB2312"/>
          <w:b w:val="0"/>
          <w:bCs w:val="0"/>
          <w:kern w:val="2"/>
          <w:sz w:val="32"/>
          <w:szCs w:val="32"/>
          <w:lang w:val="en-US" w:eastAsia="zh-CN" w:bidi="ar-SA"/>
        </w:rPr>
        <w:t>5.1项目管理机构组成表</w:t>
      </w:r>
      <w:bookmarkEnd w:id="1834"/>
      <w:bookmarkEnd w:id="1835"/>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36" w:name="_Toc29132"/>
      <w:bookmarkStart w:id="1837" w:name="_Toc29229"/>
      <w:r>
        <w:rPr>
          <w:rFonts w:hint="eastAsia" w:ascii="方正仿宋_GB2312" w:hAnsi="方正仿宋_GB2312" w:eastAsia="方正仿宋_GB2312" w:cs="方正仿宋_GB2312"/>
          <w:b w:val="0"/>
          <w:bCs w:val="0"/>
          <w:kern w:val="2"/>
          <w:sz w:val="32"/>
          <w:szCs w:val="32"/>
          <w:lang w:val="en-US" w:eastAsia="zh-CN" w:bidi="ar-SA"/>
        </w:rPr>
        <w:t>5.2主要人员简历表</w:t>
      </w:r>
      <w:bookmarkEnd w:id="1836"/>
      <w:bookmarkEnd w:id="1837"/>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38" w:name="_Toc14333"/>
      <w:bookmarkStart w:id="1839" w:name="_Toc12376"/>
      <w:r>
        <w:rPr>
          <w:rFonts w:hint="eastAsia" w:ascii="方正仿宋_GB2312" w:hAnsi="方正仿宋_GB2312" w:eastAsia="方正仿宋_GB2312" w:cs="方正仿宋_GB2312"/>
          <w:b w:val="0"/>
          <w:bCs w:val="0"/>
          <w:kern w:val="2"/>
          <w:sz w:val="32"/>
          <w:szCs w:val="32"/>
          <w:lang w:val="en-US" w:eastAsia="zh-CN" w:bidi="ar-SA"/>
        </w:rPr>
        <w:t>5.2.1项目负责人简历表</w:t>
      </w:r>
      <w:bookmarkEnd w:id="1838"/>
      <w:bookmarkEnd w:id="1839"/>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40" w:name="_Toc28882"/>
      <w:bookmarkStart w:id="1841" w:name="_Toc19053"/>
      <w:r>
        <w:rPr>
          <w:rFonts w:hint="eastAsia" w:ascii="方正仿宋_GB2312" w:hAnsi="方正仿宋_GB2312" w:eastAsia="方正仿宋_GB2312" w:cs="方正仿宋_GB2312"/>
          <w:b w:val="0"/>
          <w:bCs w:val="0"/>
          <w:kern w:val="2"/>
          <w:sz w:val="32"/>
          <w:szCs w:val="32"/>
          <w:lang w:val="en-US" w:eastAsia="zh-CN" w:bidi="ar-SA"/>
        </w:rPr>
        <w:t>5.2.2主要项目管理人员简历表</w:t>
      </w:r>
      <w:bookmarkEnd w:id="1840"/>
      <w:bookmarkEnd w:id="1841"/>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42" w:name="_Toc11953"/>
      <w:bookmarkStart w:id="1843" w:name="_Toc19044"/>
      <w:r>
        <w:rPr>
          <w:rFonts w:hint="eastAsia" w:ascii="方正仿宋_GB2312" w:hAnsi="方正仿宋_GB2312" w:eastAsia="方正仿宋_GB2312" w:cs="方正仿宋_GB2312"/>
          <w:b w:val="0"/>
          <w:bCs w:val="0"/>
          <w:kern w:val="2"/>
          <w:sz w:val="32"/>
          <w:szCs w:val="32"/>
          <w:lang w:val="en-US" w:eastAsia="zh-CN" w:bidi="ar-SA"/>
        </w:rPr>
        <w:t>6、近年完成的类似工程业绩表；</w:t>
      </w:r>
      <w:bookmarkEnd w:id="1842"/>
      <w:bookmarkEnd w:id="1843"/>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44" w:name="_Toc3912"/>
      <w:bookmarkStart w:id="1845" w:name="_Toc24731"/>
      <w:r>
        <w:rPr>
          <w:rFonts w:hint="eastAsia" w:ascii="方正仿宋_GB2312" w:hAnsi="方正仿宋_GB2312" w:eastAsia="方正仿宋_GB2312" w:cs="方正仿宋_GB2312"/>
          <w:b w:val="0"/>
          <w:bCs w:val="0"/>
          <w:kern w:val="2"/>
          <w:sz w:val="32"/>
          <w:szCs w:val="32"/>
          <w:lang w:val="en-US" w:eastAsia="zh-CN" w:bidi="ar-SA"/>
        </w:rPr>
        <w:t>7、拟分包项目情况表；</w:t>
      </w:r>
      <w:bookmarkEnd w:id="1844"/>
      <w:bookmarkEnd w:id="1845"/>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46" w:name="_Toc539"/>
      <w:bookmarkStart w:id="1847" w:name="_Toc5773"/>
      <w:r>
        <w:rPr>
          <w:rFonts w:hint="eastAsia" w:ascii="方正仿宋_GB2312" w:hAnsi="方正仿宋_GB2312" w:eastAsia="方正仿宋_GB2312" w:cs="方正仿宋_GB2312"/>
          <w:b w:val="0"/>
          <w:bCs w:val="0"/>
          <w:kern w:val="2"/>
          <w:sz w:val="32"/>
          <w:szCs w:val="32"/>
          <w:lang w:val="en-US" w:eastAsia="zh-CN" w:bidi="ar-SA"/>
        </w:rPr>
        <w:t>8、不良行为记录；</w:t>
      </w:r>
      <w:bookmarkEnd w:id="1846"/>
      <w:bookmarkEnd w:id="1847"/>
    </w:p>
    <w:p>
      <w:pPr>
        <w:pStyle w:val="150"/>
        <w:keepNext/>
        <w:keepLines/>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bookmarkStart w:id="1848" w:name="_Toc21013"/>
      <w:bookmarkStart w:id="1849" w:name="_Toc19037"/>
      <w:r>
        <w:rPr>
          <w:rFonts w:hint="eastAsia" w:ascii="方正仿宋_GB2312" w:hAnsi="方正仿宋_GB2312" w:eastAsia="方正仿宋_GB2312" w:cs="方正仿宋_GB2312"/>
          <w:b w:val="0"/>
          <w:bCs w:val="0"/>
          <w:kern w:val="2"/>
          <w:sz w:val="32"/>
          <w:szCs w:val="32"/>
          <w:lang w:val="en-US" w:eastAsia="zh-CN" w:bidi="ar-SA"/>
        </w:rPr>
        <w:t>9、其他投标资料。</w:t>
      </w:r>
      <w:bookmarkEnd w:id="1848"/>
      <w:bookmarkEnd w:id="1849"/>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150"/>
        <w:keepNext/>
        <w:keepLines/>
        <w:pageBreakBefore w:val="0"/>
        <w:widowControl w:val="0"/>
        <w:kinsoku/>
        <w:wordWrap/>
        <w:overflowPunct/>
        <w:topLinePunct w:val="0"/>
        <w:autoSpaceDE/>
        <w:autoSpaceDN/>
        <w:bidi w:val="0"/>
        <w:adjustRightInd/>
        <w:snapToGrid/>
        <w:spacing w:line="440" w:lineRule="exact"/>
        <w:ind w:firstLine="0" w:firstLineChars="0"/>
        <w:textAlignment w:val="auto"/>
        <w:outlineLvl w:val="9"/>
        <w:rPr>
          <w:rFonts w:hint="eastAsia" w:ascii="方正仿宋_GB2312" w:hAnsi="方正仿宋_GB2312" w:eastAsia="方正仿宋_GB2312" w:cs="方正仿宋_GB2312"/>
          <w:b/>
          <w:bCs w:val="0"/>
          <w:sz w:val="32"/>
          <w:szCs w:val="32"/>
        </w:rPr>
      </w:pPr>
      <w:bookmarkStart w:id="1850" w:name="_Toc1574"/>
      <w:bookmarkStart w:id="1851" w:name="_Toc8129"/>
      <w:r>
        <w:rPr>
          <w:rFonts w:hint="eastAsia" w:ascii="方正仿宋_GB2312" w:hAnsi="方正仿宋_GB2312" w:eastAsia="方正仿宋_GB2312" w:cs="方正仿宋_GB2312"/>
          <w:b/>
          <w:bCs w:val="0"/>
          <w:sz w:val="32"/>
          <w:szCs w:val="32"/>
        </w:rPr>
        <w:t>适用于资格后审</w:t>
      </w:r>
      <w:bookmarkEnd w:id="1850"/>
      <w:bookmarkEnd w:id="1851"/>
      <w:r>
        <w:rPr>
          <w:rFonts w:hint="eastAsia" w:ascii="方正仿宋_GB2312" w:hAnsi="方正仿宋_GB2312" w:eastAsia="方正仿宋_GB2312" w:cs="方正仿宋_GB2312"/>
          <w:b/>
          <w:bCs w:val="0"/>
          <w:sz w:val="32"/>
          <w:szCs w:val="32"/>
        </w:rPr>
        <w:t xml:space="preserve"> </w:t>
      </w:r>
    </w:p>
    <w:p>
      <w:pPr>
        <w:pStyle w:val="150"/>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p>
    <w:p>
      <w:pPr>
        <w:pStyle w:val="150"/>
        <w:pageBreakBefore w:val="0"/>
        <w:kinsoku/>
        <w:bidi w:val="0"/>
        <w:spacing w:line="440" w:lineRule="exact"/>
        <w:ind w:firstLine="0" w:firstLineChars="0"/>
        <w:jc w:val="center"/>
        <w:outlineLvl w:val="9"/>
        <w:rPr>
          <w:rFonts w:hint="eastAsia" w:ascii="方正仿宋_GB2312" w:hAnsi="方正仿宋_GB2312" w:eastAsia="方正仿宋_GB2312" w:cs="方正仿宋_GB2312"/>
          <w:sz w:val="32"/>
          <w:szCs w:val="32"/>
        </w:rPr>
      </w:pPr>
      <w:bookmarkStart w:id="1852" w:name="_Toc14283"/>
      <w:bookmarkStart w:id="1853" w:name="_Toc26082"/>
      <w:r>
        <w:rPr>
          <w:rFonts w:hint="eastAsia" w:ascii="方正仿宋_GB2312" w:hAnsi="方正仿宋_GB2312" w:eastAsia="方正仿宋_GB2312" w:cs="方正仿宋_GB2312"/>
          <w:sz w:val="32"/>
          <w:szCs w:val="32"/>
        </w:rPr>
        <w:t>目    录</w:t>
      </w:r>
      <w:bookmarkEnd w:id="1852"/>
      <w:bookmarkEnd w:id="1853"/>
    </w:p>
    <w:p>
      <w:pPr>
        <w:pageBreakBefore w:val="0"/>
        <w:kinsoku/>
        <w:bidi w:val="0"/>
        <w:spacing w:line="440" w:lineRule="exact"/>
        <w:ind w:firstLine="0" w:firstLineChars="0"/>
        <w:outlineLvl w:val="9"/>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1、投标函及投标报价表；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（一）投标函</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（二）投标报价表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 xml:space="preserve">（三）投标函附录（附：价格指数权重表）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2、法定代表人身份证明或附有法定代表人身份证明的授权委托书；</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3、联合体协议书（若有时）；</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4、投标保证金（附收据复印件）；</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5、项目管理机构（现场技术力量配备）；</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5.1项目管理机构组成表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5.2主要人员简历表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5.2.1项目负责人简历表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5.2.2主要项目管理人员简历表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6、拟分包项目情况表；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7、资格审查资料</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7.1投标人基本情况表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7.2近年财务状况表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7.3近年完成的类似项目情况表</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7.4近年发生的诉讼和仲裁情况</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7.5企业其他信誉情况</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jc w:val="left"/>
        <w:textAlignment w:val="auto"/>
        <w:outlineLvl w:val="9"/>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8、其他投标资料。</w:t>
      </w:r>
    </w:p>
    <w:p>
      <w:pPr>
        <w:rPr>
          <w:rFonts w:hint="eastAsia" w:ascii="方正仿宋_GB2312" w:hAnsi="方正仿宋_GB2312" w:eastAsia="方正仿宋_GB2312" w:cs="方正仿宋_GB2312"/>
          <w:b/>
          <w:bCs/>
          <w:kern w:val="2"/>
          <w:sz w:val="32"/>
          <w:szCs w:val="32"/>
          <w:lang w:val="en-US" w:eastAsia="zh-CN" w:bidi="ar-SA"/>
        </w:rPr>
      </w:pPr>
      <w:bookmarkStart w:id="1854" w:name="_Toc32509"/>
      <w:r>
        <w:rPr>
          <w:rFonts w:hint="eastAsia" w:ascii="方正仿宋_GB2312" w:hAnsi="方正仿宋_GB2312" w:eastAsia="方正仿宋_GB2312" w:cs="方正仿宋_GB2312"/>
          <w:b/>
          <w:bCs/>
          <w:kern w:val="2"/>
          <w:sz w:val="32"/>
          <w:szCs w:val="32"/>
          <w:lang w:val="en-US" w:eastAsia="zh-CN" w:bidi="ar-SA"/>
        </w:rPr>
        <w:br w:type="page"/>
      </w:r>
    </w:p>
    <w:p>
      <w:pPr>
        <w:pStyle w:val="4"/>
        <w:pageBreakBefore w:val="0"/>
        <w:kinsoku/>
        <w:bidi w:val="0"/>
        <w:spacing w:line="440" w:lineRule="exact"/>
        <w:ind w:firstLine="0" w:firstLineChars="0"/>
        <w:jc w:val="center"/>
        <w:outlineLvl w:val="2"/>
        <w:rPr>
          <w:rFonts w:hint="eastAsia" w:ascii="方正仿宋_GB2312" w:hAnsi="方正仿宋_GB2312" w:eastAsia="方正仿宋_GB2312" w:cs="方正仿宋_GB2312"/>
          <w:b/>
          <w:bCs/>
          <w:color w:val="000000" w:themeColor="text1"/>
          <w:sz w:val="32"/>
          <w:szCs w:val="32"/>
          <w14:textFill>
            <w14:solidFill>
              <w14:schemeClr w14:val="tx1"/>
            </w14:solidFill>
          </w14:textFill>
        </w:rPr>
      </w:pPr>
      <w:bookmarkStart w:id="1855" w:name="_Toc13832"/>
      <w:bookmarkStart w:id="1856" w:name="_Toc787"/>
      <w:r>
        <w:rPr>
          <w:rFonts w:hint="eastAsia" w:ascii="方正仿宋_GB2312" w:hAnsi="方正仿宋_GB2312" w:eastAsia="方正仿宋_GB2312" w:cs="方正仿宋_GB2312"/>
          <w:b/>
          <w:bCs/>
          <w:kern w:val="2"/>
          <w:sz w:val="32"/>
          <w:szCs w:val="32"/>
          <w:lang w:val="en-US" w:eastAsia="zh-CN" w:bidi="ar-SA"/>
        </w:rPr>
        <w:t>1、投标函及投标报价表</w:t>
      </w:r>
      <w:bookmarkEnd w:id="1854"/>
      <w:bookmarkEnd w:id="1855"/>
      <w:bookmarkEnd w:id="1856"/>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val="0"/>
          <w:color w:val="000000" w:themeColor="text1"/>
          <w:sz w:val="32"/>
          <w:szCs w:val="32"/>
          <w:highlight w:val="none"/>
          <w14:textFill>
            <w14:solidFill>
              <w14:schemeClr w14:val="tx1"/>
            </w14:solidFill>
          </w14:textFill>
        </w:rPr>
      </w:pPr>
      <w:bookmarkStart w:id="1857" w:name="_Toc9666"/>
      <w:bookmarkStart w:id="1858" w:name="_Toc13222"/>
      <w:r>
        <w:rPr>
          <w:rFonts w:hint="eastAsia" w:ascii="方正仿宋_GB2312" w:hAnsi="方正仿宋_GB2312" w:eastAsia="方正仿宋_GB2312" w:cs="方正仿宋_GB2312"/>
          <w:bCs w:val="0"/>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bCs w:val="0"/>
          <w:color w:val="000000" w:themeColor="text1"/>
          <w:sz w:val="32"/>
          <w:szCs w:val="32"/>
          <w:highlight w:val="none"/>
          <w:lang w:val="en-US" w:eastAsia="zh-CN"/>
          <w14:textFill>
            <w14:solidFill>
              <w14:schemeClr w14:val="tx1"/>
            </w14:solidFill>
          </w14:textFill>
        </w:rPr>
        <w:t>一</w:t>
      </w:r>
      <w:r>
        <w:rPr>
          <w:rFonts w:hint="eastAsia" w:ascii="方正仿宋_GB2312" w:hAnsi="方正仿宋_GB2312" w:eastAsia="方正仿宋_GB2312" w:cs="方正仿宋_GB2312"/>
          <w:bCs w:val="0"/>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bCs w:val="0"/>
          <w:color w:val="000000" w:themeColor="text1"/>
          <w:sz w:val="32"/>
          <w:szCs w:val="32"/>
          <w:highlight w:val="none"/>
          <w14:textFill>
            <w14:solidFill>
              <w14:schemeClr w14:val="tx1"/>
            </w14:solidFill>
          </w14:textFill>
        </w:rPr>
        <w:t>投标函</w:t>
      </w:r>
      <w:bookmarkEnd w:id="1811"/>
      <w:bookmarkEnd w:id="1812"/>
      <w:bookmarkEnd w:id="1813"/>
      <w:bookmarkEnd w:id="1857"/>
      <w:bookmarkEnd w:id="1858"/>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（招标人名称）</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1</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我方已仔细研究了</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（项目名称）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施工招标文件的全部内容，愿意以人民币（大写）</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元（¥</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）的投标总报价，工期</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日历天，按合同约定实施和完成承包工程，修补工程中的任何缺陷，工程质量达到</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2</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我方承诺在投标有效期内不修改、撤销投标文件。</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随同本投标函提交投标保证金</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投标保函</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一份，金额为人民币（大写）</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元（¥</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4</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如我方中标：</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（1）我方承诺在收到中标通知书后，在中标通知书规定的期限内与你方签订合同。</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（2）随同本投标函递交的投标函附录属于合同文件的组成部分。</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（3）我方承诺按照招标文件规定向你方递交履约担保。</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（4）我方承诺在合同约定的期限内完成并移交全部合同工程。</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5</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我方在此声明，所递交的投标文件及有关资料内容完整、真实和准确，且不存在第二章“投标人须知”第1.4.3项规定的任何一种情形。</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6.我方承诺在本次投标过程中无弄虚作假和围标、串通投标等违法违规行为，并愿意承担因弄虚作假和围标、串通投标所引起的一切法律责任</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我方知晓，委托他人代为编制投标文件、使用虚拟网卡或外置网卡、使用虚拟操作系统或虚拟电脑、使用公用网络或动态IP下载上传制作招投标文件，出现本标段或跨标段下载招标文件、上传投标文件的IP地址、Mac 地址、文件制作机器码（Mac 地址</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硬盘唯一标识</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CUP</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序列号</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主板号）、预算编制软件密码锁号雷同将会被系统记录。在数据筛查时发现</w:t>
      </w:r>
      <w:r>
        <w:rPr>
          <w:rFonts w:hint="eastAsia" w:ascii="方正仿宋_GB2312" w:hAnsi="方正仿宋_GB2312" w:eastAsia="方正仿宋_GB2312" w:cs="方正仿宋_GB2312"/>
          <w:color w:val="000000" w:themeColor="text1"/>
          <w:sz w:val="32"/>
          <w:szCs w:val="32"/>
          <w:highlight w:val="none"/>
          <w:lang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有可能会被记录不良行为以及受到行政处罚，影响公司信誉和后续投标。我方承诺独立投标，不与他人协商、不委托他人（不接受他人委托）代为编制投标文件和报价文件；在公司所在地使用专用网络、专用电脑、正版软件下载、制作、上传招投标文件。</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7.</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我方保证代理人及投标承诺的项目</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管理机构</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人员均为本单位的正式职工，如违反上述承诺，可视为我方存在弄虚作假行为，我方自愿放弃中标资格，并接受你方及行业主管部门的相关处罚。</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8.我方承诺中标后在项目竣工之前，不随意变更项目管理机构人员，并在投标文件中如实说明项目负责人在投此项目之前是否在其他在建项目中发生变更撤换。</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如</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未履行以上承诺</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，可视为我方存在弄虚作假行为，我方自愿放弃中标资格，并接受你方及行业主管部门的相关处罚。</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9.</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我</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方</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承诺严格遵守国家法律法规及规范性文件的规定，不捏造事实恶意投诉（异议），不借投诉（异议）之名进行敲诈勒索，不以非法手段获取相关证据材料。如有投诉（异议），投诉书形式要件合法、有效，内容符合有关规定。不一诉多投、不越级投诉。</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10.</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我</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方</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如有恶意投诉（异议）的、利用保密信息投诉的及投诉（异议）不实的投诉行为的，</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自愿</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接受</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行业主管</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部门</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的处理</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11.</w:t>
      </w: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在签署协议书之前，你方的中标通知书连同本投标函，包括投标函附录，对双方具有约束力。</w:t>
      </w: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投标人：</w:t>
      </w:r>
      <w:r>
        <w:rPr>
          <w:rFonts w:hint="eastAsia" w:ascii="方正仿宋_GB2312" w:hAnsi="方正仿宋_GB2312" w:eastAsia="方正仿宋_GB2312" w:cs="方正仿宋_GB2312"/>
          <w:color w:val="000000" w:themeColor="text1"/>
          <w:sz w:val="32"/>
          <w:szCs w:val="32"/>
          <w:highlight w:val="none"/>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none"/>
          <w14:textFill>
            <w14:solidFill>
              <w14:schemeClr w14:val="tx1"/>
            </w14:solidFill>
          </w14:textFill>
        </w:rPr>
        <w:t>（盖章）</w:t>
      </w:r>
      <w:r>
        <w:rPr>
          <w:rFonts w:hint="eastAsia" w:ascii="方正仿宋_GB2312" w:hAnsi="方正仿宋_GB2312" w:eastAsia="方正仿宋_GB2312" w:cs="方正仿宋_GB2312"/>
          <w:color w:val="000000" w:themeColor="text1"/>
          <w:sz w:val="32"/>
          <w:szCs w:val="32"/>
          <w:highlight w:val="none"/>
          <w:lang w:val="en-US" w:eastAsia="zh-CN"/>
          <w14:textFill>
            <w14:solidFill>
              <w14:schemeClr w14:val="tx1"/>
            </w14:solidFill>
          </w14:textFill>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highlight w:val="none"/>
          <w:u w:val="none"/>
          <w14:textFill>
            <w14:solidFill>
              <w14:schemeClr w14:val="tx1"/>
            </w14:solidFill>
          </w14:textFill>
        </w:rPr>
      </w:pPr>
      <w:r>
        <w:rPr>
          <w:rFonts w:hint="eastAsia" w:ascii="方正仿宋_GB2312" w:hAnsi="方正仿宋_GB2312" w:eastAsia="方正仿宋_GB2312" w:cs="方正仿宋_GB2312"/>
          <w:color w:val="000000" w:themeColor="text1"/>
          <w:sz w:val="32"/>
          <w:szCs w:val="32"/>
          <w:highlight w:val="none"/>
          <w14:textFill>
            <w14:solidFill>
              <w14:schemeClr w14:val="tx1"/>
            </w14:solidFill>
          </w14:textFill>
        </w:rPr>
        <w:t>法定代表人：</w:t>
      </w:r>
      <w:r>
        <w:rPr>
          <w:rFonts w:hint="eastAsia" w:ascii="方正仿宋_GB2312" w:hAnsi="方正仿宋_GB2312" w:eastAsia="方正仿宋_GB2312" w:cs="方正仿宋_GB2312"/>
          <w:color w:val="000000" w:themeColor="text1"/>
          <w:sz w:val="32"/>
          <w:szCs w:val="32"/>
          <w:highlight w:val="none"/>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highlight w:val="none"/>
          <w:u w:val="none"/>
          <w:lang w:val="en-US" w:eastAsia="zh-CN"/>
          <w14:textFill>
            <w14:solidFill>
              <w14:schemeClr w14:val="tx1"/>
            </w14:solidFill>
          </w14:textFill>
        </w:rPr>
        <w:t>（</w:t>
      </w:r>
      <w:r>
        <w:rPr>
          <w:rFonts w:hint="eastAsia" w:ascii="方正仿宋_GB2312" w:hAnsi="方正仿宋_GB2312" w:eastAsia="方正仿宋_GB2312" w:cs="方正仿宋_GB2312"/>
          <w:color w:val="000000" w:themeColor="text1"/>
          <w:sz w:val="32"/>
          <w:szCs w:val="32"/>
          <w:highlight w:val="none"/>
          <w:u w:val="none"/>
          <w14:textFill>
            <w14:solidFill>
              <w14:schemeClr w14:val="tx1"/>
            </w14:solidFill>
          </w14:textFill>
        </w:rPr>
        <w:t>签字或盖章）</w:t>
      </w: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日期：</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pStyle w:val="4"/>
        <w:pageBreakBefore w:val="0"/>
        <w:kinsoku/>
        <w:bidi w:val="0"/>
        <w:spacing w:line="440" w:lineRule="exact"/>
        <w:ind w:firstLine="0" w:firstLineChars="0"/>
        <w:jc w:val="center"/>
        <w:outlineLvl w:val="9"/>
        <w:rPr>
          <w:rFonts w:hint="eastAsia" w:ascii="方正仿宋_GB2312" w:hAnsi="方正仿宋_GB2312" w:eastAsia="方正仿宋_GB2312" w:cs="方正仿宋_GB2312"/>
          <w:bCs w:val="0"/>
          <w:color w:val="000000" w:themeColor="text1"/>
          <w:sz w:val="32"/>
          <w:szCs w:val="32"/>
          <w:lang w:eastAsia="zh-CN"/>
          <w14:textFill>
            <w14:solidFill>
              <w14:schemeClr w14:val="tx1"/>
            </w14:solidFill>
          </w14:textFill>
        </w:rPr>
      </w:pPr>
    </w:p>
    <w:p>
      <w:pPr>
        <w:pStyle w:val="4"/>
        <w:pageBreakBefore w:val="0"/>
        <w:kinsoku/>
        <w:bidi w:val="0"/>
        <w:spacing w:line="440" w:lineRule="exact"/>
        <w:ind w:firstLine="0" w:firstLineChars="0"/>
        <w:jc w:val="center"/>
        <w:outlineLvl w:val="9"/>
        <w:rPr>
          <w:rFonts w:hint="eastAsia" w:ascii="方正仿宋_GB2312" w:hAnsi="方正仿宋_GB2312" w:eastAsia="方正仿宋_GB2312" w:cs="方正仿宋_GB2312"/>
          <w:bCs w:val="0"/>
          <w:color w:val="000000" w:themeColor="text1"/>
          <w:sz w:val="32"/>
          <w:szCs w:val="32"/>
          <w:lang w:eastAsia="zh-CN"/>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eastAsia="zh-CN"/>
        </w:rPr>
      </w:pP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kern w:val="2"/>
          <w:sz w:val="32"/>
          <w:szCs w:val="32"/>
          <w:lang w:val="en-US" w:eastAsia="zh-CN" w:bidi="ar-SA"/>
        </w:rPr>
      </w:pPr>
      <w:bookmarkStart w:id="1859" w:name="_Toc162"/>
      <w:r>
        <w:rPr>
          <w:rFonts w:hint="eastAsia" w:ascii="方正仿宋_GB2312" w:hAnsi="方正仿宋_GB2312" w:eastAsia="方正仿宋_GB2312" w:cs="方正仿宋_GB2312"/>
          <w:b/>
          <w:bCs/>
          <w:kern w:val="2"/>
          <w:sz w:val="32"/>
          <w:szCs w:val="32"/>
          <w:lang w:val="en-US" w:eastAsia="zh-CN" w:bidi="ar-SA"/>
        </w:rPr>
        <w:t>（二）投标报价表</w:t>
      </w:r>
      <w:bookmarkEnd w:id="1859"/>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kern w:val="2"/>
          <w:sz w:val="32"/>
          <w:szCs w:val="32"/>
          <w:lang w:val="en-US" w:eastAsia="zh-CN" w:bidi="ar-SA"/>
        </w:rPr>
      </w:pPr>
    </w:p>
    <w:tbl>
      <w:tblPr>
        <w:tblStyle w:val="43"/>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534"/>
        <w:gridCol w:w="1565"/>
        <w:gridCol w:w="1681"/>
        <w:gridCol w:w="840"/>
        <w:gridCol w:w="840"/>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743"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序号</w:t>
            </w:r>
          </w:p>
        </w:tc>
        <w:tc>
          <w:tcPr>
            <w:tcW w:w="2534"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项目名称</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建筑面积（㎡）</w:t>
            </w:r>
          </w:p>
        </w:tc>
        <w:tc>
          <w:tcPr>
            <w:tcW w:w="1681"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投标总价（元）</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工程质量</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开工日期</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竣工</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3"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2534"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565"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68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restart"/>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restart"/>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28" w:type="dxa"/>
            <w:vMerge w:val="restart"/>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3"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p>
        </w:tc>
        <w:tc>
          <w:tcPr>
            <w:tcW w:w="2534"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565"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68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28"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3"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p>
        </w:tc>
        <w:tc>
          <w:tcPr>
            <w:tcW w:w="2534"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565"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68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28"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3"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p>
        </w:tc>
        <w:tc>
          <w:tcPr>
            <w:tcW w:w="2534"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565"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68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28"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277" w:type="dxa"/>
            <w:gridSpan w:val="2"/>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合计</w:t>
            </w:r>
          </w:p>
        </w:tc>
        <w:tc>
          <w:tcPr>
            <w:tcW w:w="1565"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681" w:type="dxa"/>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840"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28" w:type="dxa"/>
            <w:vMerge w:val="continue"/>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131" w:type="dxa"/>
            <w:gridSpan w:val="7"/>
            <w:noWrap w:val="0"/>
            <w:vAlign w:val="top"/>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投标总价大写（人民币）：</w:t>
            </w:r>
          </w:p>
        </w:tc>
      </w:tr>
    </w:tbl>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注：投标总价应与已标价工程清单中“投标总报价”的金额一致。</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 标 人：</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（盖单位章）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签字或</w:t>
      </w:r>
      <w:r>
        <w:rPr>
          <w:rFonts w:hint="eastAsia" w:ascii="方正仿宋_GB2312" w:hAnsi="方正仿宋_GB2312" w:eastAsia="方正仿宋_GB2312" w:cs="方正仿宋_GB2312"/>
          <w:sz w:val="32"/>
          <w:szCs w:val="32"/>
        </w:rPr>
        <w:t>盖章）</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w:t>
      </w: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bookmarkStart w:id="1860" w:name="_Toc7658"/>
      <w:bookmarkStart w:id="1861" w:name="_Toc17717"/>
      <w:bookmarkStart w:id="1862" w:name="_Toc20515"/>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val="0"/>
          <w:color w:val="000000" w:themeColor="text1"/>
          <w:kern w:val="2"/>
          <w:sz w:val="32"/>
          <w:szCs w:val="32"/>
          <w:lang w:val="en-US" w:eastAsia="zh-CN" w:bidi="ar-SA"/>
          <w14:textFill>
            <w14:solidFill>
              <w14:schemeClr w14:val="tx1"/>
            </w14:solidFill>
          </w14:textFill>
        </w:rPr>
      </w:pPr>
      <w:bookmarkStart w:id="1863" w:name="_Toc30287"/>
      <w:r>
        <w:rPr>
          <w:rFonts w:hint="eastAsia" w:ascii="方正仿宋_GB2312" w:hAnsi="方正仿宋_GB2312" w:eastAsia="方正仿宋_GB2312" w:cs="方正仿宋_GB2312"/>
          <w:b/>
          <w:bCs/>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b/>
          <w:bCs/>
          <w:color w:val="000000" w:themeColor="text1"/>
          <w:sz w:val="32"/>
          <w:szCs w:val="32"/>
          <w:lang w:val="en-US" w:eastAsia="zh-CN"/>
          <w14:textFill>
            <w14:solidFill>
              <w14:schemeClr w14:val="tx1"/>
            </w14:solidFill>
          </w14:textFill>
        </w:rPr>
        <w:t>三</w:t>
      </w:r>
      <w:r>
        <w:rPr>
          <w:rFonts w:hint="eastAsia" w:ascii="方正仿宋_GB2312" w:hAnsi="方正仿宋_GB2312" w:eastAsia="方正仿宋_GB2312" w:cs="方正仿宋_GB2312"/>
          <w:b/>
          <w:bCs/>
          <w:color w:val="000000" w:themeColor="text1"/>
          <w:sz w:val="32"/>
          <w:szCs w:val="32"/>
          <w:lang w:eastAsia="zh-CN"/>
          <w14:textFill>
            <w14:solidFill>
              <w14:schemeClr w14:val="tx1"/>
            </w14:solidFill>
          </w14:textFill>
        </w:rPr>
        <w:t>）</w:t>
      </w:r>
      <w:r>
        <w:rPr>
          <w:rFonts w:hint="eastAsia" w:ascii="方正仿宋_GB2312" w:hAnsi="方正仿宋_GB2312" w:eastAsia="方正仿宋_GB2312" w:cs="方正仿宋_GB2312"/>
          <w:b/>
          <w:bCs/>
          <w:color w:val="000000" w:themeColor="text1"/>
          <w:kern w:val="2"/>
          <w:sz w:val="32"/>
          <w:szCs w:val="32"/>
          <w:lang w:val="en-US" w:eastAsia="zh-CN" w:bidi="ar-SA"/>
          <w14:textFill>
            <w14:solidFill>
              <w14:schemeClr w14:val="tx1"/>
            </w14:solidFill>
          </w14:textFill>
        </w:rPr>
        <w:t>投标函附录</w:t>
      </w:r>
      <w:bookmarkEnd w:id="1860"/>
      <w:bookmarkEnd w:id="1861"/>
      <w:bookmarkEnd w:id="1862"/>
      <w:bookmarkEnd w:id="1863"/>
    </w:p>
    <w:tbl>
      <w:tblPr>
        <w:tblStyle w:val="43"/>
        <w:tblpPr w:leftFromText="180" w:rightFromText="180" w:vertAnchor="text" w:horzAnchor="margin" w:tblpXSpec="center" w:tblpY="98"/>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633"/>
        <w:gridCol w:w="2214"/>
        <w:gridCol w:w="2423"/>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iCs/>
                <w:sz w:val="32"/>
                <w:szCs w:val="32"/>
              </w:rPr>
            </w:pPr>
            <w:r>
              <w:rPr>
                <w:rFonts w:hint="eastAsia" w:ascii="方正仿宋_GB2312" w:hAnsi="方正仿宋_GB2312" w:eastAsia="方正仿宋_GB2312" w:cs="方正仿宋_GB2312"/>
                <w:b/>
                <w:iCs/>
                <w:sz w:val="32"/>
                <w:szCs w:val="32"/>
              </w:rPr>
              <w:t>序号</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iCs/>
                <w:sz w:val="32"/>
                <w:szCs w:val="32"/>
              </w:rPr>
            </w:pPr>
            <w:r>
              <w:rPr>
                <w:rFonts w:hint="eastAsia" w:ascii="方正仿宋_GB2312" w:hAnsi="方正仿宋_GB2312" w:eastAsia="方正仿宋_GB2312" w:cs="方正仿宋_GB2312"/>
                <w:b/>
                <w:iCs/>
                <w:sz w:val="32"/>
                <w:szCs w:val="32"/>
              </w:rPr>
              <w:t>条款内容</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iCs/>
                <w:sz w:val="32"/>
                <w:szCs w:val="32"/>
              </w:rPr>
            </w:pPr>
            <w:r>
              <w:rPr>
                <w:rFonts w:hint="eastAsia" w:ascii="方正仿宋_GB2312" w:hAnsi="方正仿宋_GB2312" w:eastAsia="方正仿宋_GB2312" w:cs="方正仿宋_GB2312"/>
                <w:b/>
                <w:iCs/>
                <w:sz w:val="32"/>
                <w:szCs w:val="32"/>
              </w:rPr>
              <w:t>招标人要求</w:t>
            </w:r>
          </w:p>
        </w:tc>
        <w:tc>
          <w:tcPr>
            <w:tcW w:w="24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iCs/>
                <w:sz w:val="32"/>
                <w:szCs w:val="32"/>
              </w:rPr>
            </w:pPr>
            <w:r>
              <w:rPr>
                <w:rFonts w:hint="eastAsia" w:ascii="方正仿宋_GB2312" w:hAnsi="方正仿宋_GB2312" w:eastAsia="方正仿宋_GB2312" w:cs="方正仿宋_GB2312"/>
                <w:b/>
                <w:iCs/>
                <w:sz w:val="32"/>
                <w:szCs w:val="32"/>
              </w:rPr>
              <w:t xml:space="preserve">投标人承诺 </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iCs/>
                <w:sz w:val="32"/>
                <w:szCs w:val="32"/>
              </w:rPr>
            </w:pPr>
            <w:r>
              <w:rPr>
                <w:rFonts w:hint="eastAsia" w:ascii="方正仿宋_GB2312" w:hAnsi="方正仿宋_GB2312" w:eastAsia="方正仿宋_GB2312" w:cs="方正仿宋_GB2312"/>
                <w:b/>
                <w:iCs/>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1</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项目负责人</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sz w:val="32"/>
                <w:szCs w:val="32"/>
              </w:rPr>
              <w:t>投标人须知1.4.1</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u w:val="single"/>
              </w:rPr>
            </w:pPr>
            <w:r>
              <w:rPr>
                <w:rFonts w:hint="eastAsia" w:ascii="方正仿宋_GB2312" w:hAnsi="方正仿宋_GB2312" w:eastAsia="方正仿宋_GB2312" w:cs="方正仿宋_GB2312"/>
                <w:iCs/>
                <w:sz w:val="32"/>
                <w:szCs w:val="32"/>
              </w:rPr>
              <w:t>姓名：</w:t>
            </w:r>
            <w:r>
              <w:rPr>
                <w:rFonts w:hint="eastAsia" w:ascii="方正仿宋_GB2312" w:hAnsi="方正仿宋_GB2312" w:eastAsia="方正仿宋_GB2312" w:cs="方正仿宋_GB2312"/>
                <w:iCs/>
                <w:sz w:val="32"/>
                <w:szCs w:val="32"/>
                <w:u w:val="single"/>
              </w:rPr>
              <w:t xml:space="preserve">           </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2</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工期</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sz w:val="32"/>
                <w:szCs w:val="32"/>
              </w:rPr>
              <w:t>投标人须知1.3.2</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u w:val="single"/>
              </w:rPr>
            </w:pPr>
            <w:r>
              <w:rPr>
                <w:rFonts w:hint="eastAsia" w:ascii="方正仿宋_GB2312" w:hAnsi="方正仿宋_GB2312" w:eastAsia="方正仿宋_GB2312" w:cs="方正仿宋_GB2312"/>
                <w:iCs/>
                <w:sz w:val="32"/>
                <w:szCs w:val="32"/>
              </w:rPr>
              <w:t>天数：</w:t>
            </w:r>
            <w:r>
              <w:rPr>
                <w:rFonts w:hint="eastAsia" w:ascii="方正仿宋_GB2312" w:hAnsi="方正仿宋_GB2312" w:eastAsia="方正仿宋_GB2312" w:cs="方正仿宋_GB2312"/>
                <w:iCs/>
                <w:sz w:val="32"/>
                <w:szCs w:val="32"/>
                <w:u w:val="single"/>
              </w:rPr>
              <w:t xml:space="preserve"> </w:t>
            </w:r>
            <w:r>
              <w:rPr>
                <w:rFonts w:hint="eastAsia" w:ascii="方正仿宋_GB2312" w:hAnsi="方正仿宋_GB2312" w:eastAsia="方正仿宋_GB2312" w:cs="方正仿宋_GB2312"/>
                <w:iCs/>
                <w:sz w:val="32"/>
                <w:szCs w:val="32"/>
                <w:u w:val="single"/>
                <w:lang w:val="en-US" w:eastAsia="zh-CN"/>
              </w:rPr>
              <w:t xml:space="preserve"> </w:t>
            </w:r>
            <w:r>
              <w:rPr>
                <w:rFonts w:hint="eastAsia" w:ascii="方正仿宋_GB2312" w:hAnsi="方正仿宋_GB2312" w:eastAsia="方正仿宋_GB2312" w:cs="方正仿宋_GB2312"/>
                <w:iCs/>
                <w:sz w:val="32"/>
                <w:szCs w:val="32"/>
              </w:rPr>
              <w:t>日历天</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3</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承包人履约担保金额</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专用合同</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u w:val="single"/>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4</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分包</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sz w:val="32"/>
                <w:szCs w:val="32"/>
              </w:rPr>
              <w:t>投标人须知1.11</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5</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逾期竣工违约金</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专用合同</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u w:val="single"/>
              </w:rPr>
              <w:t xml:space="preserve">     </w:t>
            </w:r>
            <w:r>
              <w:rPr>
                <w:rFonts w:hint="eastAsia" w:ascii="方正仿宋_GB2312" w:hAnsi="方正仿宋_GB2312" w:eastAsia="方正仿宋_GB2312" w:cs="方正仿宋_GB2312"/>
                <w:iCs/>
                <w:sz w:val="32"/>
                <w:szCs w:val="32"/>
              </w:rPr>
              <w:t>元/天</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6</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逾期竣工违约金</w:t>
            </w:r>
          </w:p>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最高限额</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专用合同</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u w:val="single"/>
              </w:rPr>
            </w:pPr>
            <w:r>
              <w:rPr>
                <w:rFonts w:hint="eastAsia" w:ascii="方正仿宋_GB2312" w:hAnsi="方正仿宋_GB2312" w:eastAsia="方正仿宋_GB2312" w:cs="方正仿宋_GB2312"/>
                <w:iCs/>
                <w:sz w:val="32"/>
                <w:szCs w:val="32"/>
                <w:u w:val="single"/>
              </w:rPr>
              <w:t xml:space="preserve">            </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7</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质量标准</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sz w:val="32"/>
                <w:szCs w:val="32"/>
              </w:rPr>
              <w:t>投标人须知1.3.3</w:t>
            </w:r>
          </w:p>
        </w:tc>
        <w:tc>
          <w:tcPr>
            <w:tcW w:w="24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8</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价格调整的差额计算</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专用合同</w:t>
            </w:r>
          </w:p>
        </w:tc>
        <w:tc>
          <w:tcPr>
            <w:tcW w:w="24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见价格指数权重表</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9</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预付款额度</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专用合同</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10</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预付款保函金额</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专用合同</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11</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质量保证金扣留百分比</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专用合同</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12</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质量保证金额度</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专用合同</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工程质量保修期限</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13.1</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地基基础工程和主体结构工程</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为设计文件规定的该工程合理使用年限；</w:t>
            </w:r>
          </w:p>
        </w:tc>
        <w:tc>
          <w:tcPr>
            <w:tcW w:w="2423"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13.2</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保温工程、屋面防水工程、有防水要求的卫生间、房间和外墙面的防渗漏</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保修期 5 年</w:t>
            </w:r>
          </w:p>
        </w:tc>
        <w:tc>
          <w:tcPr>
            <w:tcW w:w="24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保修期</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13.3</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电气管线、给排水管道、设备安装工程</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保修期 2 年</w:t>
            </w:r>
          </w:p>
        </w:tc>
        <w:tc>
          <w:tcPr>
            <w:tcW w:w="24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保修期</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13.4</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供热与供冷系统工程</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保修期 2 个采暖与供冷期</w:t>
            </w:r>
          </w:p>
        </w:tc>
        <w:tc>
          <w:tcPr>
            <w:tcW w:w="24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保修</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个采暖供</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冷期</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13.5</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主体、室外等其他工程</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保修期 2 年</w:t>
            </w:r>
          </w:p>
        </w:tc>
        <w:tc>
          <w:tcPr>
            <w:tcW w:w="24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保修期</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2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w:t>
            </w:r>
          </w:p>
        </w:tc>
        <w:tc>
          <w:tcPr>
            <w:tcW w:w="22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i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9614" w:type="dxa"/>
            <w:gridSpan w:val="5"/>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iCs/>
                <w:sz w:val="32"/>
                <w:szCs w:val="32"/>
              </w:rPr>
            </w:pPr>
            <w:r>
              <w:rPr>
                <w:rFonts w:hint="eastAsia" w:ascii="方正仿宋_GB2312" w:hAnsi="方正仿宋_GB2312" w:eastAsia="方正仿宋_GB2312" w:cs="方正仿宋_GB2312"/>
                <w:iCs/>
                <w:sz w:val="32"/>
                <w:szCs w:val="32"/>
              </w:rPr>
              <w:t>备注：投标人在响应招标文件中规定的实质性要求和条件的基础上，可做出其他有利于招标人的承诺。此类承诺可在本表中予以补充填写。</w:t>
            </w: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　　　 　　　</w:t>
      </w:r>
      <w:r>
        <w:rPr>
          <w:rFonts w:hint="eastAsia" w:ascii="方正仿宋_GB2312" w:hAnsi="方正仿宋_GB2312" w:eastAsia="方正仿宋_GB2312" w:cs="方正仿宋_GB2312"/>
          <w:sz w:val="32"/>
          <w:szCs w:val="32"/>
          <w:lang w:val="en-US" w:eastAsia="zh-CN"/>
        </w:rPr>
        <w:t xml:space="preserve"> </w:t>
      </w:r>
    </w:p>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 标 人：</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（盖单位章）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签字或</w:t>
      </w:r>
      <w:r>
        <w:rPr>
          <w:rFonts w:hint="eastAsia" w:ascii="方正仿宋_GB2312" w:hAnsi="方正仿宋_GB2312" w:eastAsia="方正仿宋_GB2312" w:cs="方正仿宋_GB2312"/>
          <w:sz w:val="32"/>
          <w:szCs w:val="32"/>
        </w:rPr>
        <w:t>盖章）</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bookmarkStart w:id="1864" w:name="_Toc24266"/>
      <w:bookmarkStart w:id="1865" w:name="_Toc1213"/>
      <w:bookmarkStart w:id="1866" w:name="_Toc11876"/>
      <w:r>
        <w:rPr>
          <w:rFonts w:hint="eastAsia" w:ascii="方正仿宋_GB2312" w:hAnsi="方正仿宋_GB2312" w:eastAsia="方正仿宋_GB2312" w:cs="方正仿宋_GB2312"/>
          <w:b w:val="0"/>
          <w:bCs w:val="0"/>
          <w:sz w:val="32"/>
          <w:szCs w:val="32"/>
        </w:rPr>
        <w:t>附件</w:t>
      </w:r>
    </w:p>
    <w:p>
      <w:pPr>
        <w:pageBreakBefore w:val="0"/>
        <w:kinsoku/>
        <w:bidi w:val="0"/>
        <w:spacing w:line="440" w:lineRule="exact"/>
        <w:ind w:firstLine="0" w:firstLineChars="0"/>
        <w:jc w:val="center"/>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价格指数权重表</w:t>
      </w:r>
    </w:p>
    <w:p>
      <w:pPr>
        <w:pageBreakBefore w:val="0"/>
        <w:kinsoku/>
        <w:bidi w:val="0"/>
        <w:spacing w:line="440" w:lineRule="exact"/>
        <w:ind w:firstLine="0" w:firstLineChars="0"/>
        <w:jc w:val="center"/>
        <w:rPr>
          <w:rFonts w:hint="eastAsia" w:ascii="方正仿宋_GB2312" w:hAnsi="方正仿宋_GB2312" w:eastAsia="方正仿宋_GB2312" w:cs="方正仿宋_GB2312"/>
          <w:b/>
          <w:sz w:val="32"/>
          <w:szCs w:val="32"/>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170"/>
        <w:gridCol w:w="907"/>
        <w:gridCol w:w="1140"/>
        <w:gridCol w:w="754"/>
        <w:gridCol w:w="1200"/>
        <w:gridCol w:w="1801"/>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21" w:type="dxa"/>
            <w:gridSpan w:val="2"/>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名 称</w:t>
            </w:r>
          </w:p>
        </w:tc>
        <w:tc>
          <w:tcPr>
            <w:tcW w:w="2047"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基本价格指数</w:t>
            </w:r>
          </w:p>
        </w:tc>
        <w:tc>
          <w:tcPr>
            <w:tcW w:w="3755" w:type="dxa"/>
            <w:gridSpan w:val="3"/>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权          重</w:t>
            </w:r>
          </w:p>
        </w:tc>
        <w:tc>
          <w:tcPr>
            <w:tcW w:w="1607" w:type="dxa"/>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价格指数来源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721" w:type="dxa"/>
            <w:gridSpan w:val="2"/>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代号</w:t>
            </w: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指数值</w:t>
            </w: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代号</w:t>
            </w: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允许范围</w:t>
            </w: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投标人建议值</w:t>
            </w:r>
          </w:p>
        </w:tc>
        <w:tc>
          <w:tcPr>
            <w:tcW w:w="1607"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721"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定值部分</w:t>
            </w: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A</w:t>
            </w: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551" w:type="dxa"/>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变值部分</w:t>
            </w:r>
          </w:p>
        </w:tc>
        <w:tc>
          <w:tcPr>
            <w:tcW w:w="117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人工费</w:t>
            </w: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F01</w:t>
            </w: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B1</w:t>
            </w: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至</w:t>
            </w: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51"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7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钢材</w:t>
            </w: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F02</w:t>
            </w: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B2</w:t>
            </w: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至</w:t>
            </w: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51"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7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水泥</w:t>
            </w: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F03</w:t>
            </w: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B3</w:t>
            </w: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至</w:t>
            </w: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51"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7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商品砼</w:t>
            </w: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F04</w:t>
            </w: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B4</w:t>
            </w: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至</w:t>
            </w: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51"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7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砌块</w:t>
            </w: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F05</w:t>
            </w: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B5</w:t>
            </w: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至</w:t>
            </w: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51"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7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5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7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合计</w:t>
            </w:r>
          </w:p>
        </w:tc>
        <w:tc>
          <w:tcPr>
            <w:tcW w:w="9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4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1.00</w:t>
            </w:r>
          </w:p>
        </w:tc>
        <w:tc>
          <w:tcPr>
            <w:tcW w:w="75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0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0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07"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sz w:val="32"/>
          <w:szCs w:val="32"/>
        </w:rPr>
        <w:t>备注：</w:t>
      </w:r>
      <w:r>
        <w:rPr>
          <w:rFonts w:hint="eastAsia" w:ascii="方正仿宋_GB2312" w:hAnsi="方正仿宋_GB2312" w:eastAsia="方正仿宋_GB2312" w:cs="方正仿宋_GB2312"/>
          <w:sz w:val="32"/>
          <w:szCs w:val="32"/>
        </w:rPr>
        <w:t>在专用合同条款</w:t>
      </w:r>
      <w:r>
        <w:rPr>
          <w:rFonts w:hint="eastAsia" w:ascii="方正仿宋_GB2312" w:hAnsi="方正仿宋_GB2312" w:eastAsia="方正仿宋_GB2312" w:cs="方正仿宋_GB2312"/>
          <w:b w:val="0"/>
          <w:bCs/>
          <w:sz w:val="32"/>
          <w:szCs w:val="32"/>
        </w:rPr>
        <w:t>11.1</w:t>
      </w:r>
      <w:r>
        <w:rPr>
          <w:rFonts w:hint="eastAsia" w:ascii="方正仿宋_GB2312" w:hAnsi="方正仿宋_GB2312" w:eastAsia="方正仿宋_GB2312" w:cs="方正仿宋_GB2312"/>
          <w:sz w:val="32"/>
          <w:szCs w:val="32"/>
        </w:rPr>
        <w:t>款约定采用价格指数法进行价格调整时适用本表。表中除“投标人建议值”由投标人结合其投标报价情况选择填写外，其余均由招标人在招标文件发出前填写。</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bidi w:val="0"/>
        <w:spacing w:line="440" w:lineRule="exact"/>
        <w:ind w:firstLine="0" w:firstLineChars="0"/>
        <w:jc w:val="center"/>
        <w:outlineLvl w:val="2"/>
        <w:rPr>
          <w:rFonts w:hint="eastAsia" w:ascii="方正仿宋_GB2312" w:hAnsi="方正仿宋_GB2312" w:eastAsia="方正仿宋_GB2312" w:cs="方正仿宋_GB2312"/>
          <w:b/>
          <w:bCs/>
          <w:sz w:val="32"/>
          <w:szCs w:val="32"/>
        </w:rPr>
      </w:pPr>
      <w:bookmarkStart w:id="1867" w:name="_Toc16916"/>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法定代表人身份证明</w:t>
      </w:r>
      <w:bookmarkEnd w:id="1864"/>
      <w:bookmarkEnd w:id="1865"/>
      <w:bookmarkEnd w:id="1866"/>
      <w:bookmarkEnd w:id="1867"/>
    </w:p>
    <w:p>
      <w:pPr>
        <w:pageBreakBefore w:val="0"/>
        <w:kinsoku/>
        <w:bidi w:val="0"/>
        <w:spacing w:line="440" w:lineRule="exact"/>
        <w:ind w:right="1260"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right="1260"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单位性质：</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地址：</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成立时间：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经营期限：</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姓名：</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性别：</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年龄：</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职务：</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系</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（投标人名称）的法定代表人。</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特此证明。</w:t>
      </w:r>
    </w:p>
    <w:p>
      <w:pPr>
        <w:pStyle w:val="42"/>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后附：法定代表人身份证扫描件（正反面）</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wordWrap/>
        <w:bidi w:val="0"/>
        <w:spacing w:before="120" w:beforeLines="50" w:after="240" w:afterLines="100" w:line="440" w:lineRule="exact"/>
        <w:ind w:firstLine="0" w:firstLineChars="0"/>
        <w:jc w:val="left"/>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none"/>
          <w14:textFill>
            <w14:solidFill>
              <w14:schemeClr w14:val="tx1"/>
            </w14:solidFill>
          </w14:textFill>
        </w:rPr>
        <w:t>（盖章）</w:t>
      </w:r>
    </w:p>
    <w:p>
      <w:pPr>
        <w:pageBreakBefore w:val="0"/>
        <w:kinsoku/>
        <w:wordWrap w:val="0"/>
        <w:bidi w:val="0"/>
        <w:spacing w:before="120" w:beforeLines="50" w:after="240" w:afterLines="100" w:line="440" w:lineRule="exact"/>
        <w:ind w:firstLine="0" w:firstLineChars="0"/>
        <w:jc w:val="left"/>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b/>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color w:val="000000" w:themeColor="text1"/>
          <w:sz w:val="32"/>
          <w:szCs w:val="32"/>
          <w14:textFill>
            <w14:solidFill>
              <w14:schemeClr w14:val="tx1"/>
            </w14:solidFill>
          </w14:textFill>
        </w:rPr>
        <w:br w:type="page"/>
      </w:r>
    </w:p>
    <w:p>
      <w:pPr>
        <w:pageBreakBefore w:val="0"/>
        <w:kinsoku/>
        <w:bidi w:val="0"/>
        <w:spacing w:line="440" w:lineRule="exact"/>
        <w:ind w:right="1260"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Style w:val="4"/>
        <w:pageBreakBefore w:val="0"/>
        <w:kinsoku/>
        <w:bidi w:val="0"/>
        <w:spacing w:line="440" w:lineRule="exact"/>
        <w:ind w:firstLine="0" w:firstLineChars="0"/>
        <w:jc w:val="center"/>
        <w:outlineLvl w:val="2"/>
        <w:rPr>
          <w:rFonts w:hint="eastAsia" w:ascii="方正仿宋_GB2312" w:hAnsi="方正仿宋_GB2312" w:eastAsia="方正仿宋_GB2312" w:cs="方正仿宋_GB2312"/>
          <w:bCs w:val="0"/>
          <w:color w:val="000000" w:themeColor="text1"/>
          <w:sz w:val="32"/>
          <w:szCs w:val="32"/>
          <w14:textFill>
            <w14:solidFill>
              <w14:schemeClr w14:val="tx1"/>
            </w14:solidFill>
          </w14:textFill>
        </w:rPr>
      </w:pPr>
      <w:bookmarkStart w:id="1868" w:name="_Toc3677"/>
      <w:bookmarkStart w:id="1869" w:name="_Toc19954"/>
      <w:bookmarkStart w:id="1870" w:name="_Toc28371"/>
      <w:bookmarkStart w:id="1871" w:name="_Toc21837"/>
      <w:bookmarkStart w:id="1872" w:name="_Toc24812"/>
      <w:bookmarkStart w:id="1873" w:name="_Toc29116"/>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法定代表人</w:t>
      </w:r>
      <w:r>
        <w:rPr>
          <w:rFonts w:hint="eastAsia" w:ascii="方正仿宋_GB2312" w:hAnsi="方正仿宋_GB2312" w:eastAsia="方正仿宋_GB2312" w:cs="方正仿宋_GB2312"/>
          <w:b/>
          <w:bCs/>
          <w:sz w:val="32"/>
          <w:szCs w:val="32"/>
          <w:lang w:val="en-US" w:eastAsia="zh-CN"/>
        </w:rPr>
        <w:t>的</w:t>
      </w:r>
      <w:r>
        <w:rPr>
          <w:rFonts w:hint="eastAsia" w:ascii="方正仿宋_GB2312" w:hAnsi="方正仿宋_GB2312" w:eastAsia="方正仿宋_GB2312" w:cs="方正仿宋_GB2312"/>
          <w:bCs w:val="0"/>
          <w:color w:val="000000" w:themeColor="text1"/>
          <w:sz w:val="32"/>
          <w:szCs w:val="32"/>
          <w14:textFill>
            <w14:solidFill>
              <w14:schemeClr w14:val="tx1"/>
            </w14:solidFill>
          </w14:textFill>
        </w:rPr>
        <w:t>授权委托书</w:t>
      </w:r>
      <w:bookmarkEnd w:id="1868"/>
      <w:bookmarkEnd w:id="1869"/>
      <w:bookmarkEnd w:id="1870"/>
      <w:bookmarkEnd w:id="1871"/>
      <w:bookmarkEnd w:id="1872"/>
      <w:bookmarkEnd w:id="1873"/>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本人</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姓名）</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系</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（投标人名称）</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的法定代表人，现委托</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姓名）</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为我方代理人。代理人根据授权，以我方名义签署、澄清、说明、补正、递交、撤回、修改</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（项目名称）</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施工</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投标文件、签订合同和处理有关事宜，其法律后果由我方承担。</w:t>
      </w:r>
    </w:p>
    <w:p>
      <w:pPr>
        <w:keepNext w:val="0"/>
        <w:keepLines w:val="0"/>
        <w:pageBreakBefore w:val="0"/>
        <w:widowControl w:val="0"/>
        <w:kinsoku/>
        <w:wordWrap/>
        <w:overflowPunct/>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lang w:val="en-US"/>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委托期限：</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none"/>
          <w:lang w:val="en-US" w:eastAsia="zh-CN"/>
          <w14:textFill>
            <w14:solidFill>
              <w14:schemeClr w14:val="tx1"/>
            </w14:solidFill>
          </w14:textFill>
        </w:rPr>
        <w:t>。</w:t>
      </w:r>
    </w:p>
    <w:p>
      <w:pPr>
        <w:keepNext w:val="0"/>
        <w:keepLines w:val="0"/>
        <w:pageBreakBefore w:val="0"/>
        <w:widowControl w:val="0"/>
        <w:kinsoku/>
        <w:wordWrap/>
        <w:overflowPunct/>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代理人无转委托权。</w:t>
      </w:r>
    </w:p>
    <w:p>
      <w:pPr>
        <w:keepNext w:val="0"/>
        <w:keepLines w:val="0"/>
        <w:pageBreakBefore w:val="0"/>
        <w:widowControl w:val="0"/>
        <w:kinsoku/>
        <w:wordWrap/>
        <w:overflowPunct/>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后附：</w:t>
      </w:r>
      <w:r>
        <w:rPr>
          <w:rFonts w:hint="eastAsia" w:ascii="方正仿宋_GB2312" w:hAnsi="方正仿宋_GB2312" w:eastAsia="方正仿宋_GB2312" w:cs="方正仿宋_GB2312"/>
          <w:color w:val="000000" w:themeColor="text1"/>
          <w:sz w:val="32"/>
          <w:szCs w:val="32"/>
          <w:lang w:val="en-US" w:eastAsia="zh-CN"/>
          <w14:textFill>
            <w14:solidFill>
              <w14:schemeClr w14:val="tx1"/>
            </w14:solidFill>
          </w14:textFill>
        </w:rPr>
        <w:t>法定代表人及</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委托代理人身份证扫描件（正反面）</w:t>
      </w:r>
    </w:p>
    <w:p>
      <w:pPr>
        <w:keepNext w:val="0"/>
        <w:keepLines w:val="0"/>
        <w:pageBreakBefore w:val="0"/>
        <w:widowControl w:val="0"/>
        <w:kinsoku/>
        <w:wordWrap/>
        <w:overflowPunct/>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both"/>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（盖章）</w:t>
      </w:r>
    </w:p>
    <w:p>
      <w:pPr>
        <w:pageBreakBefore w:val="0"/>
        <w:kinsoku/>
        <w:bidi w:val="0"/>
        <w:spacing w:line="440" w:lineRule="exact"/>
        <w:ind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法定代表人：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（签字或盖章）</w:t>
      </w:r>
    </w:p>
    <w:p>
      <w:pPr>
        <w:pageBreakBefore w:val="0"/>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委托代理人：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（签字或盖章）</w:t>
      </w:r>
    </w:p>
    <w:p>
      <w:pPr>
        <w:pageBreakBefore w:val="0"/>
        <w:kinsoku/>
        <w:wordWrap w:val="0"/>
        <w:bidi w:val="0"/>
        <w:spacing w:before="120" w:beforeLines="50" w:after="240" w:afterLines="100" w:line="440" w:lineRule="exact"/>
        <w:ind w:firstLine="0" w:firstLineChars="0"/>
        <w:jc w:val="both"/>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p>
    <w:p>
      <w:pPr>
        <w:pageBreakBefore w:val="0"/>
        <w:kinsoku/>
        <w:bidi w:val="0"/>
        <w:spacing w:before="312" w:beforeLines="100" w:after="156" w:afterLines="50" w:line="440" w:lineRule="exact"/>
        <w:ind w:firstLine="0" w:firstLineChars="0"/>
        <w:jc w:val="center"/>
        <w:outlineLvl w:val="2"/>
        <w:rPr>
          <w:rFonts w:hint="eastAsia" w:ascii="方正仿宋_GB2312" w:hAnsi="方正仿宋_GB2312" w:eastAsia="方正仿宋_GB2312" w:cs="方正仿宋_GB2312"/>
          <w:b/>
          <w:bCs/>
          <w:kern w:val="2"/>
          <w:sz w:val="32"/>
          <w:szCs w:val="32"/>
          <w:lang w:val="en-US" w:eastAsia="zh-CN" w:bidi="ar-SA"/>
        </w:rPr>
      </w:pPr>
      <w:bookmarkStart w:id="1874" w:name="_Toc20065"/>
      <w:r>
        <w:rPr>
          <w:rFonts w:hint="eastAsia" w:ascii="方正仿宋_GB2312" w:hAnsi="方正仿宋_GB2312" w:eastAsia="方正仿宋_GB2312" w:cs="方正仿宋_GB2312"/>
          <w:b/>
          <w:bCs/>
          <w:kern w:val="2"/>
          <w:sz w:val="32"/>
          <w:szCs w:val="32"/>
          <w:lang w:val="en-US" w:eastAsia="zh-CN" w:bidi="ar-SA"/>
        </w:rPr>
        <w:t>3、联合体协议书(若有时填报)</w:t>
      </w:r>
      <w:bookmarkEnd w:id="1874"/>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牵头人名称：</w:t>
      </w:r>
      <w:r>
        <w:rPr>
          <w:rFonts w:hint="eastAsia" w:ascii="方正仿宋_GB2312" w:hAnsi="方正仿宋_GB2312" w:eastAsia="方正仿宋_GB2312" w:cs="方正仿宋_GB2312"/>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w:t>
      </w:r>
      <w:r>
        <w:rPr>
          <w:rFonts w:hint="eastAsia" w:ascii="方正仿宋_GB2312" w:hAnsi="方正仿宋_GB2312" w:eastAsia="方正仿宋_GB2312" w:cs="方正仿宋_GB2312"/>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法定住所：</w:t>
      </w:r>
      <w:r>
        <w:rPr>
          <w:rFonts w:hint="eastAsia" w:ascii="方正仿宋_GB2312" w:hAnsi="方正仿宋_GB2312" w:eastAsia="方正仿宋_GB2312" w:cs="方正仿宋_GB2312"/>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成员二名称：</w:t>
      </w:r>
      <w:r>
        <w:rPr>
          <w:rFonts w:hint="eastAsia" w:ascii="方正仿宋_GB2312" w:hAnsi="方正仿宋_GB2312" w:eastAsia="方正仿宋_GB2312" w:cs="方正仿宋_GB2312"/>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w:t>
      </w:r>
      <w:r>
        <w:rPr>
          <w:rFonts w:hint="eastAsia" w:ascii="方正仿宋_GB2312" w:hAnsi="方正仿宋_GB2312" w:eastAsia="方正仿宋_GB2312" w:cs="方正仿宋_GB2312"/>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法定住所：</w:t>
      </w:r>
      <w:r>
        <w:rPr>
          <w:rFonts w:hint="eastAsia" w:ascii="方正仿宋_GB2312" w:hAnsi="方正仿宋_GB2312" w:eastAsia="方正仿宋_GB2312" w:cs="方正仿宋_GB2312"/>
          <w:sz w:val="32"/>
          <w:szCs w:val="32"/>
          <w:u w:val="single"/>
        </w:rPr>
        <w:t xml:space="preserve">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鉴于上述各成员单位经过友好协商，自愿组成联合体，共同参加</w:t>
      </w:r>
      <w:r>
        <w:rPr>
          <w:rFonts w:hint="eastAsia" w:ascii="方正仿宋_GB2312" w:hAnsi="方正仿宋_GB2312" w:eastAsia="方正仿宋_GB2312" w:cs="方正仿宋_GB2312"/>
          <w:sz w:val="32"/>
          <w:szCs w:val="32"/>
          <w:u w:val="single"/>
        </w:rPr>
        <w:t xml:space="preserve">  （招标人名称）（以下简称招标人）  （项目名称）（以下简称本工程）</w:t>
      </w:r>
      <w:r>
        <w:rPr>
          <w:rFonts w:hint="eastAsia" w:ascii="方正仿宋_GB2312" w:hAnsi="方正仿宋_GB2312" w:eastAsia="方正仿宋_GB2312" w:cs="方正仿宋_GB2312"/>
          <w:sz w:val="32"/>
          <w:szCs w:val="32"/>
        </w:rPr>
        <w:t>的施工投标并争取赢得本工程施工承包合同（以下简称合同）。现就联合体投标事宜订立如下协议：</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u w:val="single"/>
        </w:rPr>
        <w:t xml:space="preserve">        （某成员单位名称）</w:t>
      </w:r>
      <w:r>
        <w:rPr>
          <w:rFonts w:hint="eastAsia" w:ascii="方正仿宋_GB2312" w:hAnsi="方正仿宋_GB2312" w:eastAsia="方正仿宋_GB2312" w:cs="方正仿宋_GB2312"/>
          <w:sz w:val="32"/>
          <w:szCs w:val="32"/>
        </w:rPr>
        <w:t>为牵头人。</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rPr>
        <w:t>．联合体各成员单位内部的职责分工如下：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。按照本条上述分工，联合体成员单位各自所承担的合同工作量比例如下：</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5．投标工作和联合体在中标后工程实施过程中的有关费用按各自承担的工作量分摊。</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6．联合体中标后，本联合体协议是合同的附件，对联合体各成员单位有合同约束力。</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7．本协议书自签署之日起生效，联合体未中标或者中标时合同履行完毕后自动失效。</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8．本协议书一式</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份，联合体成员和招标人各执</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份。</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牵头人名称：</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rPr>
        <w:t>（盖单位章）</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法定代表人或其委托代理人：</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（签字</w:t>
      </w:r>
      <w:r>
        <w:rPr>
          <w:rFonts w:hint="eastAsia" w:ascii="方正仿宋_GB2312" w:hAnsi="方正仿宋_GB2312" w:eastAsia="方正仿宋_GB2312" w:cs="方正仿宋_GB2312"/>
          <w:sz w:val="32"/>
          <w:szCs w:val="32"/>
          <w:lang w:val="en-US" w:eastAsia="zh-CN"/>
        </w:rPr>
        <w:t>或盖章</w:t>
      </w:r>
      <w:r>
        <w:rPr>
          <w:rFonts w:hint="eastAsia" w:ascii="方正仿宋_GB2312" w:hAnsi="方正仿宋_GB2312" w:eastAsia="方正仿宋_GB2312" w:cs="方正仿宋_GB2312"/>
          <w:sz w:val="32"/>
          <w:szCs w:val="32"/>
        </w:rPr>
        <w:t>）</w:t>
      </w:r>
    </w:p>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成员二名称：</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（盖单位章）</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法定代表人或其委托代理人：</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（签字</w:t>
      </w:r>
      <w:r>
        <w:rPr>
          <w:rFonts w:hint="eastAsia" w:ascii="方正仿宋_GB2312" w:hAnsi="方正仿宋_GB2312" w:eastAsia="方正仿宋_GB2312" w:cs="方正仿宋_GB2312"/>
          <w:sz w:val="32"/>
          <w:szCs w:val="32"/>
          <w:lang w:val="en-US" w:eastAsia="zh-CN"/>
        </w:rPr>
        <w:t>或盖章</w:t>
      </w:r>
      <w:r>
        <w:rPr>
          <w:rFonts w:hint="eastAsia" w:ascii="方正仿宋_GB2312" w:hAnsi="方正仿宋_GB2312" w:eastAsia="方正仿宋_GB2312" w:cs="方正仿宋_GB2312"/>
          <w:sz w:val="32"/>
          <w:szCs w:val="32"/>
        </w:rPr>
        <w:t>）</w:t>
      </w:r>
    </w:p>
    <w:p>
      <w:pPr>
        <w:pageBreakBefore w:val="0"/>
        <w:kinsoku/>
        <w:wordWrap/>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w:t>
      </w:r>
    </w:p>
    <w:p>
      <w:pPr>
        <w:pageBreakBefore w:val="0"/>
        <w:kinsoku/>
        <w:wordWrap w:val="0"/>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日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备注：本协议书由委托代理人</w:t>
      </w:r>
      <w:r>
        <w:rPr>
          <w:rFonts w:hint="eastAsia" w:ascii="方正仿宋_GB2312" w:hAnsi="方正仿宋_GB2312" w:eastAsia="方正仿宋_GB2312" w:cs="方正仿宋_GB2312"/>
          <w:sz w:val="32"/>
          <w:szCs w:val="32"/>
          <w:lang w:val="en-US" w:eastAsia="zh-CN"/>
        </w:rPr>
        <w:t>签署</w:t>
      </w:r>
      <w:r>
        <w:rPr>
          <w:rFonts w:hint="eastAsia" w:ascii="方正仿宋_GB2312" w:hAnsi="方正仿宋_GB2312" w:eastAsia="方正仿宋_GB2312" w:cs="方正仿宋_GB2312"/>
          <w:sz w:val="32"/>
          <w:szCs w:val="32"/>
        </w:rPr>
        <w:t>的，应附法定代表人</w:t>
      </w:r>
      <w:r>
        <w:rPr>
          <w:rFonts w:hint="eastAsia" w:ascii="方正仿宋_GB2312" w:hAnsi="方正仿宋_GB2312" w:eastAsia="方正仿宋_GB2312" w:cs="方正仿宋_GB2312"/>
          <w:sz w:val="32"/>
          <w:szCs w:val="32"/>
          <w:lang w:val="en-US" w:eastAsia="zh-CN"/>
        </w:rPr>
        <w:t>签署</w:t>
      </w:r>
      <w:r>
        <w:rPr>
          <w:rFonts w:hint="eastAsia" w:ascii="方正仿宋_GB2312" w:hAnsi="方正仿宋_GB2312" w:eastAsia="方正仿宋_GB2312" w:cs="方正仿宋_GB2312"/>
          <w:sz w:val="32"/>
          <w:szCs w:val="32"/>
        </w:rPr>
        <w:t>的授权委托书。</w:t>
      </w:r>
    </w:p>
    <w:p>
      <w:pPr>
        <w:pStyle w:val="4"/>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sectPr>
          <w:headerReference r:id="rId8" w:type="default"/>
          <w:footerReference r:id="rId9" w:type="default"/>
          <w:pgSz w:w="11907" w:h="16840"/>
          <w:pgMar w:top="1440" w:right="1559" w:bottom="1440" w:left="156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br w:type="page"/>
      </w:r>
      <w:bookmarkStart w:id="1875" w:name="_Toc6004"/>
      <w:bookmarkStart w:id="1876" w:name="_Toc28837"/>
      <w:bookmarkStart w:id="1877" w:name="_Toc21592"/>
    </w:p>
    <w:p>
      <w:pPr>
        <w:pStyle w:val="4"/>
        <w:pageBreakBefore w:val="0"/>
        <w:numPr>
          <w:ilvl w:val="0"/>
          <w:numId w:val="0"/>
        </w:numPr>
        <w:kinsoku/>
        <w:bidi w:val="0"/>
        <w:spacing w:line="440" w:lineRule="exact"/>
        <w:ind w:leftChars="0" w:firstLine="0" w:firstLineChars="0"/>
        <w:jc w:val="center"/>
        <w:outlineLvl w:val="2"/>
        <w:rPr>
          <w:rFonts w:hint="eastAsia" w:ascii="方正仿宋_GB2312" w:hAnsi="方正仿宋_GB2312" w:eastAsia="方正仿宋_GB2312" w:cs="方正仿宋_GB2312"/>
          <w:b/>
          <w:bCs/>
          <w:kern w:val="2"/>
          <w:sz w:val="32"/>
          <w:szCs w:val="32"/>
          <w:lang w:val="en-US" w:eastAsia="zh-CN" w:bidi="ar-SA"/>
        </w:rPr>
      </w:pPr>
      <w:bookmarkStart w:id="1878" w:name="_Toc17460"/>
      <w:bookmarkStart w:id="1879" w:name="_Toc31880"/>
      <w:bookmarkStart w:id="1880" w:name="_Toc3537"/>
      <w:r>
        <w:rPr>
          <w:rFonts w:hint="eastAsia" w:ascii="方正仿宋_GB2312" w:hAnsi="方正仿宋_GB2312" w:eastAsia="方正仿宋_GB2312" w:cs="方正仿宋_GB2312"/>
          <w:b/>
          <w:bCs/>
          <w:kern w:val="2"/>
          <w:sz w:val="32"/>
          <w:szCs w:val="32"/>
          <w:lang w:val="en-US" w:eastAsia="zh-CN" w:bidi="ar-SA"/>
        </w:rPr>
        <w:t>4、投标保证金</w:t>
      </w:r>
      <w:bookmarkEnd w:id="1878"/>
      <w:bookmarkEnd w:id="1879"/>
      <w:bookmarkEnd w:id="1880"/>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采用现金的，请附投标人基本账户开户许可证扫描件（或基本帐户开户银行打印的账户信息，包含户名、账号、基本存款账户编号等信息）以及投标保证金银行进账单扫描件。</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采用保函的，附投标保函示范文本（格式附后）</w:t>
      </w: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p>
      <w:pP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br w:type="page"/>
      </w: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投标保函示范文本</w:t>
      </w:r>
    </w:p>
    <w:p>
      <w:pPr>
        <w:keepNext w:val="0"/>
        <w:keepLines w:val="0"/>
        <w:pageBreakBefore w:val="0"/>
        <w:widowControl w:val="0"/>
        <w:kinsoku/>
        <w:wordWrap w:val="0"/>
        <w:overflowPunct/>
        <w:topLinePunct w:val="0"/>
        <w:autoSpaceDE/>
        <w:autoSpaceDN/>
        <w:bidi w:val="0"/>
        <w:adjustRightInd/>
        <w:snapToGrid/>
        <w:spacing w:line="440" w:lineRule="exact"/>
        <w:ind w:firstLine="0" w:firstLineChars="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编号：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bookmarkStart w:id="1881" w:name="_Hlk40303117"/>
      <w:r>
        <w:rPr>
          <w:rFonts w:hint="eastAsia" w:ascii="方正仿宋_GB2312" w:hAnsi="方正仿宋_GB2312" w:eastAsia="方正仿宋_GB2312" w:cs="方正仿宋_GB2312"/>
          <w:sz w:val="32"/>
          <w:szCs w:val="32"/>
        </w:rPr>
        <w:t>申请人：</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地址：</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受益人：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地址：</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开立人：</w:t>
      </w:r>
    </w:p>
    <w:bookmarkEnd w:id="1881"/>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地址：</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致：（受益人名称）</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我方（即“开立人”）已获得通知，本保函申请人（即“投标人”）已响应贵方于</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日就</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（以下简称“本工程”）发出的招标文件，并已向招标人（即“受益人”）提交了投标文件（即“基础交易”）。</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我方理解根据招标条件，投标人必须提交一份投标保函（以下简称“本保函”），以担保投标人诚信履行其在上述基础交易中承担的投标人义务。鉴此，应申请人要求，我方在此同意向贵方出具此投标保函，本保函担保金额最高不超过人民币（大写）</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元（¥</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二、我方在投标人发生以下情形时承担保证担保责任： </w:t>
      </w:r>
    </w:p>
    <w:p>
      <w:pPr>
        <w:pStyle w:val="15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kern w:val="2"/>
          <w:sz w:val="32"/>
          <w:szCs w:val="32"/>
          <w:lang w:val="en-US" w:eastAsia="zh-CN" w:bidi="ar-SA"/>
        </w:rPr>
        <w:t>（1）投标</w:t>
      </w:r>
      <w:r>
        <w:rPr>
          <w:rFonts w:hint="eastAsia" w:ascii="方正仿宋_GB2312" w:hAnsi="方正仿宋_GB2312" w:eastAsia="方正仿宋_GB2312" w:cs="方正仿宋_GB2312"/>
          <w:sz w:val="32"/>
          <w:szCs w:val="32"/>
        </w:rPr>
        <w:t xml:space="preserve">人在开标后和投标有效期满之前撤销投标的； </w:t>
      </w:r>
    </w:p>
    <w:p>
      <w:pPr>
        <w:pStyle w:val="15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t xml:space="preserve">投标人在收到中标通知后，不能或拒绝在中标通知书规定的时间内与贵方签订合同； </w:t>
      </w:r>
    </w:p>
    <w:p>
      <w:pPr>
        <w:pStyle w:val="15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投标人在与贵方签订合同后，未在规定的时间内提交符合招标文件要求的履约担保；</w:t>
      </w:r>
    </w:p>
    <w:p>
      <w:pPr>
        <w:pStyle w:val="15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投标人违反招标文件规定的其他情形。</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三、本保函为不可撤销、不可转让的见索即付独立保函。本保函有效期自开立之日起至投标有效期届满之日后的</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日。投标有效期延长的，本保函有效期相应顺延</w:t>
      </w:r>
      <w:bookmarkStart w:id="1882" w:name="_Hlk58489417"/>
      <w:r>
        <w:rPr>
          <w:rFonts w:hint="eastAsia" w:ascii="方正仿宋_GB2312" w:hAnsi="方正仿宋_GB2312" w:eastAsia="方正仿宋_GB2312" w:cs="方正仿宋_GB2312"/>
          <w:sz w:val="32"/>
          <w:szCs w:val="32"/>
        </w:rPr>
        <w:t>，最迟不超过</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w:t>
      </w:r>
      <w:bookmarkEnd w:id="1882"/>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bookmarkStart w:id="1883" w:name="_Hlk40302764"/>
      <w:r>
        <w:rPr>
          <w:rFonts w:hint="eastAsia" w:ascii="方正仿宋_GB2312" w:hAnsi="方正仿宋_GB2312" w:eastAsia="方正仿宋_GB2312" w:cs="方正仿宋_GB2312"/>
          <w:sz w:val="32"/>
          <w:szCs w:val="32"/>
        </w:rPr>
        <w:t>四、我方承诺，在收到受益人发来的书面付款通知后的</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日内无条件支付，前述书面付款通知即为付款要求之单据，且应满足以下要求：</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（1）付款通知到达的日期在本保函的有效期内；</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（2）载明要求支付的金额；</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（3）</w:t>
      </w:r>
      <w:bookmarkStart w:id="1884" w:name="_Hlk40354215"/>
      <w:r>
        <w:rPr>
          <w:rFonts w:hint="eastAsia" w:ascii="方正仿宋_GB2312" w:hAnsi="方正仿宋_GB2312" w:eastAsia="方正仿宋_GB2312" w:cs="方正仿宋_GB2312"/>
          <w:sz w:val="32"/>
          <w:szCs w:val="32"/>
        </w:rPr>
        <w:t>载明申请人违反招投标文件规定的义务内容和具体条款；</w:t>
      </w:r>
      <w:bookmarkEnd w:id="1884"/>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（4）</w:t>
      </w:r>
      <w:bookmarkStart w:id="1885" w:name="_Hlk40354839"/>
      <w:r>
        <w:rPr>
          <w:rFonts w:hint="eastAsia" w:ascii="方正仿宋_GB2312" w:hAnsi="方正仿宋_GB2312" w:eastAsia="方正仿宋_GB2312" w:cs="方正仿宋_GB2312"/>
          <w:sz w:val="32"/>
          <w:szCs w:val="32"/>
        </w:rPr>
        <w:t>声明不存在招标文件规定或我国法律规定免除申请人或我方支付责任的情形；</w:t>
      </w:r>
      <w:bookmarkEnd w:id="1885"/>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（5）书面付款通知应在本保函有效期内到达的地址是：</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p>
    <w:bookmarkEnd w:id="1883"/>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w:t>
      </w:r>
      <w:bookmarkStart w:id="1886" w:name="_Hlk40303486"/>
      <w:r>
        <w:rPr>
          <w:rFonts w:hint="eastAsia" w:ascii="方正仿宋_GB2312" w:hAnsi="方正仿宋_GB2312" w:eastAsia="方正仿宋_GB2312" w:cs="方正仿宋_GB2312"/>
          <w:sz w:val="32"/>
          <w:szCs w:val="32"/>
        </w:rPr>
        <w:t>受益人发出的书面付款通知应由其为鉴明受益人法定代表人（负责人）或授权代理人签字并加盖公章。</w:t>
      </w:r>
      <w:bookmarkEnd w:id="1886"/>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五、本保函项下的权利不得转让，不得设定担保。</w:t>
      </w:r>
      <w:r>
        <w:rPr>
          <w:rFonts w:hint="eastAsia" w:ascii="方正仿宋_GB2312" w:hAnsi="方正仿宋_GB2312" w:eastAsia="方正仿宋_GB2312" w:cs="方正仿宋_GB2312"/>
          <w:sz w:val="32"/>
          <w:szCs w:val="32"/>
          <w:lang w:eastAsia="zh-CN"/>
        </w:rPr>
        <w:t>贵方</w:t>
      </w:r>
      <w:r>
        <w:rPr>
          <w:rFonts w:hint="eastAsia" w:ascii="方正仿宋_GB2312" w:hAnsi="方正仿宋_GB2312" w:eastAsia="方正仿宋_GB2312" w:cs="方正仿宋_GB2312"/>
          <w:sz w:val="32"/>
          <w:szCs w:val="32"/>
        </w:rPr>
        <w:t xml:space="preserve">未经我方书面同意转让本保函或其项下任何权利，对我方不发生法律效力。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六、本保函项下的基础交易不成立、不生效、无效、被撤销、被解除，不影响本保函的独立有效。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七、受益人应在本保函到期后的七日内将本保函正本退回我方注销，但是不论受益人是否按此要求将本保函正本退回我方，我方在本保函项下的义务和责任均在保函有效期到期后自动消灭。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bookmarkStart w:id="1887" w:name="_Hlk40303383"/>
      <w:bookmarkStart w:id="1888" w:name="_Hlk40354981"/>
      <w:r>
        <w:rPr>
          <w:rFonts w:hint="eastAsia" w:ascii="方正仿宋_GB2312" w:hAnsi="方正仿宋_GB2312" w:eastAsia="方正仿宋_GB2312" w:cs="方正仿宋_GB2312"/>
          <w:sz w:val="32"/>
          <w:szCs w:val="32"/>
        </w:rPr>
        <w:t>八、本保函适用的法律为中华人民共和国法律，争议裁判管辖地为中华人民共和国</w:t>
      </w:r>
      <w:bookmarkEnd w:id="1887"/>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xml:space="preserve">。 </w:t>
      </w:r>
    </w:p>
    <w:bookmarkEnd w:id="1888"/>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九、本保函自我方法定代表人或授权代表签字并加盖公章之日起生效。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开 立 人：                 </w:t>
      </w: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 xml:space="preserve">（公章）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法定代表人（或授权</w:t>
      </w:r>
      <w:r>
        <w:rPr>
          <w:rFonts w:hint="eastAsia" w:ascii="方正仿宋_GB2312" w:hAnsi="方正仿宋_GB2312" w:eastAsia="方正仿宋_GB2312" w:cs="方正仿宋_GB2312"/>
          <w:sz w:val="32"/>
          <w:szCs w:val="32"/>
          <w:lang w:eastAsia="zh-CN"/>
        </w:rPr>
        <w:t>代表</w:t>
      </w:r>
      <w:r>
        <w:rPr>
          <w:rFonts w:hint="eastAsia" w:ascii="方正仿宋_GB2312" w:hAnsi="方正仿宋_GB2312" w:eastAsia="方正仿宋_GB2312" w:cs="方正仿宋_GB2312"/>
          <w:sz w:val="32"/>
          <w:szCs w:val="32"/>
        </w:rPr>
        <w:t xml:space="preserve">） ：               （签字）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地    址：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邮政编码：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电    话：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传    真：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开立时间：      年      月   </w:t>
      </w:r>
      <w:r>
        <w:rPr>
          <w:rFonts w:hint="eastAsia" w:ascii="方正仿宋_GB2312" w:hAnsi="方正仿宋_GB2312" w:eastAsia="方正仿宋_GB2312" w:cs="方正仿宋_GB2312"/>
          <w:sz w:val="32"/>
          <w:szCs w:val="32"/>
          <w:lang w:eastAsia="zh-CN"/>
        </w:rPr>
        <w:t>日</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pageBreakBefore w:val="0"/>
        <w:widowControl w:val="0"/>
        <w:numPr>
          <w:ilvl w:val="0"/>
          <w:numId w:val="0"/>
        </w:numPr>
        <w:kinsoku/>
        <w:bidi w:val="0"/>
        <w:spacing w:line="440" w:lineRule="exact"/>
        <w:ind w:firstLine="0" w:firstLineChars="0"/>
        <w:jc w:val="both"/>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sectPr>
          <w:pgSz w:w="11907" w:h="16840"/>
          <w:pgMar w:top="1440" w:right="1559" w:bottom="1440" w:left="156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方正仿宋_GB2312" w:hAnsi="方正仿宋_GB2312" w:eastAsia="方正仿宋_GB2312" w:cs="方正仿宋_GB2312"/>
          <w:sz w:val="32"/>
          <w:szCs w:val="32"/>
        </w:rPr>
        <w:t>说明：</w:t>
      </w:r>
      <w:r>
        <w:rPr>
          <w:rFonts w:hint="eastAsia" w:ascii="方正仿宋_GB2312" w:hAnsi="方正仿宋_GB2312" w:eastAsia="方正仿宋_GB2312" w:cs="方正仿宋_GB2312"/>
          <w:sz w:val="32"/>
          <w:szCs w:val="32"/>
          <w:lang w:val="en-US" w:eastAsia="zh-CN"/>
        </w:rPr>
        <w:t>此保函示范文本为通用模板，具体以金融机构实际出具的保函为准。</w:t>
      </w:r>
      <w:r>
        <w:rPr>
          <w:rFonts w:hint="eastAsia" w:ascii="方正仿宋_GB2312" w:hAnsi="方正仿宋_GB2312" w:eastAsia="方正仿宋_GB2312" w:cs="方正仿宋_GB2312"/>
          <w:sz w:val="32"/>
          <w:szCs w:val="32"/>
        </w:rPr>
        <w:t>保函开立人可以根据项目具体情况增加相关条款，但不得违背招标文件的实质性内容，以及相关法律法规的规定。</w:t>
      </w:r>
    </w:p>
    <w:p>
      <w:pPr>
        <w:pStyle w:val="4"/>
        <w:keepNext/>
        <w:keepLines/>
        <w:pageBreakBefore w:val="0"/>
        <w:widowControl w:val="0"/>
        <w:numPr>
          <w:ilvl w:val="0"/>
          <w:numId w:val="0"/>
        </w:numPr>
        <w:kinsoku/>
        <w:wordWrap/>
        <w:overflowPunct/>
        <w:topLinePunct w:val="0"/>
        <w:autoSpaceDE/>
        <w:autoSpaceDN/>
        <w:bidi w:val="0"/>
        <w:adjustRightInd/>
        <w:snapToGrid/>
        <w:spacing w:line="440" w:lineRule="exact"/>
        <w:ind w:leftChars="0" w:firstLine="0" w:firstLineChars="0"/>
        <w:jc w:val="center"/>
        <w:textAlignment w:val="auto"/>
        <w:outlineLvl w:val="2"/>
        <w:rPr>
          <w:rFonts w:hint="eastAsia" w:ascii="方正仿宋_GB2312" w:hAnsi="方正仿宋_GB2312" w:eastAsia="方正仿宋_GB2312" w:cs="方正仿宋_GB2312"/>
          <w:b/>
          <w:bCs/>
          <w:kern w:val="2"/>
          <w:sz w:val="32"/>
          <w:szCs w:val="32"/>
          <w:lang w:val="en-US" w:eastAsia="zh-CN" w:bidi="ar-SA"/>
        </w:rPr>
      </w:pPr>
      <w:bookmarkStart w:id="1889" w:name="_Toc5297"/>
      <w:bookmarkStart w:id="1890" w:name="_Toc20747"/>
      <w:bookmarkStart w:id="1891" w:name="_Toc13213"/>
      <w:r>
        <w:rPr>
          <w:rFonts w:hint="eastAsia" w:ascii="方正仿宋_GB2312" w:hAnsi="方正仿宋_GB2312" w:eastAsia="方正仿宋_GB2312" w:cs="方正仿宋_GB2312"/>
          <w:b/>
          <w:bCs/>
          <w:kern w:val="2"/>
          <w:sz w:val="32"/>
          <w:szCs w:val="32"/>
          <w:lang w:val="en-US" w:eastAsia="zh-CN" w:bidi="ar-SA"/>
        </w:rPr>
        <w:t>5、项目管理机构</w:t>
      </w:r>
      <w:bookmarkEnd w:id="1889"/>
      <w:bookmarkEnd w:id="1890"/>
      <w:bookmarkEnd w:id="1891"/>
    </w:p>
    <w:p>
      <w:pPr>
        <w:pageBreakBefore w:val="0"/>
        <w:kinsoku/>
        <w:topLinePunct/>
        <w:bidi w:val="0"/>
        <w:spacing w:line="440" w:lineRule="exact"/>
        <w:ind w:firstLine="0" w:firstLineChars="0"/>
        <w:jc w:val="center"/>
        <w:outlineLvl w:val="3"/>
        <w:rPr>
          <w:rFonts w:hint="eastAsia" w:ascii="方正仿宋_GB2312" w:hAnsi="方正仿宋_GB2312" w:eastAsia="方正仿宋_GB2312" w:cs="方正仿宋_GB2312"/>
          <w:b/>
          <w:bCs/>
          <w:sz w:val="32"/>
          <w:szCs w:val="32"/>
        </w:rPr>
      </w:pPr>
      <w:bookmarkStart w:id="1892" w:name="_Toc9802"/>
      <w:r>
        <w:rPr>
          <w:rFonts w:hint="eastAsia" w:ascii="方正仿宋_GB2312" w:hAnsi="方正仿宋_GB2312" w:eastAsia="方正仿宋_GB2312" w:cs="方正仿宋_GB2312"/>
          <w:b/>
          <w:bCs/>
          <w:sz w:val="32"/>
          <w:szCs w:val="32"/>
        </w:rPr>
        <w:t>5.1项目管理机构组成表</w:t>
      </w:r>
      <w:bookmarkEnd w:id="1892"/>
    </w:p>
    <w:p>
      <w:pPr>
        <w:pageBreakBefore w:val="0"/>
        <w:kinsoku/>
        <w:bidi w:val="0"/>
        <w:spacing w:line="440" w:lineRule="exact"/>
        <w:ind w:firstLine="0" w:firstLineChars="0"/>
        <w:jc w:val="center"/>
        <w:rPr>
          <w:rFonts w:hint="eastAsia" w:ascii="方正仿宋_GB2312" w:hAnsi="方正仿宋_GB2312" w:eastAsia="方正仿宋_GB2312" w:cs="方正仿宋_GB2312"/>
          <w:b/>
          <w:sz w:val="32"/>
          <w:szCs w:val="32"/>
        </w:rPr>
      </w:pPr>
    </w:p>
    <w:tbl>
      <w:tblPr>
        <w:tblStyle w:val="43"/>
        <w:tblW w:w="9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998"/>
        <w:gridCol w:w="929"/>
        <w:gridCol w:w="1542"/>
        <w:gridCol w:w="1048"/>
        <w:gridCol w:w="1516"/>
        <w:gridCol w:w="1138"/>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职务</w:t>
            </w:r>
          </w:p>
        </w:tc>
        <w:tc>
          <w:tcPr>
            <w:tcW w:w="998" w:type="dxa"/>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姓名</w:t>
            </w:r>
          </w:p>
        </w:tc>
        <w:tc>
          <w:tcPr>
            <w:tcW w:w="929" w:type="dxa"/>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职称</w:t>
            </w:r>
          </w:p>
        </w:tc>
        <w:tc>
          <w:tcPr>
            <w:tcW w:w="5244" w:type="dxa"/>
            <w:gridSpan w:val="4"/>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执业或职业资格证明</w:t>
            </w:r>
          </w:p>
        </w:tc>
        <w:tc>
          <w:tcPr>
            <w:tcW w:w="74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tc>
        <w:tc>
          <w:tcPr>
            <w:tcW w:w="998"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tc>
        <w:tc>
          <w:tcPr>
            <w:tcW w:w="929"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tc>
        <w:tc>
          <w:tcPr>
            <w:tcW w:w="154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证书名称</w:t>
            </w:r>
          </w:p>
        </w:tc>
        <w:tc>
          <w:tcPr>
            <w:tcW w:w="104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级别</w:t>
            </w:r>
          </w:p>
        </w:tc>
        <w:tc>
          <w:tcPr>
            <w:tcW w:w="151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证号</w:t>
            </w:r>
          </w:p>
        </w:tc>
        <w:tc>
          <w:tcPr>
            <w:tcW w:w="1138" w:type="dxa"/>
            <w:noWrap w:val="0"/>
            <w:vAlign w:val="center"/>
          </w:tcPr>
          <w:p>
            <w:pPr>
              <w:pageBreakBefore w:val="0"/>
              <w:kinsoku/>
              <w:bidi w:val="0"/>
              <w:spacing w:line="440" w:lineRule="exact"/>
              <w:ind w:right="109" w:rightChars="52" w:firstLine="0" w:firstLineChars="0"/>
              <w:jc w:val="center"/>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专业</w:t>
            </w:r>
          </w:p>
        </w:tc>
        <w:tc>
          <w:tcPr>
            <w:tcW w:w="74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项目负责人</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项目经理</w:t>
            </w:r>
            <w:r>
              <w:rPr>
                <w:rFonts w:hint="eastAsia" w:ascii="方正仿宋_GB2312" w:hAnsi="方正仿宋_GB2312" w:eastAsia="方正仿宋_GB2312" w:cs="方正仿宋_GB2312"/>
                <w:sz w:val="32"/>
                <w:szCs w:val="32"/>
                <w:lang w:eastAsia="zh-CN"/>
              </w:rPr>
              <w:t>）</w:t>
            </w:r>
          </w:p>
        </w:tc>
        <w:tc>
          <w:tcPr>
            <w:tcW w:w="99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项目技术负责人</w:t>
            </w:r>
          </w:p>
        </w:tc>
        <w:tc>
          <w:tcPr>
            <w:tcW w:w="99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lang w:val="en-US" w:eastAsia="zh-CN"/>
              </w:rPr>
            </w:pPr>
            <w:r>
              <w:rPr>
                <w:rFonts w:hint="eastAsia" w:ascii="方正仿宋_GB2312" w:hAnsi="方正仿宋_GB2312" w:eastAsia="方正仿宋_GB2312" w:cs="方正仿宋_GB2312"/>
                <w:bCs/>
                <w:sz w:val="32"/>
                <w:szCs w:val="32"/>
                <w:lang w:val="en-US" w:eastAsia="zh-CN"/>
              </w:rPr>
              <w:t>施工员</w:t>
            </w: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lang w:eastAsia="zh-CN"/>
              </w:rPr>
              <w:t>质量</w:t>
            </w:r>
            <w:r>
              <w:rPr>
                <w:rFonts w:hint="eastAsia" w:ascii="方正仿宋_GB2312" w:hAnsi="方正仿宋_GB2312" w:eastAsia="方正仿宋_GB2312" w:cs="方正仿宋_GB2312"/>
                <w:bCs/>
                <w:sz w:val="32"/>
                <w:szCs w:val="32"/>
              </w:rPr>
              <w:t>员</w:t>
            </w: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安全员</w:t>
            </w: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lang w:val="en-US" w:eastAsia="zh-CN"/>
              </w:rPr>
            </w:pPr>
            <w:r>
              <w:rPr>
                <w:rFonts w:hint="eastAsia" w:ascii="方正仿宋_GB2312" w:hAnsi="方正仿宋_GB2312" w:eastAsia="方正仿宋_GB2312" w:cs="方正仿宋_GB2312"/>
                <w:bCs/>
                <w:sz w:val="32"/>
                <w:szCs w:val="32"/>
                <w:lang w:val="en-US" w:eastAsia="zh-CN"/>
              </w:rPr>
              <w:t>标准员</w:t>
            </w: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lang w:val="en-US" w:eastAsia="zh-CN"/>
              </w:rPr>
            </w:pPr>
            <w:r>
              <w:rPr>
                <w:rFonts w:hint="eastAsia" w:ascii="方正仿宋_GB2312" w:hAnsi="方正仿宋_GB2312" w:eastAsia="方正仿宋_GB2312" w:cs="方正仿宋_GB2312"/>
                <w:bCs/>
                <w:sz w:val="32"/>
                <w:szCs w:val="32"/>
                <w:lang w:val="en-US" w:eastAsia="zh-CN"/>
              </w:rPr>
              <w:t>机械员</w:t>
            </w: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材料员</w:t>
            </w: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lang w:eastAsia="zh-CN"/>
              </w:rPr>
            </w:pPr>
            <w:r>
              <w:rPr>
                <w:rFonts w:hint="eastAsia" w:ascii="方正仿宋_GB2312" w:hAnsi="方正仿宋_GB2312" w:eastAsia="方正仿宋_GB2312" w:cs="方正仿宋_GB2312"/>
                <w:bCs/>
                <w:sz w:val="32"/>
                <w:szCs w:val="32"/>
                <w:lang w:val="en-US" w:eastAsia="zh-CN"/>
              </w:rPr>
              <w:t>劳务员</w:t>
            </w: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rPr>
            </w:pPr>
            <w:r>
              <w:rPr>
                <w:rFonts w:hint="eastAsia" w:ascii="方正仿宋_GB2312" w:hAnsi="方正仿宋_GB2312" w:eastAsia="方正仿宋_GB2312" w:cs="方正仿宋_GB2312"/>
                <w:sz w:val="32"/>
                <w:szCs w:val="32"/>
              </w:rPr>
              <w:t>其他人员</w:t>
            </w: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rPr>
            </w:pP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9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9"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4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16"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8"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42" w:type="dxa"/>
            <w:noWrap w:val="0"/>
            <w:vAlign w:val="top"/>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注：本工程</w:t>
      </w:r>
      <w:r>
        <w:rPr>
          <w:rFonts w:hint="eastAsia" w:ascii="方正仿宋_GB2312" w:hAnsi="方正仿宋_GB2312" w:eastAsia="方正仿宋_GB2312" w:cs="方正仿宋_GB2312"/>
          <w:sz w:val="32"/>
          <w:szCs w:val="32"/>
          <w:lang w:val="en-US" w:eastAsia="zh-CN"/>
        </w:rPr>
        <w:t>若</w:t>
      </w:r>
      <w:r>
        <w:rPr>
          <w:rFonts w:hint="eastAsia" w:ascii="方正仿宋_GB2312" w:hAnsi="方正仿宋_GB2312" w:eastAsia="方正仿宋_GB2312" w:cs="方正仿宋_GB2312"/>
          <w:sz w:val="32"/>
          <w:szCs w:val="32"/>
        </w:rPr>
        <w:t>我单位中标，将配备上述项目管理人员。上述填报内容真实，如不真实，将按照有关规定接受处理。</w:t>
      </w:r>
    </w:p>
    <w:p>
      <w:pPr>
        <w:pStyle w:val="4"/>
        <w:pageBreakBefore w:val="0"/>
        <w:kinsoku/>
        <w:bidi w:val="0"/>
        <w:spacing w:line="440" w:lineRule="exact"/>
        <w:ind w:firstLine="0" w:firstLineChars="0"/>
        <w:jc w:val="center"/>
        <w:outlineLvl w:val="9"/>
        <w:rPr>
          <w:rFonts w:hint="eastAsia" w:ascii="方正仿宋_GB2312" w:hAnsi="方正仿宋_GB2312" w:eastAsia="方正仿宋_GB2312" w:cs="方正仿宋_GB2312"/>
          <w:bCs w:val="0"/>
          <w:color w:val="000000" w:themeColor="text1"/>
          <w:sz w:val="32"/>
          <w:szCs w:val="32"/>
          <w14:textFill>
            <w14:solidFill>
              <w14:schemeClr w14:val="tx1"/>
            </w14:solidFill>
          </w14:textFill>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sz w:val="32"/>
          <w:szCs w:val="32"/>
        </w:rPr>
      </w:pPr>
    </w:p>
    <w:p>
      <w:pPr>
        <w:keepNext w:val="0"/>
        <w:keepLines w:val="0"/>
        <w:pageBreakBefore w:val="0"/>
        <w:widowControl w:val="0"/>
        <w:kinsoku/>
        <w:wordWrap/>
        <w:overflowPunct/>
        <w:topLinePunct/>
        <w:autoSpaceDE/>
        <w:autoSpaceDN/>
        <w:bidi w:val="0"/>
        <w:adjustRightInd/>
        <w:snapToGrid/>
        <w:spacing w:line="440" w:lineRule="exact"/>
        <w:ind w:firstLine="0" w:firstLineChars="0"/>
        <w:jc w:val="center"/>
        <w:textAlignment w:val="auto"/>
        <w:outlineLvl w:val="3"/>
        <w:rPr>
          <w:rFonts w:hint="eastAsia" w:ascii="方正仿宋_GB2312" w:hAnsi="方正仿宋_GB2312" w:eastAsia="方正仿宋_GB2312" w:cs="方正仿宋_GB2312"/>
          <w:b/>
          <w:bCs/>
          <w:sz w:val="32"/>
          <w:szCs w:val="32"/>
        </w:rPr>
      </w:pPr>
      <w:bookmarkStart w:id="1893" w:name="_Toc7974"/>
      <w:r>
        <w:rPr>
          <w:rFonts w:hint="eastAsia" w:ascii="方正仿宋_GB2312" w:hAnsi="方正仿宋_GB2312" w:eastAsia="方正仿宋_GB2312" w:cs="方正仿宋_GB2312"/>
          <w:b/>
          <w:bCs/>
          <w:sz w:val="32"/>
          <w:szCs w:val="32"/>
        </w:rPr>
        <w:t>5.2主要人员简历表</w:t>
      </w:r>
      <w:bookmarkEnd w:id="1893"/>
    </w:p>
    <w:p>
      <w:pPr>
        <w:keepNext w:val="0"/>
        <w:keepLines w:val="0"/>
        <w:pageBreakBefore w:val="0"/>
        <w:widowControl w:val="0"/>
        <w:kinsoku/>
        <w:wordWrap/>
        <w:overflowPunct/>
        <w:topLinePunct/>
        <w:autoSpaceDE/>
        <w:autoSpaceDN/>
        <w:bidi w:val="0"/>
        <w:adjustRightInd/>
        <w:snapToGrid/>
        <w:spacing w:line="440" w:lineRule="exact"/>
        <w:ind w:firstLine="0" w:firstLineChars="0"/>
        <w:jc w:val="center"/>
        <w:textAlignment w:val="auto"/>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lang w:val="en-US" w:eastAsia="zh-CN"/>
        </w:rPr>
        <w:t>5.2.1</w:t>
      </w:r>
      <w:r>
        <w:rPr>
          <w:rFonts w:hint="eastAsia" w:ascii="方正仿宋_GB2312" w:hAnsi="方正仿宋_GB2312" w:eastAsia="方正仿宋_GB2312" w:cs="方正仿宋_GB2312"/>
          <w:b/>
          <w:bCs/>
          <w:sz w:val="32"/>
          <w:szCs w:val="32"/>
        </w:rPr>
        <w:t>项目负责人简历表</w:t>
      </w:r>
    </w:p>
    <w:bookmarkEnd w:id="1875"/>
    <w:bookmarkEnd w:id="1876"/>
    <w:bookmarkEnd w:id="1877"/>
    <w:tbl>
      <w:tblPr>
        <w:tblStyle w:val="43"/>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71"/>
        <w:gridCol w:w="963"/>
        <w:gridCol w:w="1275"/>
        <w:gridCol w:w="1843"/>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姓  名</w:t>
            </w:r>
          </w:p>
        </w:tc>
        <w:tc>
          <w:tcPr>
            <w:tcW w:w="2169" w:type="dxa"/>
            <w:gridSpan w:val="3"/>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职  称</w:t>
            </w:r>
          </w:p>
        </w:tc>
        <w:tc>
          <w:tcPr>
            <w:tcW w:w="4476"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职  务</w:t>
            </w:r>
          </w:p>
        </w:tc>
        <w:tc>
          <w:tcPr>
            <w:tcW w:w="1206"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6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年  龄</w:t>
            </w:r>
          </w:p>
        </w:tc>
        <w:tc>
          <w:tcPr>
            <w:tcW w:w="12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4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拟在本工程</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任职</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4"/>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注册建造师执业资格等级</w:t>
            </w:r>
          </w:p>
        </w:tc>
        <w:tc>
          <w:tcPr>
            <w:tcW w:w="12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级</w:t>
            </w:r>
          </w:p>
        </w:tc>
        <w:tc>
          <w:tcPr>
            <w:tcW w:w="184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建造师专业</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4"/>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安全生产考核合格证书</w:t>
            </w:r>
          </w:p>
        </w:tc>
        <w:tc>
          <w:tcPr>
            <w:tcW w:w="5751" w:type="dxa"/>
            <w:gridSpan w:val="3"/>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12" w:type="dxa"/>
            <w:gridSpan w:val="7"/>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时  间</w:t>
            </w:r>
          </w:p>
        </w:tc>
        <w:tc>
          <w:tcPr>
            <w:tcW w:w="3444" w:type="dxa"/>
            <w:gridSpan w:val="4"/>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参加过的类似项目名称</w:t>
            </w:r>
          </w:p>
        </w:tc>
        <w:tc>
          <w:tcPr>
            <w:tcW w:w="184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工程概况说明</w:t>
            </w: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4"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4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4"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4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34"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4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633"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ageBreakBefore w:val="0"/>
        <w:kinsoku/>
        <w:bidi w:val="0"/>
        <w:spacing w:line="440" w:lineRule="exact"/>
        <w:ind w:right="1260" w:firstLine="0" w:firstLineChars="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tabs>
          <w:tab w:val="left" w:pos="3570"/>
        </w:tabs>
        <w:kinsoku/>
        <w:bidi w:val="0"/>
        <w:spacing w:line="440" w:lineRule="exact"/>
        <w:ind w:firstLine="0" w:firstLineChars="0"/>
        <w:jc w:val="left"/>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投标人：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（盖章）</w:t>
      </w:r>
    </w:p>
    <w:p>
      <w:pPr>
        <w:pageBreakBefore w:val="0"/>
        <w:tabs>
          <w:tab w:val="left" w:pos="3570"/>
        </w:tabs>
        <w:kinsoku/>
        <w:bidi w:val="0"/>
        <w:spacing w:line="440" w:lineRule="exact"/>
        <w:ind w:firstLine="0" w:firstLineChars="0"/>
        <w:jc w:val="both"/>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法定代表人：</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lang w:val="en-US" w:eastAsia="zh-CN"/>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（签字或盖章）</w:t>
      </w:r>
    </w:p>
    <w:p>
      <w:pPr>
        <w:pageBreakBefore w:val="0"/>
        <w:kinsoku/>
        <w:wordWrap/>
        <w:bidi w:val="0"/>
        <w:spacing w:line="440" w:lineRule="exact"/>
        <w:ind w:firstLine="0" w:firstLineChars="0"/>
        <w:jc w:val="both"/>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年</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月</w:t>
      </w: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t xml:space="preserve">     </w:t>
      </w:r>
      <w:r>
        <w:rPr>
          <w:rFonts w:hint="eastAsia" w:ascii="方正仿宋_GB2312" w:hAnsi="方正仿宋_GB2312" w:eastAsia="方正仿宋_GB2312" w:cs="方正仿宋_GB2312"/>
          <w:color w:val="000000" w:themeColor="text1"/>
          <w:sz w:val="32"/>
          <w:szCs w:val="32"/>
          <w14:textFill>
            <w14:solidFill>
              <w14:schemeClr w14:val="tx1"/>
            </w14:solidFill>
          </w14:textFill>
        </w:rPr>
        <w:t>日</w:t>
      </w:r>
    </w:p>
    <w:p>
      <w:pPr>
        <w:pageBreakBefore w:val="0"/>
        <w:kinsoku/>
        <w:bidi w:val="0"/>
        <w:spacing w:line="440" w:lineRule="exact"/>
        <w:ind w:firstLine="0" w:firstLineChars="0"/>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注：</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1、</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项目负责人</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需提供</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建造师注册证书、安全生产考核合格证书、身份证、职称证</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扫描件</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及未担任其他在施建设工程项目负责人</w:t>
      </w:r>
      <w:r>
        <w:rPr>
          <w:rFonts w:hint="eastAsia" w:ascii="方正仿宋_GB2312" w:hAnsi="方正仿宋_GB2312" w:eastAsia="方正仿宋_GB2312" w:cs="方正仿宋_GB2312"/>
          <w:b/>
          <w:bCs/>
          <w:color w:val="000000" w:themeColor="text1"/>
          <w:sz w:val="32"/>
          <w:szCs w:val="32"/>
          <w:u w:val="none"/>
          <w:lang w:eastAsia="zh-CN"/>
          <w14:textFill>
            <w14:solidFill>
              <w14:schemeClr w14:val="tx1"/>
            </w14:solidFill>
          </w14:textFill>
        </w:rPr>
        <w:t>（</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项目经理</w:t>
      </w:r>
      <w:r>
        <w:rPr>
          <w:rFonts w:hint="eastAsia" w:ascii="方正仿宋_GB2312" w:hAnsi="方正仿宋_GB2312" w:eastAsia="方正仿宋_GB2312" w:cs="方正仿宋_GB2312"/>
          <w:b/>
          <w:bCs/>
          <w:color w:val="000000" w:themeColor="text1"/>
          <w:sz w:val="32"/>
          <w:szCs w:val="32"/>
          <w:u w:val="none"/>
          <w:lang w:eastAsia="zh-CN"/>
          <w14:textFill>
            <w14:solidFill>
              <w14:schemeClr w14:val="tx1"/>
            </w14:solidFill>
          </w14:textFill>
        </w:rPr>
        <w:t>）</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的承诺书</w:t>
      </w:r>
      <w:r>
        <w:rPr>
          <w:rFonts w:hint="eastAsia" w:ascii="方正仿宋_GB2312" w:hAnsi="方正仿宋_GB2312" w:eastAsia="方正仿宋_GB2312" w:cs="方正仿宋_GB2312"/>
          <w:b/>
          <w:bCs/>
          <w:color w:val="000000" w:themeColor="text1"/>
          <w:sz w:val="32"/>
          <w:szCs w:val="32"/>
          <w:u w:val="none"/>
          <w:lang w:eastAsia="zh-CN"/>
          <w14:textFill>
            <w14:solidFill>
              <w14:schemeClr w14:val="tx1"/>
            </w14:solidFill>
          </w14:textFill>
        </w:rPr>
        <w:t>（</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详见附件</w:t>
      </w:r>
      <w:r>
        <w:rPr>
          <w:rFonts w:hint="eastAsia" w:ascii="方正仿宋_GB2312" w:hAnsi="方正仿宋_GB2312" w:eastAsia="方正仿宋_GB2312" w:cs="方正仿宋_GB2312"/>
          <w:b/>
          <w:bCs/>
          <w:color w:val="000000" w:themeColor="text1"/>
          <w:sz w:val="32"/>
          <w:szCs w:val="32"/>
          <w:u w:val="none"/>
          <w:lang w:eastAsia="zh-CN"/>
          <w14:textFill>
            <w14:solidFill>
              <w14:schemeClr w14:val="tx1"/>
            </w14:solidFill>
          </w14:textFill>
        </w:rPr>
        <w:t>）</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，管理过的项目业绩须附合同协议书和竣工验收备案登记表</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扫描件</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。类似项目限于以项目负责人身份参与的项目。</w:t>
      </w:r>
    </w:p>
    <w:p>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拟任项目</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负责人</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在其他项目担任项目</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负责人（项目经理）</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期间发生过变更撤换且在该项目完成合同约定工作量或合同约定本职工作</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或竣工验收</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之前，参与本项目投标的，不对该项目</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负责人</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的类似工程业绩计分</w:t>
      </w:r>
      <w:r>
        <w:rPr>
          <w:rFonts w:hint="eastAsia" w:ascii="方正仿宋_GB2312" w:hAnsi="方正仿宋_GB2312" w:eastAsia="方正仿宋_GB2312" w:cs="方正仿宋_GB2312"/>
          <w:b/>
          <w:bCs/>
          <w:color w:val="000000" w:themeColor="text1"/>
          <w:sz w:val="32"/>
          <w:szCs w:val="32"/>
          <w:u w:val="none"/>
          <w:lang w:eastAsia="zh-CN"/>
          <w14:textFill>
            <w14:solidFill>
              <w14:schemeClr w14:val="tx1"/>
            </w14:solidFill>
          </w14:textFill>
        </w:rPr>
        <w:t>。</w:t>
      </w:r>
    </w:p>
    <w:p>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存在上述情形的，投标人应当在投标文件中如实</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说明</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其变更撤换情况，提供经住房城乡建设主管部门备案的变更撤换资料</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扫描件</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（或其官方网站查询的变更撤换信息的截图）和竣工验收资料</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扫描件</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（项目已竣工的提供）。未发生以上情形的，请投标人提供不存在上述情形的承诺书（格式自拟）。未如实说明的，</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按弄虚作假进行处理</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。（适用于：项目</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负责人</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业绩加分的项目）</w:t>
      </w:r>
    </w:p>
    <w:p>
      <w:pPr>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br w:type="page"/>
      </w:r>
    </w:p>
    <w:p>
      <w:pPr>
        <w:keepNext w:val="0"/>
        <w:keepLines w:val="0"/>
        <w:pageBreakBefore w:val="0"/>
        <w:widowControl w:val="0"/>
        <w:kinsoku/>
        <w:wordWrap/>
        <w:overflowPunct/>
        <w:topLinePunct/>
        <w:autoSpaceDE/>
        <w:autoSpaceDN/>
        <w:bidi w:val="0"/>
        <w:adjustRightInd/>
        <w:snapToGrid/>
        <w:spacing w:line="440" w:lineRule="exact"/>
        <w:ind w:firstLine="0" w:firstLineChars="0"/>
        <w:jc w:val="center"/>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val="en-US" w:eastAsia="zh-CN"/>
        </w:rPr>
        <w:t>5.2.2 主要项目管理人员简历表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08"/>
        <w:gridCol w:w="3420"/>
        <w:gridCol w:w="1261"/>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900" w:type="dxa"/>
            <w:gridSpan w:val="5"/>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23"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姓名</w:t>
            </w:r>
          </w:p>
        </w:tc>
        <w:tc>
          <w:tcPr>
            <w:tcW w:w="342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年龄</w:t>
            </w:r>
          </w:p>
        </w:tc>
        <w:tc>
          <w:tcPr>
            <w:tcW w:w="229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23"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性别</w:t>
            </w:r>
          </w:p>
        </w:tc>
        <w:tc>
          <w:tcPr>
            <w:tcW w:w="342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毕业学校</w:t>
            </w:r>
          </w:p>
        </w:tc>
        <w:tc>
          <w:tcPr>
            <w:tcW w:w="229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23"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学历和专业</w:t>
            </w:r>
          </w:p>
        </w:tc>
        <w:tc>
          <w:tcPr>
            <w:tcW w:w="342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毕业时间</w:t>
            </w:r>
          </w:p>
        </w:tc>
        <w:tc>
          <w:tcPr>
            <w:tcW w:w="229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23"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拥有的执业资格</w:t>
            </w:r>
          </w:p>
        </w:tc>
        <w:tc>
          <w:tcPr>
            <w:tcW w:w="342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专业职称</w:t>
            </w:r>
          </w:p>
        </w:tc>
        <w:tc>
          <w:tcPr>
            <w:tcW w:w="229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23"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执业资格证书编号</w:t>
            </w:r>
          </w:p>
        </w:tc>
        <w:tc>
          <w:tcPr>
            <w:tcW w:w="3420"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工作年限</w:t>
            </w:r>
          </w:p>
        </w:tc>
        <w:tc>
          <w:tcPr>
            <w:tcW w:w="229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7" w:hRule="atLeast"/>
          <w:jc w:val="center"/>
        </w:trPr>
        <w:tc>
          <w:tcPr>
            <w:tcW w:w="1415" w:type="dxa"/>
            <w:noWrap w:val="0"/>
            <w:vAlign w:val="center"/>
          </w:tcPr>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主要工作业绩及担任的主要工作</w:t>
            </w:r>
          </w:p>
        </w:tc>
        <w:tc>
          <w:tcPr>
            <w:tcW w:w="7485" w:type="dxa"/>
            <w:gridSpan w:val="4"/>
            <w:noWrap w:val="0"/>
            <w:vAlign w:val="center"/>
          </w:tcPr>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widowControl/>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bl>
    <w:p>
      <w:pPr>
        <w:pageBreakBefore w:val="0"/>
        <w:numPr>
          <w:ilvl w:val="0"/>
          <w:numId w:val="0"/>
        </w:numPr>
        <w:kinsoku/>
        <w:bidi w:val="0"/>
        <w:spacing w:line="440" w:lineRule="exact"/>
        <w:ind w:firstLine="0" w:firstLineChars="0"/>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pP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注：</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主要项目管理人员指技术负责人、</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施工员</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质量员</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等岗位人员。</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结合配备人员实际情况提供相应的</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注册资格证书、身份证、职称证、学历证</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扫描件</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安全员</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应</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提供</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安全生产考核合格证书</w:t>
      </w:r>
      <w:r>
        <w:rPr>
          <w:rFonts w:hint="eastAsia" w:ascii="方正仿宋_GB2312" w:hAnsi="方正仿宋_GB2312" w:eastAsia="方正仿宋_GB2312" w:cs="方正仿宋_GB2312"/>
          <w:b/>
          <w:bCs/>
          <w:color w:val="000000" w:themeColor="text1"/>
          <w:sz w:val="32"/>
          <w:szCs w:val="32"/>
          <w:u w:val="none"/>
          <w:lang w:eastAsia="zh-CN"/>
          <w14:textFill>
            <w14:solidFill>
              <w14:schemeClr w14:val="tx1"/>
            </w14:solidFill>
          </w14:textFill>
        </w:rPr>
        <w:t>。</w:t>
      </w:r>
      <w:r>
        <w:rPr>
          <w:rFonts w:hint="eastAsia" w:ascii="方正仿宋_GB2312" w:hAnsi="方正仿宋_GB2312" w:eastAsia="方正仿宋_GB2312" w:cs="方正仿宋_GB2312"/>
          <w:b/>
          <w:bCs/>
          <w:color w:val="000000" w:themeColor="text1"/>
          <w:sz w:val="32"/>
          <w:szCs w:val="32"/>
          <w:u w:val="none"/>
          <w:lang w:val="en-US" w:eastAsia="zh-CN"/>
          <w14:textFill>
            <w14:solidFill>
              <w14:schemeClr w14:val="tx1"/>
            </w14:solidFill>
          </w14:textFill>
        </w:rPr>
        <w:t>提供业绩印证材料的，与项目负责人业绩要求一致</w:t>
      </w:r>
      <w:r>
        <w:rPr>
          <w:rFonts w:hint="eastAsia" w:ascii="方正仿宋_GB2312" w:hAnsi="方正仿宋_GB2312" w:eastAsia="方正仿宋_GB2312" w:cs="方正仿宋_GB2312"/>
          <w:b/>
          <w:bCs/>
          <w:color w:val="000000" w:themeColor="text1"/>
          <w:sz w:val="32"/>
          <w:szCs w:val="32"/>
          <w:u w:val="none"/>
          <w14:textFill>
            <w14:solidFill>
              <w14:schemeClr w14:val="tx1"/>
            </w14:solidFill>
          </w14:textFill>
        </w:rPr>
        <w:t>。</w:t>
      </w:r>
    </w:p>
    <w:p>
      <w:pPr>
        <w:pageBreakBefore w:val="0"/>
        <w:kinsoku/>
        <w:bidi w:val="0"/>
        <w:spacing w:line="440" w:lineRule="exact"/>
        <w:ind w:firstLine="0" w:firstLineChars="0"/>
        <w:rPr>
          <w:rFonts w:hint="eastAsia" w:ascii="方正仿宋_GB2312" w:hAnsi="方正仿宋_GB2312" w:eastAsia="方正仿宋_GB2312" w:cs="方正仿宋_GB2312"/>
          <w:bCs/>
          <w:color w:val="000000" w:themeColor="text1"/>
          <w:sz w:val="32"/>
          <w:szCs w:val="32"/>
          <w14:textFill>
            <w14:solidFill>
              <w14:schemeClr w14:val="tx1"/>
            </w14:solidFill>
          </w14:textFill>
        </w:rPr>
      </w:pPr>
      <w:bookmarkStart w:id="1894" w:name="_Toc6151"/>
      <w:bookmarkStart w:id="1895" w:name="_Toc19857"/>
      <w:bookmarkStart w:id="1896" w:name="_Toc25193"/>
      <w:bookmarkStart w:id="1897" w:name="_Toc508282874"/>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t>附件：</w:t>
      </w:r>
    </w:p>
    <w:p>
      <w:pPr>
        <w:pageBreakBefore w:val="0"/>
        <w:kinsoku/>
        <w:bidi w:val="0"/>
        <w:spacing w:before="240" w:beforeLines="100" w:after="240" w:afterLines="100" w:line="440" w:lineRule="exact"/>
        <w:ind w:firstLine="0" w:firstLineChars="0"/>
        <w:jc w:val="center"/>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项目负责人投标承诺函</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本人</w:t>
      </w:r>
      <w:r>
        <w:rPr>
          <w:rFonts w:hint="eastAsia" w:ascii="方正仿宋_GB2312" w:hAnsi="方正仿宋_GB2312" w:eastAsia="方正仿宋_GB2312" w:cs="方正仿宋_GB2312"/>
          <w:sz w:val="32"/>
          <w:szCs w:val="32"/>
          <w:u w:val="single"/>
        </w:rPr>
        <w:t xml:space="preserve"> （姓名）</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rPr>
        <w:t>系</w:t>
      </w:r>
      <w:r>
        <w:rPr>
          <w:rFonts w:hint="eastAsia" w:ascii="方正仿宋_GB2312" w:hAnsi="方正仿宋_GB2312" w:eastAsia="方正仿宋_GB2312" w:cs="方正仿宋_GB2312"/>
          <w:sz w:val="32"/>
          <w:szCs w:val="32"/>
          <w:u w:val="single"/>
        </w:rPr>
        <w:t xml:space="preserve"> （投标人名称）</w:t>
      </w:r>
      <w:r>
        <w:rPr>
          <w:rFonts w:hint="eastAsia" w:ascii="方正仿宋_GB2312" w:hAnsi="方正仿宋_GB2312" w:eastAsia="方正仿宋_GB2312" w:cs="方正仿宋_GB2312"/>
          <w:sz w:val="32"/>
          <w:szCs w:val="32"/>
        </w:rPr>
        <w:t>参与</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（项目名称）</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rPr>
        <w:t>投标的项目负责人，我承诺本次投标截止前本人无在建工程、无行贿犯罪行为记录，不存在在两个或者两个以上单位受聘或者执业情形，本人身体状况健康，具备项目负责人正常履约能力，若我单位中标，本人正常在岗履职，不随意更换项目负责人，如发生不履行</w:t>
      </w:r>
      <w:r>
        <w:rPr>
          <w:rFonts w:hint="eastAsia" w:ascii="方正仿宋_GB2312" w:hAnsi="方正仿宋_GB2312" w:eastAsia="方正仿宋_GB2312" w:cs="方正仿宋_GB2312"/>
          <w:sz w:val="32"/>
          <w:szCs w:val="32"/>
          <w:lang w:val="en-US" w:eastAsia="zh-CN"/>
        </w:rPr>
        <w:t>本承诺</w:t>
      </w:r>
      <w:r>
        <w:rPr>
          <w:rFonts w:hint="eastAsia" w:ascii="方正仿宋_GB2312" w:hAnsi="方正仿宋_GB2312" w:eastAsia="方正仿宋_GB2312" w:cs="方正仿宋_GB2312"/>
          <w:sz w:val="32"/>
          <w:szCs w:val="32"/>
        </w:rPr>
        <w:t>的行为，自愿接受按法律法规和招标文件作出的处理。</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 xml:space="preserve">                       投 标 人：</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盖章</w:t>
      </w:r>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项目负责人：</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（签字）</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u w:val="single"/>
          <w:lang w:val="en-US" w:eastAsia="zh-CN"/>
        </w:rPr>
      </w:pPr>
      <w:r>
        <w:rPr>
          <w:rFonts w:hint="eastAsia" w:ascii="方正仿宋_GB2312" w:hAnsi="方正仿宋_GB2312" w:eastAsia="方正仿宋_GB2312" w:cs="方正仿宋_GB2312"/>
          <w:sz w:val="32"/>
          <w:szCs w:val="32"/>
          <w:lang w:val="en-US" w:eastAsia="zh-CN"/>
        </w:rPr>
        <w:t xml:space="preserve">   </w:t>
      </w:r>
      <w:r>
        <w:rPr>
          <w:rFonts w:hint="eastAsia" w:ascii="方正仿宋_GB2312" w:hAnsi="方正仿宋_GB2312" w:eastAsia="方正仿宋_GB2312" w:cs="方正仿宋_GB2312"/>
          <w:sz w:val="32"/>
          <w:szCs w:val="32"/>
        </w:rPr>
        <w:t>身份证号码：</w:t>
      </w:r>
      <w:r>
        <w:rPr>
          <w:rFonts w:hint="eastAsia" w:ascii="方正仿宋_GB2312" w:hAnsi="方正仿宋_GB2312" w:eastAsia="方正仿宋_GB2312" w:cs="方正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right"/>
        <w:textAlignment w:val="auto"/>
        <w:rPr>
          <w:rFonts w:hint="eastAsia" w:ascii="方正仿宋_GB2312" w:hAnsi="方正仿宋_GB2312" w:eastAsia="方正仿宋_GB2312" w:cs="方正仿宋_GB2312"/>
          <w:sz w:val="32"/>
          <w:szCs w:val="32"/>
          <w:u w:val="single"/>
        </w:rPr>
      </w:pPr>
      <w:r>
        <w:rPr>
          <w:rFonts w:hint="eastAsia" w:ascii="方正仿宋_GB2312" w:hAnsi="方正仿宋_GB2312" w:eastAsia="方正仿宋_GB2312" w:cs="方正仿宋_GB2312"/>
          <w:sz w:val="32"/>
          <w:szCs w:val="32"/>
        </w:rPr>
        <w:t>手机号码：</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u w:val="single"/>
          <w:lang w:val="en-US" w:eastAsia="zh-CN"/>
        </w:rPr>
        <w:t xml:space="preserve">             </w:t>
      </w:r>
      <w:r>
        <w:rPr>
          <w:rFonts w:hint="eastAsia" w:ascii="方正仿宋_GB2312" w:hAnsi="方正仿宋_GB2312" w:eastAsia="方正仿宋_GB2312" w:cs="方正仿宋_GB2312"/>
          <w:sz w:val="32"/>
          <w:szCs w:val="32"/>
          <w:u w:val="none"/>
        </w:rPr>
        <w:t>（必填）</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日</w:t>
      </w:r>
    </w:p>
    <w:p>
      <w:pPr>
        <w:pageBreakBefore w:val="0"/>
        <w:kinsoku/>
        <w:bidi w:val="0"/>
        <w:spacing w:before="240" w:beforeLines="100" w:after="240" w:afterLines="100"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before="240" w:beforeLines="100" w:after="240" w:afterLines="100"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before="240" w:beforeLines="100" w:after="240" w:afterLines="100"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before="240" w:beforeLines="100" w:after="240" w:afterLines="100"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before="240" w:beforeLines="100" w:after="240" w:afterLines="100"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before="240" w:beforeLines="100" w:after="240" w:afterLines="100" w:line="440" w:lineRule="exact"/>
        <w:ind w:firstLine="0" w:firstLineChars="0"/>
        <w:jc w:val="left"/>
        <w:rPr>
          <w:rFonts w:hint="eastAsia" w:ascii="方正仿宋_GB2312" w:hAnsi="方正仿宋_GB2312" w:eastAsia="方正仿宋_GB2312" w:cs="方正仿宋_GB2312"/>
          <w:sz w:val="32"/>
          <w:szCs w:val="32"/>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br w:type="page"/>
      </w: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center"/>
        <w:textAlignment w:val="baseline"/>
        <w:outlineLvl w:val="2"/>
        <w:rPr>
          <w:rFonts w:hint="eastAsia" w:ascii="方正仿宋_GB2312" w:hAnsi="方正仿宋_GB2312" w:eastAsia="方正仿宋_GB2312" w:cs="方正仿宋_GB2312"/>
          <w:b/>
          <w:bCs/>
          <w:color w:val="auto"/>
          <w:kern w:val="2"/>
          <w:sz w:val="32"/>
          <w:szCs w:val="32"/>
          <w:lang w:val="en-US" w:eastAsia="zh-CN" w:bidi="ar-SA"/>
        </w:rPr>
      </w:pPr>
      <w:bookmarkStart w:id="1898" w:name="_Toc14327"/>
      <w:r>
        <w:rPr>
          <w:rFonts w:hint="eastAsia" w:ascii="方正仿宋_GB2312" w:hAnsi="方正仿宋_GB2312" w:eastAsia="方正仿宋_GB2312" w:cs="方正仿宋_GB2312"/>
          <w:b/>
          <w:bCs/>
          <w:color w:val="auto"/>
          <w:kern w:val="2"/>
          <w:sz w:val="32"/>
          <w:szCs w:val="32"/>
          <w:lang w:val="en-US" w:eastAsia="zh-CN" w:bidi="ar-SA"/>
        </w:rPr>
        <w:t>6、近年完成的类似工程业绩表</w:t>
      </w:r>
      <w:bookmarkEnd w:id="1898"/>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4"/>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序号</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项目名称</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项目所在地</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发包人名称</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发包人地址</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发包人联系人</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及电话</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合同价格</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开工日期</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竣工日期</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承担的工作</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工程质量</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项目负责人</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技术负责人</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总监理工程师</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及电话</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项目描述</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注：</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1、类似项目指与发包工程建设规模相似、结构类型、使用功能相同的</w:t>
      </w:r>
      <w:r>
        <w:rPr>
          <w:rFonts w:hint="eastAsia" w:ascii="方正仿宋_GB2312" w:hAnsi="方正仿宋_GB2312" w:eastAsia="方正仿宋_GB2312" w:cs="方正仿宋_GB2312"/>
          <w:b/>
          <w:bCs/>
          <w:sz w:val="32"/>
          <w:szCs w:val="32"/>
          <w:lang w:val="en-US" w:eastAsia="zh-CN"/>
        </w:rPr>
        <w:t>房屋建筑和市政基础设施工程</w:t>
      </w:r>
      <w:r>
        <w:rPr>
          <w:rFonts w:hint="eastAsia" w:ascii="方正仿宋_GB2312" w:hAnsi="方正仿宋_GB2312" w:eastAsia="方正仿宋_GB2312" w:cs="方正仿宋_GB2312"/>
          <w:b/>
          <w:bCs/>
          <w:sz w:val="32"/>
          <w:szCs w:val="32"/>
        </w:rPr>
        <w:t>项目。</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left"/>
        <w:textAlignment w:val="auto"/>
        <w:rPr>
          <w:rFonts w:hint="eastAsia" w:ascii="方正仿宋_GB2312" w:hAnsi="方正仿宋_GB2312" w:eastAsia="方正仿宋_GB2312" w:cs="方正仿宋_GB2312"/>
          <w:b/>
          <w:bCs/>
          <w:sz w:val="32"/>
          <w:szCs w:val="32"/>
          <w:lang w:eastAsia="zh-CN"/>
        </w:rPr>
      </w:pPr>
      <w:r>
        <w:rPr>
          <w:rFonts w:hint="eastAsia" w:ascii="方正仿宋_GB2312" w:hAnsi="方正仿宋_GB2312" w:eastAsia="方正仿宋_GB2312" w:cs="方正仿宋_GB2312"/>
          <w:b/>
          <w:bCs/>
          <w:sz w:val="32"/>
          <w:szCs w:val="32"/>
        </w:rPr>
        <w:t>2、本表后附中标通知书</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如有</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或发包通知书</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如有</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合同协议书、工程接收证书</w:t>
      </w:r>
      <w:r>
        <w:rPr>
          <w:rFonts w:hint="eastAsia" w:ascii="方正仿宋_GB2312" w:hAnsi="方正仿宋_GB2312" w:eastAsia="方正仿宋_GB2312" w:cs="方正仿宋_GB2312"/>
          <w:b/>
          <w:bCs/>
          <w:sz w:val="32"/>
          <w:szCs w:val="32"/>
          <w:lang w:val="en-US" w:eastAsia="zh-CN"/>
        </w:rPr>
        <w:t>或</w:t>
      </w:r>
      <w:r>
        <w:rPr>
          <w:rFonts w:hint="eastAsia" w:ascii="方正仿宋_GB2312" w:hAnsi="方正仿宋_GB2312" w:eastAsia="方正仿宋_GB2312" w:cs="方正仿宋_GB2312"/>
          <w:b/>
          <w:bCs/>
          <w:sz w:val="32"/>
          <w:szCs w:val="32"/>
        </w:rPr>
        <w:t>工程竣工验收证书</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表</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的</w:t>
      </w:r>
      <w:r>
        <w:rPr>
          <w:rFonts w:hint="eastAsia" w:ascii="方正仿宋_GB2312" w:hAnsi="方正仿宋_GB2312" w:eastAsia="方正仿宋_GB2312" w:cs="方正仿宋_GB2312"/>
          <w:b/>
          <w:bCs/>
          <w:sz w:val="32"/>
          <w:szCs w:val="32"/>
          <w:lang w:val="en-US" w:eastAsia="zh-CN"/>
        </w:rPr>
        <w:t>扫描</w:t>
      </w:r>
      <w:r>
        <w:rPr>
          <w:rFonts w:hint="eastAsia" w:ascii="方正仿宋_GB2312" w:hAnsi="方正仿宋_GB2312" w:eastAsia="方正仿宋_GB2312" w:cs="方正仿宋_GB2312"/>
          <w:b/>
          <w:bCs/>
          <w:sz w:val="32"/>
          <w:szCs w:val="32"/>
        </w:rPr>
        <w:t>件，具体年份要求见投标人须知前附表。每张表格只填写一个项目，并标明序号</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示例：序号2-1，2是指投标人此次投标共填报2项类似工程业绩，1是指投标人2项业绩中的第1项类似工程业绩，依次类推2-1，2-2</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w:t>
      </w: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center"/>
        <w:textAlignment w:val="baseline"/>
        <w:outlineLvl w:val="2"/>
        <w:rPr>
          <w:rFonts w:hint="eastAsia" w:ascii="方正仿宋_GB2312" w:hAnsi="方正仿宋_GB2312" w:eastAsia="方正仿宋_GB2312" w:cs="方正仿宋_GB2312"/>
          <w:b/>
          <w:bCs/>
          <w:color w:val="auto"/>
          <w:kern w:val="2"/>
          <w:sz w:val="32"/>
          <w:szCs w:val="32"/>
          <w:lang w:val="en-US" w:eastAsia="zh-CN" w:bidi="ar-SA"/>
        </w:rPr>
      </w:pPr>
      <w:bookmarkStart w:id="1899" w:name="_Toc23497"/>
      <w:r>
        <w:rPr>
          <w:rFonts w:hint="eastAsia" w:ascii="方正仿宋_GB2312" w:hAnsi="方正仿宋_GB2312" w:eastAsia="方正仿宋_GB2312" w:cs="方正仿宋_GB2312"/>
          <w:b/>
          <w:bCs/>
          <w:color w:val="auto"/>
          <w:kern w:val="2"/>
          <w:sz w:val="32"/>
          <w:szCs w:val="32"/>
          <w:lang w:val="en-US" w:eastAsia="zh-CN" w:bidi="ar-SA"/>
        </w:rPr>
        <w:t>7、拟分包项目情况表</w:t>
      </w:r>
      <w:bookmarkEnd w:id="1899"/>
    </w:p>
    <w:tbl>
      <w:tblPr>
        <w:tblStyle w:val="43"/>
        <w:tblpPr w:leftFromText="180" w:rightFromText="180" w:vertAnchor="text" w:horzAnchor="margin" w:tblpXSpec="center" w:tblpY="5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2415"/>
        <w:gridCol w:w="2019"/>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分包人名称</w:t>
            </w:r>
          </w:p>
        </w:tc>
        <w:tc>
          <w:tcPr>
            <w:tcW w:w="241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c>
          <w:tcPr>
            <w:tcW w:w="2019"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地 址</w:t>
            </w:r>
          </w:p>
        </w:tc>
        <w:tc>
          <w:tcPr>
            <w:tcW w:w="2394"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w:t>
            </w:r>
          </w:p>
        </w:tc>
        <w:tc>
          <w:tcPr>
            <w:tcW w:w="241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c>
          <w:tcPr>
            <w:tcW w:w="2019"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电 话</w:t>
            </w:r>
          </w:p>
        </w:tc>
        <w:tc>
          <w:tcPr>
            <w:tcW w:w="2394"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统一社会信用代码</w:t>
            </w:r>
          </w:p>
        </w:tc>
        <w:tc>
          <w:tcPr>
            <w:tcW w:w="241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c>
          <w:tcPr>
            <w:tcW w:w="2019"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资质等级</w:t>
            </w:r>
          </w:p>
        </w:tc>
        <w:tc>
          <w:tcPr>
            <w:tcW w:w="2394"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拟分包的工程项目</w:t>
            </w:r>
          </w:p>
        </w:tc>
        <w:tc>
          <w:tcPr>
            <w:tcW w:w="241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主 要 内 容</w:t>
            </w:r>
          </w:p>
        </w:tc>
        <w:tc>
          <w:tcPr>
            <w:tcW w:w="2019"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预计造价</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（万元）</w:t>
            </w:r>
          </w:p>
        </w:tc>
        <w:tc>
          <w:tcPr>
            <w:tcW w:w="2394"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有关业绩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41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1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394"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t>注：本表所列分包仅限于承包人自行施工范围内的非主体、非关键工程。</w:t>
      </w: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center"/>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br w:type="page"/>
      </w: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center"/>
        <w:textAlignment w:val="baseline"/>
        <w:outlineLvl w:val="2"/>
        <w:rPr>
          <w:rFonts w:hint="eastAsia" w:ascii="方正仿宋_GB2312" w:hAnsi="方正仿宋_GB2312" w:eastAsia="方正仿宋_GB2312" w:cs="方正仿宋_GB2312"/>
          <w:b/>
          <w:bCs/>
          <w:color w:val="auto"/>
          <w:kern w:val="2"/>
          <w:sz w:val="32"/>
          <w:szCs w:val="32"/>
          <w:lang w:val="en-US" w:eastAsia="zh-CN" w:bidi="ar-SA"/>
        </w:rPr>
      </w:pPr>
      <w:bookmarkStart w:id="1900" w:name="_Toc31792"/>
      <w:r>
        <w:rPr>
          <w:rFonts w:hint="eastAsia" w:ascii="方正仿宋_GB2312" w:hAnsi="方正仿宋_GB2312" w:eastAsia="方正仿宋_GB2312" w:cs="方正仿宋_GB2312"/>
          <w:b/>
          <w:bCs/>
          <w:color w:val="auto"/>
          <w:kern w:val="2"/>
          <w:sz w:val="32"/>
          <w:szCs w:val="32"/>
          <w:lang w:val="en-US" w:eastAsia="zh-CN" w:bidi="ar-SA"/>
        </w:rPr>
        <w:t>7、资格审查资料</w:t>
      </w:r>
      <w:bookmarkEnd w:id="1900"/>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center"/>
        <w:textAlignment w:val="baseline"/>
        <w:outlineLvl w:val="2"/>
        <w:rPr>
          <w:rFonts w:hint="eastAsia" w:ascii="方正仿宋_GB2312" w:hAnsi="方正仿宋_GB2312" w:eastAsia="方正仿宋_GB2312" w:cs="方正仿宋_GB2312"/>
          <w:b/>
          <w:bCs/>
          <w:color w:val="auto"/>
          <w:kern w:val="2"/>
          <w:sz w:val="32"/>
          <w:szCs w:val="32"/>
          <w:lang w:val="en-US" w:eastAsia="zh-CN" w:bidi="ar-SA"/>
        </w:rPr>
      </w:pPr>
      <w:bookmarkStart w:id="1901" w:name="_Toc13138"/>
      <w:r>
        <w:rPr>
          <w:rFonts w:hint="eastAsia" w:ascii="方正仿宋_GB2312" w:hAnsi="方正仿宋_GB2312" w:eastAsia="方正仿宋_GB2312" w:cs="方正仿宋_GB2312"/>
          <w:b/>
          <w:bCs/>
          <w:color w:val="auto"/>
          <w:kern w:val="2"/>
          <w:sz w:val="32"/>
          <w:szCs w:val="32"/>
          <w:lang w:val="en-US" w:eastAsia="zh-CN" w:bidi="ar-SA"/>
        </w:rPr>
        <w:t>（适用于资格后审）</w:t>
      </w:r>
      <w:bookmarkEnd w:id="1901"/>
    </w:p>
    <w:p>
      <w:pPr>
        <w:pageBreakBefore w:val="0"/>
        <w:kinsoku/>
        <w:bidi w:val="0"/>
        <w:spacing w:before="156" w:beforeLines="50" w:after="312" w:afterLines="100" w:line="440" w:lineRule="exact"/>
        <w:ind w:firstLine="0" w:firstLineChars="0"/>
        <w:jc w:val="center"/>
        <w:outlineLvl w:val="3"/>
        <w:rPr>
          <w:rFonts w:hint="eastAsia" w:ascii="方正仿宋_GB2312" w:hAnsi="方正仿宋_GB2312" w:eastAsia="方正仿宋_GB2312" w:cs="方正仿宋_GB2312"/>
          <w:b/>
          <w:bCs/>
          <w:color w:val="auto"/>
          <w:kern w:val="2"/>
          <w:sz w:val="32"/>
          <w:szCs w:val="32"/>
          <w:lang w:val="en-US" w:eastAsia="zh-CN" w:bidi="ar-SA"/>
        </w:rPr>
      </w:pPr>
      <w:bookmarkStart w:id="1902" w:name="_Toc20765"/>
      <w:r>
        <w:rPr>
          <w:rFonts w:hint="eastAsia" w:ascii="方正仿宋_GB2312" w:hAnsi="方正仿宋_GB2312" w:eastAsia="方正仿宋_GB2312" w:cs="方正仿宋_GB2312"/>
          <w:b/>
          <w:bCs/>
          <w:color w:val="auto"/>
          <w:kern w:val="2"/>
          <w:sz w:val="32"/>
          <w:szCs w:val="32"/>
          <w:lang w:val="en-US" w:eastAsia="zh-CN" w:bidi="ar-SA"/>
        </w:rPr>
        <w:t>7.1 投标人基本情况表</w:t>
      </w:r>
      <w:bookmarkEnd w:id="1902"/>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871"/>
        <w:gridCol w:w="845"/>
        <w:gridCol w:w="805"/>
        <w:gridCol w:w="478"/>
        <w:gridCol w:w="1506"/>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投标人名称</w:t>
            </w:r>
          </w:p>
        </w:tc>
        <w:tc>
          <w:tcPr>
            <w:tcW w:w="6630" w:type="dxa"/>
            <w:gridSpan w:val="7"/>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注册地址</w:t>
            </w:r>
          </w:p>
        </w:tc>
        <w:tc>
          <w:tcPr>
            <w:tcW w:w="2999" w:type="dxa"/>
            <w:gridSpan w:val="4"/>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0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邮政编码</w:t>
            </w:r>
          </w:p>
        </w:tc>
        <w:tc>
          <w:tcPr>
            <w:tcW w:w="2125"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联系方式</w:t>
            </w: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联系人</w:t>
            </w:r>
          </w:p>
        </w:tc>
        <w:tc>
          <w:tcPr>
            <w:tcW w:w="2128" w:type="dxa"/>
            <w:gridSpan w:val="3"/>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0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电  话</w:t>
            </w:r>
          </w:p>
        </w:tc>
        <w:tc>
          <w:tcPr>
            <w:tcW w:w="2125"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传  真</w:t>
            </w:r>
          </w:p>
        </w:tc>
        <w:tc>
          <w:tcPr>
            <w:tcW w:w="2128" w:type="dxa"/>
            <w:gridSpan w:val="3"/>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0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网  址</w:t>
            </w:r>
          </w:p>
        </w:tc>
        <w:tc>
          <w:tcPr>
            <w:tcW w:w="2125"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组织结构</w:t>
            </w:r>
          </w:p>
        </w:tc>
        <w:tc>
          <w:tcPr>
            <w:tcW w:w="6630" w:type="dxa"/>
            <w:gridSpan w:val="7"/>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w:t>
            </w: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姓名</w:t>
            </w:r>
          </w:p>
        </w:tc>
        <w:tc>
          <w:tcPr>
            <w:tcW w:w="84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83"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技术职称</w:t>
            </w:r>
          </w:p>
        </w:tc>
        <w:tc>
          <w:tcPr>
            <w:tcW w:w="150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0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电话</w:t>
            </w:r>
          </w:p>
        </w:tc>
        <w:tc>
          <w:tcPr>
            <w:tcW w:w="141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技术负责人</w:t>
            </w: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姓名</w:t>
            </w:r>
          </w:p>
        </w:tc>
        <w:tc>
          <w:tcPr>
            <w:tcW w:w="84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83"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技术职称</w:t>
            </w:r>
          </w:p>
        </w:tc>
        <w:tc>
          <w:tcPr>
            <w:tcW w:w="150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09"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电话</w:t>
            </w:r>
          </w:p>
        </w:tc>
        <w:tc>
          <w:tcPr>
            <w:tcW w:w="1416"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成立时间</w:t>
            </w:r>
          </w:p>
        </w:tc>
        <w:tc>
          <w:tcPr>
            <w:tcW w:w="1716"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4914" w:type="dxa"/>
            <w:gridSpan w:val="5"/>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企业资质等级</w:t>
            </w: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4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05" w:type="dxa"/>
            <w:vMerge w:val="restart"/>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其中</w:t>
            </w:r>
          </w:p>
        </w:tc>
        <w:tc>
          <w:tcPr>
            <w:tcW w:w="1984"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项目负责人</w:t>
            </w:r>
          </w:p>
        </w:tc>
        <w:tc>
          <w:tcPr>
            <w:tcW w:w="2125"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统一社会信用代码</w:t>
            </w: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4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05"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84"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高级职称人员</w:t>
            </w:r>
          </w:p>
        </w:tc>
        <w:tc>
          <w:tcPr>
            <w:tcW w:w="2125"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注册资金</w:t>
            </w: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4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05"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84"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中级职称人员</w:t>
            </w:r>
          </w:p>
        </w:tc>
        <w:tc>
          <w:tcPr>
            <w:tcW w:w="2125"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开户银行</w:t>
            </w: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4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05"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84"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初级职称人员</w:t>
            </w:r>
          </w:p>
        </w:tc>
        <w:tc>
          <w:tcPr>
            <w:tcW w:w="2125"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账号</w:t>
            </w:r>
          </w:p>
        </w:tc>
        <w:tc>
          <w:tcPr>
            <w:tcW w:w="871"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4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05" w:type="dxa"/>
            <w:vMerge w:val="continue"/>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84"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技  工</w:t>
            </w:r>
          </w:p>
        </w:tc>
        <w:tc>
          <w:tcPr>
            <w:tcW w:w="2125" w:type="dxa"/>
            <w:gridSpan w:val="2"/>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经营范围</w:t>
            </w:r>
          </w:p>
        </w:tc>
        <w:tc>
          <w:tcPr>
            <w:tcW w:w="6630" w:type="dxa"/>
            <w:gridSpan w:val="7"/>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c>
          <w:tcPr>
            <w:tcW w:w="6630" w:type="dxa"/>
            <w:gridSpan w:val="7"/>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注：本表后应附企业法人营业执照、企业资质证书副本、安全生产许可证等材料的</w:t>
      </w:r>
      <w:r>
        <w:rPr>
          <w:rFonts w:hint="eastAsia" w:ascii="方正仿宋_GB2312" w:hAnsi="方正仿宋_GB2312" w:eastAsia="方正仿宋_GB2312" w:cs="方正仿宋_GB2312"/>
          <w:b/>
          <w:bCs/>
          <w:sz w:val="32"/>
          <w:szCs w:val="32"/>
          <w:lang w:val="en-US" w:eastAsia="zh-CN"/>
        </w:rPr>
        <w:t>扫描</w:t>
      </w:r>
      <w:r>
        <w:rPr>
          <w:rFonts w:hint="eastAsia" w:ascii="方正仿宋_GB2312" w:hAnsi="方正仿宋_GB2312" w:eastAsia="方正仿宋_GB2312" w:cs="方正仿宋_GB2312"/>
          <w:b/>
          <w:bCs/>
          <w:sz w:val="32"/>
          <w:szCs w:val="32"/>
        </w:rPr>
        <w:t>件。</w:t>
      </w:r>
    </w:p>
    <w:p>
      <w:pPr>
        <w:pageBreakBefore w:val="0"/>
        <w:kinsoku/>
        <w:bidi w:val="0"/>
        <w:spacing w:before="156" w:beforeLines="50" w:after="312" w:afterLines="100" w:line="440" w:lineRule="exact"/>
        <w:ind w:firstLine="0" w:firstLineChars="0"/>
        <w:jc w:val="center"/>
        <w:outlineLvl w:val="3"/>
        <w:rPr>
          <w:rFonts w:hint="eastAsia" w:ascii="方正仿宋_GB2312" w:hAnsi="方正仿宋_GB2312" w:eastAsia="方正仿宋_GB2312" w:cs="方正仿宋_GB2312"/>
          <w:b/>
          <w:bCs/>
          <w:color w:val="auto"/>
          <w:kern w:val="2"/>
          <w:sz w:val="32"/>
          <w:szCs w:val="32"/>
          <w:lang w:val="en-US" w:eastAsia="zh-CN" w:bidi="ar-SA"/>
        </w:rPr>
      </w:pPr>
      <w:bookmarkStart w:id="1903" w:name="_Toc18842"/>
      <w:r>
        <w:rPr>
          <w:rFonts w:hint="eastAsia" w:ascii="方正仿宋_GB2312" w:hAnsi="方正仿宋_GB2312" w:eastAsia="方正仿宋_GB2312" w:cs="方正仿宋_GB2312"/>
          <w:b/>
          <w:bCs/>
          <w:color w:val="auto"/>
          <w:kern w:val="2"/>
          <w:sz w:val="32"/>
          <w:szCs w:val="32"/>
          <w:lang w:val="en-US" w:eastAsia="zh-CN" w:bidi="ar-SA"/>
        </w:rPr>
        <w:t>7.2 近年财务状况表</w:t>
      </w:r>
      <w:bookmarkEnd w:id="1903"/>
    </w:p>
    <w:p>
      <w:pPr>
        <w:pageBreakBefore w:val="0"/>
        <w:kinsoku/>
        <w:bidi w:val="0"/>
        <w:spacing w:line="440" w:lineRule="exact"/>
        <w:ind w:left="720" w:firstLine="0" w:firstLineChars="0"/>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b w:val="0"/>
          <w:bCs w:val="0"/>
          <w:sz w:val="32"/>
          <w:szCs w:val="32"/>
          <w:highlight w:val="yellow"/>
        </w:rPr>
      </w:pPr>
      <w:r>
        <w:rPr>
          <w:rFonts w:hint="eastAsia" w:ascii="方正仿宋_GB2312" w:hAnsi="方正仿宋_GB2312" w:eastAsia="方正仿宋_GB2312" w:cs="方正仿宋_GB2312"/>
          <w:b w:val="0"/>
          <w:bCs w:val="0"/>
          <w:sz w:val="32"/>
          <w:szCs w:val="32"/>
          <w:lang w:val="en-US" w:eastAsia="zh-CN"/>
        </w:rPr>
        <w:t>说明</w:t>
      </w:r>
      <w:r>
        <w:rPr>
          <w:rFonts w:hint="eastAsia" w:ascii="方正仿宋_GB2312" w:hAnsi="方正仿宋_GB2312" w:eastAsia="方正仿宋_GB2312" w:cs="方正仿宋_GB2312"/>
          <w:b w:val="0"/>
          <w:bCs w:val="0"/>
          <w:sz w:val="32"/>
          <w:szCs w:val="32"/>
        </w:rPr>
        <w:t>：在此附经会计师事务所或审计机构审计的财务财务会计报表，包括资产负债表、现金流量表、利润表和财务情况说明书</w:t>
      </w:r>
      <w:r>
        <w:rPr>
          <w:rFonts w:hint="eastAsia" w:ascii="方正仿宋_GB2312" w:hAnsi="方正仿宋_GB2312" w:eastAsia="方正仿宋_GB2312" w:cs="方正仿宋_GB2312"/>
          <w:b w:val="0"/>
          <w:bCs w:val="0"/>
          <w:sz w:val="32"/>
          <w:szCs w:val="32"/>
          <w:lang w:val="en-US" w:eastAsia="zh-CN"/>
        </w:rPr>
        <w:t>等</w:t>
      </w:r>
      <w:r>
        <w:rPr>
          <w:rFonts w:hint="eastAsia" w:ascii="方正仿宋_GB2312" w:hAnsi="方正仿宋_GB2312" w:eastAsia="方正仿宋_GB2312" w:cs="方正仿宋_GB2312"/>
          <w:b w:val="0"/>
          <w:bCs w:val="0"/>
          <w:sz w:val="32"/>
          <w:szCs w:val="32"/>
        </w:rPr>
        <w:t>的</w:t>
      </w:r>
      <w:r>
        <w:rPr>
          <w:rFonts w:hint="eastAsia" w:ascii="方正仿宋_GB2312" w:hAnsi="方正仿宋_GB2312" w:eastAsia="方正仿宋_GB2312" w:cs="方正仿宋_GB2312"/>
          <w:b w:val="0"/>
          <w:bCs w:val="0"/>
          <w:sz w:val="32"/>
          <w:szCs w:val="32"/>
          <w:lang w:val="en-US" w:eastAsia="zh-CN"/>
        </w:rPr>
        <w:t>扫描</w:t>
      </w:r>
      <w:r>
        <w:rPr>
          <w:rFonts w:hint="eastAsia" w:ascii="方正仿宋_GB2312" w:hAnsi="方正仿宋_GB2312" w:eastAsia="方正仿宋_GB2312" w:cs="方正仿宋_GB2312"/>
          <w:b w:val="0"/>
          <w:bCs w:val="0"/>
          <w:sz w:val="32"/>
          <w:szCs w:val="32"/>
        </w:rPr>
        <w:t>件，</w:t>
      </w:r>
      <w:r>
        <w:rPr>
          <w:rFonts w:hint="eastAsia" w:ascii="方正仿宋_GB2312" w:hAnsi="方正仿宋_GB2312" w:eastAsia="方正仿宋_GB2312" w:cs="方正仿宋_GB2312"/>
          <w:b w:val="0"/>
          <w:bCs w:val="0"/>
          <w:sz w:val="32"/>
          <w:szCs w:val="32"/>
          <w:highlight w:val="none"/>
        </w:rPr>
        <w:t>具体年份要求见第二章“投标人须知”的规定。</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
          <w:bCs/>
          <w:color w:val="auto"/>
          <w:kern w:val="2"/>
          <w:sz w:val="32"/>
          <w:szCs w:val="32"/>
          <w:lang w:val="en-US" w:eastAsia="zh-CN" w:bidi="ar-SA"/>
        </w:rPr>
      </w:pPr>
    </w:p>
    <w:p>
      <w:pPr>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br w:type="page"/>
      </w: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color w:val="auto"/>
          <w:kern w:val="2"/>
          <w:sz w:val="32"/>
          <w:szCs w:val="32"/>
          <w:lang w:val="en-US" w:eastAsia="zh-CN" w:bidi="ar-SA"/>
        </w:rPr>
      </w:pPr>
      <w:bookmarkStart w:id="1904" w:name="_Toc22581"/>
      <w:r>
        <w:rPr>
          <w:rFonts w:hint="eastAsia" w:ascii="方正仿宋_GB2312" w:hAnsi="方正仿宋_GB2312" w:eastAsia="方正仿宋_GB2312" w:cs="方正仿宋_GB2312"/>
          <w:b/>
          <w:bCs/>
          <w:color w:val="auto"/>
          <w:kern w:val="2"/>
          <w:sz w:val="32"/>
          <w:szCs w:val="32"/>
          <w:lang w:val="en-US" w:eastAsia="zh-CN" w:bidi="ar-SA"/>
        </w:rPr>
        <w:t>7.3 近年完成的类似工程业绩表</w:t>
      </w:r>
      <w:bookmarkEnd w:id="1904"/>
    </w:p>
    <w:p>
      <w:pPr>
        <w:pageBreakBefore w:val="0"/>
        <w:kinsoku/>
        <w:bidi w:val="0"/>
        <w:spacing w:line="440" w:lineRule="exact"/>
        <w:ind w:firstLine="0" w:firstLineChars="0"/>
        <w:rPr>
          <w:rFonts w:hint="eastAsia" w:ascii="方正仿宋_GB2312" w:hAnsi="方正仿宋_GB2312" w:eastAsia="方正仿宋_GB2312" w:cs="方正仿宋_GB2312"/>
          <w:b/>
          <w:bCs/>
          <w:color w:val="auto"/>
          <w:kern w:val="2"/>
          <w:sz w:val="32"/>
          <w:szCs w:val="32"/>
          <w:lang w:val="en-US" w:eastAsia="zh-CN" w:bidi="ar-SA"/>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4"/>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序号</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项目名称</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项目所在地</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发包人名称</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发包人地址</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发包人联系人及电话</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合同价格</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开工日期</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竣工日期</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承担的工作</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工程质量</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项目负责人</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技术负责人</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总监理工程师及电话</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项目描述</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81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c>
          <w:tcPr>
            <w:tcW w:w="6094" w:type="dxa"/>
            <w:noWrap w:val="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ageBreakBefore w:val="0"/>
        <w:kinsoku/>
        <w:bidi w:val="0"/>
        <w:spacing w:line="440" w:lineRule="exact"/>
        <w:ind w:firstLine="0" w:firstLineChars="0"/>
        <w:jc w:val="left"/>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注：</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left"/>
        <w:textAlignment w:val="auto"/>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1、类似项目指与发包工程建设规模相似、结构类型、使用功能相同的</w:t>
      </w:r>
      <w:r>
        <w:rPr>
          <w:rFonts w:hint="eastAsia" w:ascii="方正仿宋_GB2312" w:hAnsi="方正仿宋_GB2312" w:eastAsia="方正仿宋_GB2312" w:cs="方正仿宋_GB2312"/>
          <w:b/>
          <w:bCs/>
          <w:sz w:val="32"/>
          <w:szCs w:val="32"/>
          <w:lang w:val="en-US" w:eastAsia="zh-CN"/>
        </w:rPr>
        <w:t>房屋建筑和市政基础设施工程</w:t>
      </w:r>
      <w:r>
        <w:rPr>
          <w:rFonts w:hint="eastAsia" w:ascii="方正仿宋_GB2312" w:hAnsi="方正仿宋_GB2312" w:eastAsia="方正仿宋_GB2312" w:cs="方正仿宋_GB2312"/>
          <w:b/>
          <w:bCs/>
          <w:sz w:val="32"/>
          <w:szCs w:val="32"/>
        </w:rPr>
        <w:t>项目。</w:t>
      </w:r>
    </w:p>
    <w:p>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left"/>
        <w:textAlignment w:val="auto"/>
        <w:rPr>
          <w:rFonts w:hint="eastAsia" w:ascii="方正仿宋_GB2312" w:hAnsi="方正仿宋_GB2312" w:eastAsia="方正仿宋_GB2312" w:cs="方正仿宋_GB2312"/>
          <w:b/>
          <w:bCs/>
          <w:sz w:val="32"/>
          <w:szCs w:val="32"/>
          <w:lang w:eastAsia="zh-CN"/>
        </w:rPr>
      </w:pPr>
      <w:r>
        <w:rPr>
          <w:rFonts w:hint="eastAsia" w:ascii="方正仿宋_GB2312" w:hAnsi="方正仿宋_GB2312" w:eastAsia="方正仿宋_GB2312" w:cs="方正仿宋_GB2312"/>
          <w:b/>
          <w:bCs/>
          <w:sz w:val="32"/>
          <w:szCs w:val="32"/>
        </w:rPr>
        <w:t>2、本表后附中标通知书</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如有</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或发包通知书</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如有</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合同协议书、工程接收证书</w:t>
      </w:r>
      <w:r>
        <w:rPr>
          <w:rFonts w:hint="eastAsia" w:ascii="方正仿宋_GB2312" w:hAnsi="方正仿宋_GB2312" w:eastAsia="方正仿宋_GB2312" w:cs="方正仿宋_GB2312"/>
          <w:b/>
          <w:bCs/>
          <w:sz w:val="32"/>
          <w:szCs w:val="32"/>
          <w:lang w:val="en-US" w:eastAsia="zh-CN"/>
        </w:rPr>
        <w:t>或</w:t>
      </w:r>
      <w:r>
        <w:rPr>
          <w:rFonts w:hint="eastAsia" w:ascii="方正仿宋_GB2312" w:hAnsi="方正仿宋_GB2312" w:eastAsia="方正仿宋_GB2312" w:cs="方正仿宋_GB2312"/>
          <w:b/>
          <w:bCs/>
          <w:sz w:val="32"/>
          <w:szCs w:val="32"/>
        </w:rPr>
        <w:t>工程竣工验收证书</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表</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的</w:t>
      </w:r>
      <w:r>
        <w:rPr>
          <w:rFonts w:hint="eastAsia" w:ascii="方正仿宋_GB2312" w:hAnsi="方正仿宋_GB2312" w:eastAsia="方正仿宋_GB2312" w:cs="方正仿宋_GB2312"/>
          <w:b/>
          <w:bCs/>
          <w:sz w:val="32"/>
          <w:szCs w:val="32"/>
          <w:lang w:val="en-US" w:eastAsia="zh-CN"/>
        </w:rPr>
        <w:t>扫描</w:t>
      </w:r>
      <w:r>
        <w:rPr>
          <w:rFonts w:hint="eastAsia" w:ascii="方正仿宋_GB2312" w:hAnsi="方正仿宋_GB2312" w:eastAsia="方正仿宋_GB2312" w:cs="方正仿宋_GB2312"/>
          <w:b/>
          <w:bCs/>
          <w:sz w:val="32"/>
          <w:szCs w:val="32"/>
        </w:rPr>
        <w:t>件，具体年份要求见投标人须知前附表。每张表格只填写一个项目，并标明序号</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CN"/>
        </w:rPr>
        <w:t>示例：序号2-1，2是指投标人此次投标共填报2项类似工程业绩，1是指投标人2项业绩中的第1项类似工程业绩，依次类推2-1，2-2</w:t>
      </w:r>
      <w:r>
        <w:rPr>
          <w:rFonts w:hint="eastAsia"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rPr>
        <w:t>。</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br w:type="page"/>
      </w:r>
    </w:p>
    <w:p>
      <w:pPr>
        <w:pageBreakBefore w:val="0"/>
        <w:kinsoku/>
        <w:bidi w:val="0"/>
        <w:spacing w:before="156" w:beforeLines="50" w:after="312" w:afterLines="100" w:line="440" w:lineRule="exact"/>
        <w:ind w:firstLine="0" w:firstLineChars="0"/>
        <w:jc w:val="center"/>
        <w:outlineLvl w:val="3"/>
        <w:rPr>
          <w:rFonts w:hint="eastAsia" w:ascii="方正仿宋_GB2312" w:hAnsi="方正仿宋_GB2312" w:eastAsia="方正仿宋_GB2312" w:cs="方正仿宋_GB2312"/>
          <w:b/>
          <w:bCs/>
          <w:color w:val="auto"/>
          <w:kern w:val="2"/>
          <w:sz w:val="32"/>
          <w:szCs w:val="32"/>
          <w:lang w:val="en-US" w:eastAsia="zh-CN" w:bidi="ar-SA"/>
        </w:rPr>
      </w:pPr>
      <w:bookmarkStart w:id="1905" w:name="_Toc15136"/>
      <w:r>
        <w:rPr>
          <w:rFonts w:hint="eastAsia" w:ascii="方正仿宋_GB2312" w:hAnsi="方正仿宋_GB2312" w:eastAsia="方正仿宋_GB2312" w:cs="方正仿宋_GB2312"/>
          <w:b/>
          <w:bCs/>
          <w:color w:val="auto"/>
          <w:kern w:val="2"/>
          <w:sz w:val="32"/>
          <w:szCs w:val="32"/>
          <w:lang w:val="en-US" w:eastAsia="zh-CN" w:bidi="ar-SA"/>
        </w:rPr>
        <w:t>7.4 近年发生的诉讼和仲裁情况</w:t>
      </w:r>
      <w:bookmarkEnd w:id="1905"/>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b w:val="0"/>
          <w:bCs w:val="0"/>
          <w:sz w:val="32"/>
          <w:szCs w:val="32"/>
        </w:rPr>
      </w:pPr>
      <w:r>
        <w:rPr>
          <w:rFonts w:hint="eastAsia" w:ascii="方正仿宋_GB2312" w:hAnsi="方正仿宋_GB2312" w:eastAsia="方正仿宋_GB2312" w:cs="方正仿宋_GB2312"/>
          <w:b w:val="0"/>
          <w:bCs w:val="0"/>
          <w:sz w:val="32"/>
          <w:szCs w:val="32"/>
        </w:rPr>
        <w:t>说明：近年发生的诉讼和仲裁情况仅限于投标人败诉的，且与履行施工承包合同有关的案件，不包括调解结案以及未裁决的仲裁或未终审判决的诉讼。</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before="156" w:beforeLines="50" w:after="312" w:afterLines="100" w:line="440" w:lineRule="exact"/>
        <w:ind w:firstLine="0" w:firstLineChars="0"/>
        <w:jc w:val="center"/>
        <w:outlineLvl w:val="3"/>
        <w:rPr>
          <w:rFonts w:hint="eastAsia" w:ascii="方正仿宋_GB2312" w:hAnsi="方正仿宋_GB2312" w:eastAsia="方正仿宋_GB2312" w:cs="方正仿宋_GB2312"/>
          <w:b/>
          <w:bCs/>
          <w:color w:val="auto"/>
          <w:kern w:val="2"/>
          <w:sz w:val="32"/>
          <w:szCs w:val="32"/>
          <w:lang w:val="en-US" w:eastAsia="zh-CN" w:bidi="ar-SA"/>
        </w:rPr>
      </w:pPr>
      <w:bookmarkStart w:id="1906" w:name="_Toc16730"/>
      <w:r>
        <w:rPr>
          <w:rFonts w:hint="eastAsia" w:ascii="方正仿宋_GB2312" w:hAnsi="方正仿宋_GB2312" w:eastAsia="方正仿宋_GB2312" w:cs="方正仿宋_GB2312"/>
          <w:b/>
          <w:bCs/>
          <w:color w:val="auto"/>
          <w:kern w:val="2"/>
          <w:sz w:val="32"/>
          <w:szCs w:val="32"/>
          <w:lang w:val="en-US" w:eastAsia="zh-CN" w:bidi="ar-SA"/>
        </w:rPr>
        <w:t>7.5 企业其他信誉情况表</w:t>
      </w:r>
      <w:bookmarkEnd w:id="1906"/>
    </w:p>
    <w:p>
      <w:pPr>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br w:type="page"/>
      </w: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center"/>
        <w:textAlignment w:val="baseline"/>
        <w:outlineLvl w:val="2"/>
        <w:rPr>
          <w:rFonts w:hint="eastAsia" w:ascii="方正仿宋_GB2312" w:hAnsi="方正仿宋_GB2312" w:eastAsia="方正仿宋_GB2312" w:cs="方正仿宋_GB2312"/>
          <w:b/>
          <w:bCs/>
          <w:color w:val="auto"/>
          <w:kern w:val="2"/>
          <w:sz w:val="32"/>
          <w:szCs w:val="32"/>
          <w:lang w:val="en-US" w:eastAsia="zh-CN" w:bidi="ar-SA"/>
        </w:rPr>
      </w:pPr>
      <w:bookmarkStart w:id="1907" w:name="_Toc20529"/>
      <w:r>
        <w:rPr>
          <w:rFonts w:hint="eastAsia" w:ascii="方正仿宋_GB2312" w:hAnsi="方正仿宋_GB2312" w:eastAsia="方正仿宋_GB2312" w:cs="方正仿宋_GB2312"/>
          <w:b/>
          <w:bCs/>
          <w:color w:val="auto"/>
          <w:kern w:val="2"/>
          <w:sz w:val="32"/>
          <w:szCs w:val="32"/>
          <w:lang w:val="en-US" w:eastAsia="zh-CN" w:bidi="ar-SA"/>
        </w:rPr>
        <w:t>8、不良行为记录</w:t>
      </w:r>
      <w:bookmarkEnd w:id="1907"/>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640" w:firstLineChars="200"/>
        <w:jc w:val="both"/>
        <w:textAlignment w:val="baseline"/>
        <w:rPr>
          <w:rFonts w:hint="eastAsia" w:ascii="方正仿宋_GB2312" w:hAnsi="方正仿宋_GB2312" w:eastAsia="方正仿宋_GB2312" w:cs="方正仿宋_GB2312"/>
          <w:sz w:val="32"/>
          <w:szCs w:val="32"/>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640" w:firstLineChars="20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sz w:val="32"/>
          <w:szCs w:val="32"/>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Fonts w:hint="eastAsia" w:ascii="方正仿宋_GB2312" w:hAnsi="方正仿宋_GB2312" w:eastAsia="方正仿宋_GB2312" w:cs="方正仿宋_GB2312"/>
          <w:sz w:val="32"/>
          <w:szCs w:val="32"/>
          <w:lang w:val="en-US" w:eastAsia="zh-CN"/>
        </w:rPr>
        <w:t>投标人</w:t>
      </w:r>
      <w:r>
        <w:rPr>
          <w:rFonts w:hint="eastAsia" w:ascii="方正仿宋_GB2312" w:hAnsi="方正仿宋_GB2312" w:eastAsia="方正仿宋_GB2312" w:cs="方正仿宋_GB2312"/>
          <w:sz w:val="32"/>
          <w:szCs w:val="32"/>
        </w:rPr>
        <w:t>应当结合第二章“投标人须知”前附表第10.1.2项定义的范围</w:t>
      </w:r>
      <w:r>
        <w:rPr>
          <w:rFonts w:hint="eastAsia" w:ascii="方正仿宋_GB2312" w:hAnsi="方正仿宋_GB2312" w:eastAsia="方正仿宋_GB2312" w:cs="方正仿宋_GB2312"/>
          <w:sz w:val="32"/>
          <w:szCs w:val="32"/>
          <w:lang w:val="en-US" w:eastAsia="zh-CN"/>
        </w:rPr>
        <w:t>自行承诺</w:t>
      </w:r>
      <w:r>
        <w:rPr>
          <w:rFonts w:hint="eastAsia" w:ascii="方正仿宋_GB2312" w:hAnsi="方正仿宋_GB2312" w:eastAsia="方正仿宋_GB2312" w:cs="方正仿宋_GB2312"/>
          <w:sz w:val="32"/>
          <w:szCs w:val="32"/>
        </w:rPr>
        <w:t>。</w:t>
      </w: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br w:type="page"/>
      </w:r>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center"/>
        <w:textAlignment w:val="baseline"/>
        <w:outlineLvl w:val="2"/>
        <w:rPr>
          <w:rFonts w:hint="eastAsia" w:ascii="方正仿宋_GB2312" w:hAnsi="方正仿宋_GB2312" w:eastAsia="方正仿宋_GB2312" w:cs="方正仿宋_GB2312"/>
          <w:b/>
          <w:bCs/>
          <w:color w:val="auto"/>
          <w:kern w:val="2"/>
          <w:sz w:val="32"/>
          <w:szCs w:val="32"/>
          <w:lang w:val="en-US" w:eastAsia="zh-CN" w:bidi="ar-SA"/>
        </w:rPr>
      </w:pPr>
      <w:bookmarkStart w:id="1908" w:name="_Toc29642"/>
      <w:r>
        <w:rPr>
          <w:rFonts w:hint="eastAsia" w:ascii="方正仿宋_GB2312" w:hAnsi="方正仿宋_GB2312" w:eastAsia="方正仿宋_GB2312" w:cs="方正仿宋_GB2312"/>
          <w:b/>
          <w:bCs/>
          <w:color w:val="auto"/>
          <w:kern w:val="2"/>
          <w:sz w:val="32"/>
          <w:szCs w:val="32"/>
          <w:lang w:val="en-US" w:eastAsia="zh-CN" w:bidi="ar-SA"/>
        </w:rPr>
        <w:t>9、其他投标资料</w:t>
      </w:r>
      <w:bookmarkEnd w:id="1908"/>
    </w:p>
    <w:p>
      <w:pPr>
        <w:pStyle w:val="208"/>
        <w:keepNext w:val="0"/>
        <w:keepLines w:val="0"/>
        <w:pageBreakBefore w:val="0"/>
        <w:widowControl w:val="0"/>
        <w:kinsoku/>
        <w:wordWrap/>
        <w:overflowPunct w:val="0"/>
        <w:topLinePunct w:val="0"/>
        <w:autoSpaceDE w:val="0"/>
        <w:autoSpaceDN w:val="0"/>
        <w:bidi w:val="0"/>
        <w:adjustRightInd w:val="0"/>
        <w:snapToGrid/>
        <w:spacing w:line="440" w:lineRule="exact"/>
        <w:ind w:firstLine="0" w:firstLineChars="0"/>
        <w:jc w:val="both"/>
        <w:textAlignment w:val="baseline"/>
        <w:rPr>
          <w:rFonts w:hint="eastAsia" w:ascii="方正仿宋_GB2312" w:hAnsi="方正仿宋_GB2312" w:eastAsia="方正仿宋_GB2312" w:cs="方正仿宋_GB2312"/>
          <w:b/>
          <w:bCs/>
          <w:color w:val="auto"/>
          <w:kern w:val="2"/>
          <w:sz w:val="32"/>
          <w:szCs w:val="32"/>
          <w:lang w:val="en-US" w:eastAsia="zh-CN" w:bidi="ar-SA"/>
        </w:rPr>
      </w:pPr>
    </w:p>
    <w:p>
      <w:pPr>
        <w:rPr>
          <w:rFonts w:hint="eastAsia" w:ascii="方正仿宋_GB2312" w:hAnsi="方正仿宋_GB2312" w:eastAsia="方正仿宋_GB2312" w:cs="方正仿宋_GB2312"/>
          <w:b/>
          <w:bCs/>
          <w:color w:val="auto"/>
          <w:kern w:val="2"/>
          <w:sz w:val="32"/>
          <w:szCs w:val="32"/>
          <w:lang w:val="en-US" w:eastAsia="zh-CN" w:bidi="ar-SA"/>
        </w:rPr>
      </w:pPr>
    </w:p>
    <w:p>
      <w:pPr>
        <w:pageBreakBefore w:val="0"/>
        <w:kinsoku/>
        <w:bidi w:val="0"/>
        <w:spacing w:before="156" w:beforeLines="50" w:after="312" w:afterLines="100" w:line="440" w:lineRule="exact"/>
        <w:ind w:firstLine="0" w:firstLineChars="0"/>
        <w:jc w:val="center"/>
        <w:outlineLvl w:val="9"/>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t>（年份要求同诉讼及仲裁情况年份要求）</w:t>
      </w:r>
    </w:p>
    <w:p>
      <w:pPr>
        <w:pageBreakBefore w:val="0"/>
        <w:kinsoku/>
        <w:bidi w:val="0"/>
        <w:spacing w:before="156" w:beforeLines="50" w:after="156" w:afterLines="50" w:line="440" w:lineRule="exact"/>
        <w:ind w:left="843" w:firstLine="0" w:firstLineChars="0"/>
        <w:jc w:val="center"/>
        <w:rPr>
          <w:rFonts w:hint="eastAsia" w:ascii="方正仿宋_GB2312" w:hAnsi="方正仿宋_GB2312" w:eastAsia="方正仿宋_GB2312" w:cs="方正仿宋_GB2312"/>
          <w:b/>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0"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1）近年企业不良行为记录情况</w:t>
      </w:r>
    </w:p>
    <w:p>
      <w:pPr>
        <w:keepNext w:val="0"/>
        <w:keepLines w:val="0"/>
        <w:pageBreakBefore w:val="0"/>
        <w:widowControl w:val="0"/>
        <w:kinsoku/>
        <w:wordWrap/>
        <w:overflowPunct/>
        <w:topLinePunct w:val="0"/>
        <w:autoSpaceDE/>
        <w:autoSpaceDN/>
        <w:bidi w:val="0"/>
        <w:adjustRightInd/>
        <w:snapToGrid/>
        <w:spacing w:line="440" w:lineRule="exact"/>
        <w:ind w:left="0"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2）在施工程以及近年已竣工工程合同履行情况</w:t>
      </w:r>
    </w:p>
    <w:p>
      <w:pPr>
        <w:keepNext w:val="0"/>
        <w:keepLines w:val="0"/>
        <w:pageBreakBefore w:val="0"/>
        <w:widowControl w:val="0"/>
        <w:kinsoku/>
        <w:wordWrap/>
        <w:overflowPunct/>
        <w:topLinePunct w:val="0"/>
        <w:autoSpaceDE/>
        <w:autoSpaceDN/>
        <w:bidi w:val="0"/>
        <w:adjustRightInd/>
        <w:snapToGrid/>
        <w:spacing w:line="440" w:lineRule="exact"/>
        <w:ind w:left="0"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其他</w:t>
      </w: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63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left="1080"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1、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Fonts w:hint="eastAsia" w:ascii="方正仿宋_GB2312" w:hAnsi="方正仿宋_GB2312" w:eastAsia="方正仿宋_GB2312" w:cs="方正仿宋_GB2312"/>
          <w:sz w:val="32"/>
          <w:szCs w:val="32"/>
          <w:lang w:val="en-US" w:eastAsia="zh-CN"/>
        </w:rPr>
        <w:t>投标人</w:t>
      </w:r>
      <w:r>
        <w:rPr>
          <w:rFonts w:hint="eastAsia" w:ascii="方正仿宋_GB2312" w:hAnsi="方正仿宋_GB2312" w:eastAsia="方正仿宋_GB2312" w:cs="方正仿宋_GB2312"/>
          <w:sz w:val="32"/>
          <w:szCs w:val="32"/>
        </w:rPr>
        <w:t>应当结合第二章“投标人须知”前附表第10.1.2项定义的范围</w:t>
      </w:r>
      <w:r>
        <w:rPr>
          <w:rFonts w:hint="eastAsia" w:ascii="方正仿宋_GB2312" w:hAnsi="方正仿宋_GB2312" w:eastAsia="方正仿宋_GB2312" w:cs="方正仿宋_GB2312"/>
          <w:sz w:val="32"/>
          <w:szCs w:val="32"/>
          <w:lang w:val="en-US" w:eastAsia="zh-CN"/>
        </w:rPr>
        <w:t>自行承诺</w:t>
      </w:r>
      <w:r>
        <w:rPr>
          <w:rFonts w:hint="eastAsia" w:ascii="方正仿宋_GB2312" w:hAnsi="方正仿宋_GB2312" w:eastAsia="方正仿宋_GB2312" w:cs="方正仿宋_GB2312"/>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2、合同履行情况主要是投标人近年所承接工程和已竣工工程是否按合同约定的工期、质量、安全等履行合同义务，对未竣工工程合同履行情况还应重点说明非不可抗力解除合同（如果有)的原因等具体情况。</w:t>
      </w:r>
    </w:p>
    <w:bookmarkEnd w:id="1894"/>
    <w:bookmarkEnd w:id="1895"/>
    <w:bookmarkEnd w:id="1896"/>
    <w:p>
      <w:pPr>
        <w:pStyle w:val="4"/>
        <w:pageBreakBefore w:val="0"/>
        <w:kinsoku/>
        <w:bidi w:val="0"/>
        <w:spacing w:line="440" w:lineRule="exact"/>
        <w:ind w:firstLine="0" w:firstLineChars="0"/>
        <w:jc w:val="center"/>
        <w:outlineLvl w:val="9"/>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val="0"/>
          <w:bCs w:val="0"/>
          <w:color w:val="000000" w:themeColor="text1"/>
          <w:sz w:val="32"/>
          <w:szCs w:val="32"/>
          <w14:textFill>
            <w14:solidFill>
              <w14:schemeClr w14:val="tx1"/>
            </w14:solidFill>
          </w14:textFill>
        </w:rPr>
        <w:br w:type="page"/>
      </w:r>
    </w:p>
    <w:bookmarkEnd w:id="1897"/>
    <w:p>
      <w:pPr>
        <w:pStyle w:val="4"/>
        <w:pageBreakBefore w:val="0"/>
        <w:kinsoku/>
        <w:bidi w:val="0"/>
        <w:spacing w:line="440" w:lineRule="exact"/>
        <w:ind w:firstLine="0" w:firstLineChars="0"/>
        <w:jc w:val="center"/>
        <w:outlineLvl w:val="9"/>
        <w:rPr>
          <w:rFonts w:hint="eastAsia" w:ascii="方正仿宋_GB2312" w:hAnsi="方正仿宋_GB2312" w:eastAsia="方正仿宋_GB2312" w:cs="方正仿宋_GB2312"/>
          <w:b w:val="0"/>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bCs w:val="0"/>
          <w:color w:val="000000" w:themeColor="text1"/>
          <w:sz w:val="32"/>
          <w:szCs w:val="32"/>
          <w14:textFill>
            <w14:solidFill>
              <w14:schemeClr w14:val="tx1"/>
            </w14:solidFill>
          </w14:textFill>
        </w:rPr>
      </w:pPr>
      <w:bookmarkStart w:id="1909" w:name="_Toc15167"/>
      <w:bookmarkStart w:id="1910" w:name="_Toc8098"/>
      <w:bookmarkStart w:id="1911" w:name="_Toc25233"/>
      <w:bookmarkStart w:id="1912" w:name="_Toc27979"/>
      <w:r>
        <w:rPr>
          <w:rFonts w:hint="eastAsia" w:ascii="方正仿宋_GB2312" w:hAnsi="方正仿宋_GB2312" w:eastAsia="方正仿宋_GB2312" w:cs="方正仿宋_GB2312"/>
          <w:bCs w:val="0"/>
          <w:color w:val="000000" w:themeColor="text1"/>
          <w:sz w:val="32"/>
          <w:szCs w:val="32"/>
          <w14:textFill>
            <w14:solidFill>
              <w14:schemeClr w14:val="tx1"/>
            </w14:solidFill>
          </w14:textFill>
        </w:rPr>
        <w:t>其他资料</w:t>
      </w:r>
      <w:bookmarkEnd w:id="1909"/>
      <w:bookmarkEnd w:id="1910"/>
      <w:bookmarkEnd w:id="1911"/>
      <w:bookmarkEnd w:id="1912"/>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1.招标文件要求提交的其他资料；</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pPr>
      <w:r>
        <w:rPr>
          <w:rFonts w:hint="eastAsia" w:ascii="方正仿宋_GB2312" w:hAnsi="方正仿宋_GB2312" w:eastAsia="方正仿宋_GB2312" w:cs="方正仿宋_GB2312"/>
          <w:color w:val="000000" w:themeColor="text1"/>
          <w:kern w:val="0"/>
          <w:sz w:val="32"/>
          <w:szCs w:val="32"/>
          <w14:textFill>
            <w14:solidFill>
              <w14:schemeClr w14:val="tx1"/>
            </w14:solidFill>
          </w14:textFill>
        </w:rPr>
        <w:t>2.投标人认为有必要提供的其他资料。</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center"/>
        <w:textAlignment w:val="auto"/>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pageBreakBefore w:val="0"/>
        <w:kinsoku/>
        <w:bidi w:val="0"/>
        <w:spacing w:before="156" w:beforeLines="50" w:after="312" w:afterLines="100" w:line="440" w:lineRule="exact"/>
        <w:ind w:firstLine="0" w:firstLineChars="0"/>
        <w:rPr>
          <w:rFonts w:hint="eastAsia" w:ascii="方正仿宋_GB2312" w:hAnsi="方正仿宋_GB2312" w:eastAsia="方正仿宋_GB2312" w:cs="方正仿宋_GB2312"/>
          <w:bCs/>
          <w:sz w:val="32"/>
          <w:szCs w:val="32"/>
        </w:rPr>
      </w:pPr>
      <w:r>
        <w:rPr>
          <w:rFonts w:hint="eastAsia" w:ascii="方正仿宋_GB2312" w:hAnsi="方正仿宋_GB2312" w:eastAsia="方正仿宋_GB2312" w:cs="方正仿宋_GB2312"/>
          <w:color w:val="000000" w:themeColor="text1"/>
          <w:sz w:val="32"/>
          <w:szCs w:val="32"/>
          <w:u w:val="single"/>
          <w14:textFill>
            <w14:solidFill>
              <w14:schemeClr w14:val="tx1"/>
            </w14:solidFill>
          </w14:textFill>
        </w:rPr>
        <w:br w:type="page"/>
      </w: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bookmarkStart w:id="1913" w:name="_Toc14993"/>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widowControl/>
        <w:kinsoku/>
        <w:bidi w:val="0"/>
        <w:spacing w:line="440" w:lineRule="exact"/>
        <w:ind w:firstLine="0" w:firstLineChars="0"/>
        <w:jc w:val="center"/>
        <w:outlineLvl w:val="1"/>
        <w:rPr>
          <w:rFonts w:hint="eastAsia" w:ascii="方正仿宋_GB2312" w:hAnsi="方正仿宋_GB2312" w:eastAsia="方正仿宋_GB2312" w:cs="方正仿宋_GB2312"/>
          <w:b/>
          <w:bCs/>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第二节  技术标格式（暗标）</w:t>
      </w:r>
      <w:bookmarkEnd w:id="1913"/>
    </w:p>
    <w:p>
      <w:pPr>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center"/>
        <w:textAlignment w:val="auto"/>
        <w:outlineLvl w:val="9"/>
        <w:rPr>
          <w:rFonts w:hint="eastAsia" w:ascii="方正仿宋_GB2312" w:hAnsi="方正仿宋_GB2312" w:eastAsia="方正仿宋_GB2312" w:cs="方正仿宋_GB2312"/>
          <w:b/>
          <w:kern w:val="0"/>
          <w:sz w:val="32"/>
          <w:szCs w:val="32"/>
        </w:rPr>
      </w:pPr>
      <w:r>
        <w:rPr>
          <w:rFonts w:hint="eastAsia" w:ascii="方正仿宋_GB2312" w:hAnsi="方正仿宋_GB2312" w:eastAsia="方正仿宋_GB2312" w:cs="方正仿宋_GB2312"/>
          <w:b/>
          <w:kern w:val="0"/>
          <w:sz w:val="32"/>
          <w:szCs w:val="32"/>
        </w:rPr>
        <w:t>（投标文件须按技术标格式目录顺序编写）</w:t>
      </w: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br w:type="page"/>
      </w: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2"/>
          <w:szCs w:val="32"/>
        </w:rPr>
        <w:t>白皮书目录</w:t>
      </w: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197"/>
        <w:keepNext w:val="0"/>
        <w:keepLines w:val="0"/>
        <w:pageBreakBefore w:val="0"/>
        <w:widowControl w:val="0"/>
        <w:numPr>
          <w:ilvl w:val="0"/>
          <w:numId w:val="11"/>
        </w:numPr>
        <w:kinsoku/>
        <w:wordWrap/>
        <w:overflowPunct/>
        <w:topLinePunct w:val="0"/>
        <w:autoSpaceDE w:val="0"/>
        <w:autoSpaceDN w:val="0"/>
        <w:bidi w:val="0"/>
        <w:adjustRightInd/>
        <w:snapToGrid/>
        <w:spacing w:before="42" w:line="440" w:lineRule="exact"/>
        <w:ind w:right="0" w:rightChars="0" w:firstLine="640" w:firstLineChars="200"/>
        <w:jc w:val="left"/>
        <w:textAlignment w:val="auto"/>
        <w:outlineLvl w:val="9"/>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工程概况及特点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1.1 工程建设概况</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1.2 建筑设计特点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1.3 结构设计特点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1.4 设备安装设计特点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1.5 工程施工特点</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1.6 建设地点特征（地理环境因素）</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2. 施工准备工作计划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3. 施工方案</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4. 工程施工进度计划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outlineLvl w:val="9"/>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4.1 施工流水作业横道图/施工进度计划网络图</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5. 施工平面图</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6. 劳动力、材料、施工机械设备等需用量计划</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7. 质量保证措施和体系</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8. 安全保障措施和体系</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 智慧工地系统应用实施方案</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10. 防疫措施</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11. BIM技术应用（如有）</w:t>
      </w:r>
    </w:p>
    <w:p>
      <w:pPr>
        <w:keepNext w:val="0"/>
        <w:keepLines w:val="0"/>
        <w:pageBreakBefore w:val="0"/>
        <w:widowControl w:val="0"/>
        <w:kinsoku/>
        <w:wordWrap/>
        <w:overflowPunct/>
        <w:topLinePunct/>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p>
    <w:p>
      <w:pPr>
        <w:keepNext w:val="0"/>
        <w:keepLines w:val="0"/>
        <w:pageBreakBefore w:val="0"/>
        <w:widowControl w:val="0"/>
        <w:kinsoku/>
        <w:wordWrap/>
        <w:overflowPunct/>
        <w:topLinePunct/>
        <w:bidi w:val="0"/>
        <w:adjustRightInd/>
        <w:snapToGrid/>
        <w:spacing w:line="440" w:lineRule="exact"/>
        <w:ind w:firstLine="640" w:firstLineChars="200"/>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sz w:val="32"/>
          <w:szCs w:val="32"/>
        </w:rPr>
        <w:t>注：</w:t>
      </w:r>
      <w:r>
        <w:rPr>
          <w:rFonts w:hint="eastAsia" w:ascii="方正仿宋_GB2312" w:hAnsi="方正仿宋_GB2312" w:eastAsia="方正仿宋_GB2312" w:cs="方正仿宋_GB2312"/>
          <w:kern w:val="0"/>
          <w:sz w:val="32"/>
          <w:szCs w:val="32"/>
        </w:rPr>
        <w:t>投标文件须按技术标格式目录顺序编写</w:t>
      </w:r>
    </w:p>
    <w:p>
      <w:pPr>
        <w:pageBreakBefore w:val="0"/>
        <w:kinsoku/>
        <w:autoSpaceDE w:val="0"/>
        <w:autoSpaceDN w:val="0"/>
        <w:bidi w:val="0"/>
        <w:adjustRightInd w:val="0"/>
        <w:spacing w:line="440" w:lineRule="exact"/>
        <w:ind w:firstLine="0" w:firstLineChars="0"/>
        <w:rPr>
          <w:rFonts w:hint="eastAsia" w:ascii="方正仿宋_GB2312" w:hAnsi="方正仿宋_GB2312" w:eastAsia="方正仿宋_GB2312" w:cs="方正仿宋_GB2312"/>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kern w:val="0"/>
          <w:sz w:val="32"/>
          <w:szCs w:val="32"/>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widowControl/>
        <w:kinsoku/>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bookmarkStart w:id="1914" w:name="_Toc11194"/>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widowControl/>
        <w:kinsoku/>
        <w:bidi w:val="0"/>
        <w:spacing w:line="440" w:lineRule="exact"/>
        <w:ind w:firstLine="0" w:firstLineChars="0"/>
        <w:jc w:val="center"/>
        <w:outlineLvl w:val="1"/>
        <w:rPr>
          <w:rFonts w:hint="eastAsia" w:ascii="方正仿宋_GB2312" w:hAnsi="方正仿宋_GB2312" w:eastAsia="方正仿宋_GB2312" w:cs="方正仿宋_GB2312"/>
          <w:b/>
          <w:bCs/>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第二节  技术标格式（明标）</w:t>
      </w:r>
      <w:bookmarkEnd w:id="1914"/>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b/>
          <w:bCs/>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b/>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b/>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b/>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b/>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b/>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b/>
          <w:kern w:val="0"/>
          <w:sz w:val="32"/>
          <w:szCs w:val="32"/>
        </w:rPr>
      </w:pPr>
    </w:p>
    <w:p>
      <w:pPr>
        <w:pageBreakBefore w:val="0"/>
        <w:kinsoku/>
        <w:topLinePunct/>
        <w:bidi w:val="0"/>
        <w:spacing w:line="440" w:lineRule="exact"/>
        <w:ind w:left="1800" w:leftChars="857"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kern w:val="0"/>
          <w:sz w:val="32"/>
          <w:szCs w:val="32"/>
          <w:lang w:val="en-US" w:eastAsia="zh-CN" w:bidi="ar-SA"/>
        </w:rPr>
      </w:pPr>
    </w:p>
    <w:p>
      <w:pPr>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br w:type="page"/>
      </w:r>
    </w:p>
    <w:p>
      <w:pPr>
        <w:pStyle w:val="42"/>
        <w:pageBreakBefore w:val="0"/>
        <w:kinsoku/>
        <w:bidi w:val="0"/>
        <w:spacing w:line="440" w:lineRule="exact"/>
        <w:ind w:left="0" w:leftChars="0" w:firstLine="0" w:firstLineChars="0"/>
        <w:jc w:val="center"/>
        <w:outlineLvl w:val="9"/>
        <w:rPr>
          <w:rFonts w:hint="eastAsia" w:ascii="方正仿宋_GB2312" w:hAnsi="方正仿宋_GB2312" w:eastAsia="方正仿宋_GB2312" w:cs="方正仿宋_GB2312"/>
          <w:b/>
          <w:bCs/>
          <w:color w:val="auto"/>
          <w:kern w:val="2"/>
          <w:sz w:val="32"/>
          <w:szCs w:val="32"/>
          <w:lang w:val="en-US" w:eastAsia="zh-CN" w:bidi="ar-SA"/>
        </w:rPr>
      </w:pPr>
      <w:r>
        <w:rPr>
          <w:rFonts w:hint="eastAsia" w:ascii="方正仿宋_GB2312" w:hAnsi="方正仿宋_GB2312" w:eastAsia="方正仿宋_GB2312" w:cs="方正仿宋_GB2312"/>
          <w:b/>
          <w:bCs/>
          <w:color w:val="auto"/>
          <w:kern w:val="2"/>
          <w:sz w:val="32"/>
          <w:szCs w:val="32"/>
          <w:lang w:val="en-US" w:eastAsia="zh-CN" w:bidi="ar-SA"/>
        </w:rPr>
        <w:t>技术标（明标）编制要求</w:t>
      </w:r>
    </w:p>
    <w:p>
      <w:pPr>
        <w:pStyle w:val="42"/>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施工总承包招标控制价在5000万元以下、专业承包招标控制价在1500万元以下、采用“经评审的最低投标价法”的项目，技术标采用明标方式评审，投标人应当根据《自治区房屋建筑和市政基础设施工程施工评标办法（试行）》规定的评审内容编制技术标（明标），具体内容与技术标（暗标）目录一致。评标委员会对于认定不合格的技术标，应当说明原因和依据。</w:t>
      </w:r>
    </w:p>
    <w:p>
      <w:pPr>
        <w:pStyle w:val="42"/>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对于无法律法规及招标文件明确规定，施工工艺、技术指标按照国家、自治区规范满足招标项目施工需要的技术标，不得随意判定不合格。</w:t>
      </w:r>
    </w:p>
    <w:p>
      <w:pPr>
        <w:pStyle w:val="42"/>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b/>
          <w:kern w:val="0"/>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val="0"/>
          <w:bCs w:val="0"/>
          <w:kern w:val="2"/>
          <w:sz w:val="32"/>
          <w:szCs w:val="32"/>
          <w:lang w:val="en-US" w:eastAsia="zh-CN" w:bidi="ar-SA"/>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Style w:val="42"/>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p>
    <w:p>
      <w:pPr>
        <w:pageBreakBefore w:val="0"/>
        <w:kinsoku/>
        <w:topLinePunct/>
        <w:bidi w:val="0"/>
        <w:spacing w:line="440" w:lineRule="exact"/>
        <w:ind w:firstLine="0" w:firstLineChars="0"/>
        <w:jc w:val="center"/>
        <w:outlineLvl w:val="1"/>
        <w:rPr>
          <w:rFonts w:hint="eastAsia" w:ascii="方正仿宋_GB2312" w:hAnsi="方正仿宋_GB2312" w:eastAsia="方正仿宋_GB2312" w:cs="方正仿宋_GB2312"/>
          <w:b/>
          <w:bCs/>
          <w:kern w:val="2"/>
          <w:sz w:val="32"/>
          <w:szCs w:val="32"/>
          <w:lang w:val="en-US" w:eastAsia="zh-CN" w:bidi="ar-SA"/>
        </w:rPr>
      </w:pPr>
      <w:bookmarkStart w:id="1915" w:name="_Toc14645"/>
      <w:r>
        <w:rPr>
          <w:rFonts w:hint="eastAsia" w:ascii="方正仿宋_GB2312" w:hAnsi="方正仿宋_GB2312" w:eastAsia="方正仿宋_GB2312" w:cs="方正仿宋_GB2312"/>
          <w:b/>
          <w:bCs/>
          <w:kern w:val="2"/>
          <w:sz w:val="32"/>
          <w:szCs w:val="32"/>
          <w:lang w:val="en-US" w:eastAsia="zh-CN" w:bidi="ar-SA"/>
        </w:rPr>
        <w:t>第三节  经济标格式（明标）</w:t>
      </w:r>
      <w:bookmarkEnd w:id="1915"/>
    </w:p>
    <w:p>
      <w:pPr>
        <w:pageBreakBefore w:val="0"/>
        <w:kinsoku/>
        <w:autoSpaceDE w:val="0"/>
        <w:autoSpaceDN w:val="0"/>
        <w:bidi w:val="0"/>
        <w:adjustRightInd w:val="0"/>
        <w:spacing w:line="440" w:lineRule="exact"/>
        <w:ind w:firstLine="0" w:firstLineChars="0"/>
        <w:jc w:val="center"/>
        <w:rPr>
          <w:rFonts w:hint="eastAsia" w:ascii="方正仿宋_GB2312" w:hAnsi="方正仿宋_GB2312" w:eastAsia="方正仿宋_GB2312" w:cs="方正仿宋_GB2312"/>
          <w:kern w:val="0"/>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both"/>
        <w:rPr>
          <w:rFonts w:hint="eastAsia" w:ascii="方正仿宋_GB2312" w:hAnsi="方正仿宋_GB2312" w:eastAsia="方正仿宋_GB2312" w:cs="方正仿宋_GB2312"/>
          <w:bCs/>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sz w:val="32"/>
          <w:szCs w:val="32"/>
        </w:rPr>
      </w:pP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b/>
          <w:sz w:val="32"/>
          <w:szCs w:val="32"/>
        </w:rPr>
      </w:pPr>
    </w:p>
    <w:p>
      <w:pPr>
        <w:rPr>
          <w:rFonts w:hint="eastAsia" w:ascii="方正仿宋_GB2312" w:hAnsi="方正仿宋_GB2312" w:eastAsia="方正仿宋_GB2312" w:cs="方正仿宋_GB2312"/>
          <w:b/>
          <w:sz w:val="32"/>
          <w:szCs w:val="32"/>
        </w:rPr>
      </w:pPr>
    </w:p>
    <w:p>
      <w:pPr>
        <w:pageBreakBefore w:val="0"/>
        <w:kinsoku/>
        <w:topLinePunct/>
        <w:bidi w:val="0"/>
        <w:spacing w:line="440" w:lineRule="exact"/>
        <w:ind w:firstLine="0" w:firstLineChars="0"/>
        <w:jc w:val="center"/>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sz w:val="32"/>
          <w:szCs w:val="32"/>
        </w:rPr>
        <w:t>目</w:t>
      </w:r>
      <w:r>
        <w:rPr>
          <w:rFonts w:hint="eastAsia" w:ascii="方正小标宋简体" w:hAnsi="方正小标宋简体" w:eastAsia="方正小标宋简体" w:cs="方正小标宋简体"/>
          <w:b w:val="0"/>
          <w:bCs/>
          <w:sz w:val="32"/>
          <w:szCs w:val="32"/>
          <w:lang w:val="en-US" w:eastAsia="zh-CN"/>
        </w:rPr>
        <w:t xml:space="preserve"> </w:t>
      </w:r>
      <w:r>
        <w:rPr>
          <w:rFonts w:hint="eastAsia" w:ascii="方正小标宋简体" w:hAnsi="方正小标宋简体" w:eastAsia="方正小标宋简体" w:cs="方正小标宋简体"/>
          <w:b w:val="0"/>
          <w:bCs/>
          <w:sz w:val="32"/>
          <w:szCs w:val="32"/>
        </w:rPr>
        <w:t>录</w:t>
      </w:r>
    </w:p>
    <w:p>
      <w:pPr>
        <w:pageBreakBefore w:val="0"/>
        <w:kinsoku/>
        <w:topLinePunct/>
        <w:bidi w:val="0"/>
        <w:spacing w:line="440" w:lineRule="exact"/>
        <w:ind w:firstLine="0" w:firstLineChars="0"/>
        <w:jc w:val="center"/>
        <w:rPr>
          <w:rFonts w:hint="eastAsia" w:ascii="方正仿宋_GB2312" w:hAnsi="方正仿宋_GB2312" w:eastAsia="方正仿宋_GB2312" w:cs="方正仿宋_GB2312"/>
          <w:kern w:val="0"/>
          <w:sz w:val="32"/>
          <w:szCs w:val="32"/>
          <w:lang w:val="en-US" w:eastAsia="zh-CN" w:bidi="ar-SA"/>
        </w:rPr>
      </w:pP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bookmarkStart w:id="1916" w:name="_BookMark_19"/>
      <w:r>
        <w:rPr>
          <w:rFonts w:hint="eastAsia" w:ascii="方正仿宋_GB2312" w:hAnsi="方正仿宋_GB2312" w:eastAsia="方正仿宋_GB2312" w:cs="方正仿宋_GB2312"/>
          <w:kern w:val="0"/>
          <w:sz w:val="32"/>
          <w:szCs w:val="32"/>
          <w:lang w:val="en-US" w:eastAsia="zh-CN" w:bidi="ar-SA"/>
        </w:rPr>
        <w:t xml:space="preserve">1. </w:t>
      </w:r>
      <w:r>
        <w:rPr>
          <w:rFonts w:hint="eastAsia" w:ascii="方正仿宋_GB2312" w:hAnsi="方正仿宋_GB2312" w:eastAsia="方正仿宋_GB2312" w:cs="方正仿宋_GB2312"/>
          <w:b w:val="0"/>
          <w:bCs w:val="0"/>
          <w:kern w:val="2"/>
          <w:sz w:val="32"/>
          <w:szCs w:val="32"/>
          <w:lang w:val="en-US" w:eastAsia="zh-CN" w:bidi="ar-SA"/>
        </w:rPr>
        <w:t>投标总价单（工程量清单投标总价封面）</w:t>
      </w:r>
    </w:p>
    <w:p>
      <w:pPr>
        <w:pStyle w:val="197"/>
        <w:keepNext w:val="0"/>
        <w:keepLines w:val="0"/>
        <w:pageBreakBefore w:val="0"/>
        <w:widowControl w:val="0"/>
        <w:numPr>
          <w:ilvl w:val="0"/>
          <w:numId w:val="11"/>
        </w:numPr>
        <w:kinsoku/>
        <w:wordWrap/>
        <w:overflowPunct/>
        <w:topLinePunct w:val="0"/>
        <w:autoSpaceDE w:val="0"/>
        <w:autoSpaceDN w:val="0"/>
        <w:bidi w:val="0"/>
        <w:adjustRightInd/>
        <w:snapToGrid/>
        <w:spacing w:before="42" w:line="440" w:lineRule="exact"/>
        <w:ind w:left="0"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报价总说明；</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3. 建设项目投标报价汇总表；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4. 单项工程投标报价汇总表；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5. 单位工程投标报价汇总表；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6. 分部分项工程和单价措施项目清单与计价表；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7. 综合单价分析表；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8. 总价措施项目清单与计价表；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 其他项目清单与计价汇总表；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9.1 暂列金额明细表；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9.2 材料（工程设备）暂估单价及调整表；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9.3 专业工程暂估价及结算价表；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9.4 计日工表；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9.5 总承包服务费计价表；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10. 规费、税金项目计价表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11. 发包人提供材料和工程设备一览表；</w:t>
      </w: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12. 承包人提供主要材料和工程设备一览表。</w:t>
      </w:r>
    </w:p>
    <w:bookmarkEnd w:id="1916"/>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p>
    <w:p>
      <w:pPr>
        <w:pStyle w:val="197"/>
        <w:keepNext w:val="0"/>
        <w:keepLines w:val="0"/>
        <w:pageBreakBefore w:val="0"/>
        <w:widowControl w:val="0"/>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注：1.投标人编制经济标严格按照本招标文件提供的表格填列，并不得改动表中的任何地方，表格顺序也不得变动，否则按重大偏差处理。</w:t>
      </w:r>
    </w:p>
    <w:p>
      <w:pPr>
        <w:pStyle w:val="197"/>
        <w:keepNext w:val="0"/>
        <w:keepLines w:val="0"/>
        <w:pageBreakBefore w:val="0"/>
        <w:widowControl w:val="0"/>
        <w:numPr>
          <w:ilvl w:val="0"/>
          <w:numId w:val="12"/>
        </w:numPr>
        <w:kinsoku/>
        <w:wordWrap/>
        <w:overflowPunct/>
        <w:topLinePunct w:val="0"/>
        <w:autoSpaceDE w:val="0"/>
        <w:autoSpaceDN w:val="0"/>
        <w:bidi w:val="0"/>
        <w:adjustRightInd/>
        <w:snapToGrid/>
        <w:spacing w:before="42" w:line="440" w:lineRule="exact"/>
        <w:ind w:left="4" w:leftChars="0" w:right="0" w:rightChars="0" w:firstLine="640" w:firstLineChars="200"/>
        <w:jc w:val="left"/>
        <w:textAlignment w:val="auto"/>
        <w:outlineLvl w:val="9"/>
        <w:rPr>
          <w:rFonts w:hint="eastAsia" w:ascii="方正仿宋_GB2312" w:hAnsi="方正仿宋_GB2312" w:eastAsia="方正仿宋_GB2312" w:cs="方正仿宋_GB2312"/>
          <w:kern w:val="0"/>
          <w:sz w:val="32"/>
          <w:szCs w:val="32"/>
          <w:lang w:val="en-US" w:eastAsia="zh-CN" w:bidi="ar-SA"/>
        </w:rPr>
      </w:pPr>
      <w:r>
        <w:rPr>
          <w:rFonts w:hint="eastAsia" w:ascii="方正仿宋_GB2312" w:hAnsi="方正仿宋_GB2312" w:eastAsia="方正仿宋_GB2312" w:cs="方正仿宋_GB2312"/>
          <w:kern w:val="0"/>
          <w:sz w:val="32"/>
          <w:szCs w:val="32"/>
          <w:lang w:val="en-US" w:eastAsia="zh-CN" w:bidi="ar-SA"/>
        </w:rPr>
        <w:t>如某一表格招标项目不使用，应在附表旁标注本标段不使用。</w:t>
      </w:r>
    </w:p>
    <w:p>
      <w:pPr>
        <w:pStyle w:val="4"/>
        <w:pageBreakBefore w:val="0"/>
        <w:kinsoku/>
        <w:bidi w:val="0"/>
        <w:spacing w:line="440" w:lineRule="exact"/>
        <w:ind w:firstLine="0" w:firstLineChars="0"/>
        <w:jc w:val="center"/>
        <w:outlineLvl w:val="9"/>
        <w:rPr>
          <w:rFonts w:hint="eastAsia" w:ascii="方正仿宋_GB2312" w:hAnsi="方正仿宋_GB2312" w:eastAsia="方正仿宋_GB2312" w:cs="方正仿宋_GB2312"/>
          <w:bCs w:val="0"/>
          <w:color w:val="000000" w:themeColor="text1"/>
          <w:sz w:val="32"/>
          <w:szCs w:val="32"/>
          <w:lang w:eastAsia="zh-CN"/>
          <w14:textFill>
            <w14:solidFill>
              <w14:schemeClr w14:val="tx1"/>
            </w14:solidFill>
          </w14:textFill>
        </w:rPr>
      </w:pPr>
    </w:p>
    <w:p>
      <w:pPr>
        <w:rPr>
          <w:rFonts w:hint="eastAsia" w:ascii="方正仿宋_GB2312" w:hAnsi="方正仿宋_GB2312" w:eastAsia="方正仿宋_GB2312" w:cs="方正仿宋_GB2312"/>
          <w:bCs w:val="0"/>
          <w:color w:val="000000" w:themeColor="text1"/>
          <w:sz w:val="32"/>
          <w:szCs w:val="32"/>
          <w:lang w:eastAsia="zh-CN"/>
          <w14:textFill>
            <w14:solidFill>
              <w14:schemeClr w14:val="tx1"/>
            </w14:solidFill>
          </w14:textFill>
        </w:rPr>
      </w:pPr>
      <w:bookmarkStart w:id="1917" w:name="_Toc21034"/>
      <w:r>
        <w:rPr>
          <w:rFonts w:hint="eastAsia" w:ascii="方正仿宋_GB2312" w:hAnsi="方正仿宋_GB2312" w:eastAsia="方正仿宋_GB2312" w:cs="方正仿宋_GB2312"/>
          <w:bCs w:val="0"/>
          <w:color w:val="000000" w:themeColor="text1"/>
          <w:sz w:val="32"/>
          <w:szCs w:val="32"/>
          <w:lang w:eastAsia="zh-CN"/>
          <w14:textFill>
            <w14:solidFill>
              <w14:schemeClr w14:val="tx1"/>
            </w14:solidFill>
          </w14:textFill>
        </w:rPr>
        <w:br w:type="page"/>
      </w:r>
    </w:p>
    <w:p>
      <w:pPr>
        <w:pageBreakBefore w:val="0"/>
        <w:kinsoku/>
        <w:bidi w:val="0"/>
        <w:spacing w:line="440" w:lineRule="exact"/>
        <w:ind w:firstLine="0" w:firstLineChars="0"/>
        <w:jc w:val="center"/>
        <w:outlineLvl w:val="2"/>
        <w:rPr>
          <w:rFonts w:hint="eastAsia" w:ascii="方正仿宋_GB2312" w:hAnsi="方正仿宋_GB2312" w:eastAsia="方正仿宋_GB2312" w:cs="方正仿宋_GB2312"/>
          <w:bCs w:val="0"/>
          <w:color w:val="000000" w:themeColor="text1"/>
          <w:sz w:val="32"/>
          <w:szCs w:val="32"/>
          <w:lang w:eastAsia="zh-CN"/>
          <w14:textFill>
            <w14:solidFill>
              <w14:schemeClr w14:val="tx1"/>
            </w14:solidFill>
          </w14:textFill>
        </w:rPr>
      </w:pPr>
      <w:bookmarkStart w:id="1918" w:name="_Toc6544"/>
      <w:r>
        <w:rPr>
          <w:rFonts w:hint="eastAsia" w:ascii="方正仿宋_GB2312" w:hAnsi="方正仿宋_GB2312" w:eastAsia="方正仿宋_GB2312" w:cs="方正仿宋_GB2312"/>
          <w:bCs w:val="0"/>
          <w:color w:val="000000" w:themeColor="text1"/>
          <w:sz w:val="32"/>
          <w:szCs w:val="32"/>
          <w:lang w:eastAsia="zh-CN"/>
          <w14:textFill>
            <w14:solidFill>
              <w14:schemeClr w14:val="tx1"/>
            </w14:solidFill>
          </w14:textFill>
        </w:rPr>
        <w:t>投标总价单</w:t>
      </w:r>
      <w:bookmarkEnd w:id="1917"/>
      <w:bookmarkEnd w:id="1918"/>
    </w:p>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bCs/>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招标人：</w:t>
      </w:r>
      <w:r>
        <w:rPr>
          <w:rFonts w:hint="eastAsia" w:ascii="方正仿宋_GB2312" w:hAnsi="方正仿宋_GB2312" w:eastAsia="方正仿宋_GB2312" w:cs="方正仿宋_GB2312"/>
          <w:sz w:val="32"/>
          <w:szCs w:val="32"/>
          <w:u w:val="single"/>
        </w:rPr>
        <w:t>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工程名称：</w:t>
      </w:r>
      <w:r>
        <w:rPr>
          <w:rFonts w:hint="eastAsia" w:ascii="方正仿宋_GB2312" w:hAnsi="方正仿宋_GB2312" w:eastAsia="方正仿宋_GB2312" w:cs="方正仿宋_GB2312"/>
          <w:sz w:val="32"/>
          <w:szCs w:val="32"/>
          <w:u w:val="single"/>
        </w:rPr>
        <w:t>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投标总价(小写)：</w:t>
      </w:r>
      <w:r>
        <w:rPr>
          <w:rFonts w:hint="eastAsia" w:ascii="方正仿宋_GB2312" w:hAnsi="方正仿宋_GB2312" w:eastAsia="方正仿宋_GB2312" w:cs="方正仿宋_GB2312"/>
          <w:sz w:val="32"/>
          <w:szCs w:val="32"/>
          <w:u w:val="single"/>
        </w:rPr>
        <w:t>　　　　　　　　　　　　　　　　　　　　　　　　　　</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(大写)：</w:t>
      </w:r>
      <w:r>
        <w:rPr>
          <w:rFonts w:hint="eastAsia" w:ascii="方正仿宋_GB2312" w:hAnsi="方正仿宋_GB2312" w:eastAsia="方正仿宋_GB2312" w:cs="方正仿宋_GB2312"/>
          <w:sz w:val="32"/>
          <w:szCs w:val="32"/>
          <w:u w:val="single"/>
        </w:rPr>
        <w:t>　　　　　　　　　　　　　　　　　　　　　　　　　　</w:t>
      </w:r>
    </w:p>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投标人：</w:t>
      </w:r>
      <w:r>
        <w:rPr>
          <w:rFonts w:hint="eastAsia" w:ascii="方正仿宋_GB2312" w:hAnsi="方正仿宋_GB2312" w:eastAsia="方正仿宋_GB2312" w:cs="方正仿宋_GB2312"/>
          <w:sz w:val="32"/>
          <w:szCs w:val="32"/>
          <w:u w:val="single"/>
        </w:rPr>
        <w:t>　　　　　　　　　　　　　　　　　　　　　　　　　　　　　　</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(单位盖章)</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法定代表人：</w:t>
      </w:r>
      <w:r>
        <w:rPr>
          <w:rFonts w:hint="eastAsia" w:ascii="方正仿宋_GB2312" w:hAnsi="方正仿宋_GB2312" w:eastAsia="方正仿宋_GB2312" w:cs="方正仿宋_GB2312"/>
          <w:sz w:val="32"/>
          <w:szCs w:val="32"/>
          <w:u w:val="single"/>
        </w:rPr>
        <w:t>　　　　　　　　　　　　　　　　　　　　　　　　　　　　</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签字或</w:t>
      </w:r>
      <w:r>
        <w:rPr>
          <w:rFonts w:hint="eastAsia" w:ascii="方正仿宋_GB2312" w:hAnsi="方正仿宋_GB2312" w:eastAsia="方正仿宋_GB2312" w:cs="方正仿宋_GB2312"/>
          <w:sz w:val="32"/>
          <w:szCs w:val="32"/>
        </w:rPr>
        <w:t>盖章)</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编制人：</w:t>
      </w:r>
      <w:r>
        <w:rPr>
          <w:rFonts w:hint="eastAsia" w:ascii="方正仿宋_GB2312" w:hAnsi="方正仿宋_GB2312" w:eastAsia="方正仿宋_GB2312" w:cs="方正仿宋_GB2312"/>
          <w:sz w:val="32"/>
          <w:szCs w:val="32"/>
          <w:u w:val="single"/>
        </w:rPr>
        <w:t>　　　　　　　　　　　　　　　　　　　　　　　　　　　　　　</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(造价人员盖专用章)</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tabs>
          <w:tab w:val="left" w:pos="6420"/>
        </w:tabs>
        <w:kinsoku/>
        <w:bidi w:val="0"/>
        <w:spacing w:line="440" w:lineRule="exact"/>
        <w:ind w:firstLine="0" w:firstLineChars="0"/>
        <w:jc w:val="left"/>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ab/>
      </w:r>
    </w:p>
    <w:p>
      <w:pPr>
        <w:pageBreakBefore w:val="0"/>
        <w:kinsoku/>
        <w:bidi w:val="0"/>
        <w:spacing w:line="440" w:lineRule="exact"/>
        <w:ind w:firstLine="0" w:firstLineChars="0"/>
        <w:jc w:val="center"/>
        <w:outlineLvl w:val="9"/>
        <w:rPr>
          <w:rFonts w:hint="eastAsia" w:ascii="方正仿宋_GB2312" w:hAnsi="方正仿宋_GB2312" w:eastAsia="方正仿宋_GB2312" w:cs="方正仿宋_GB2312"/>
          <w:kern w:val="0"/>
          <w:sz w:val="32"/>
          <w:szCs w:val="32"/>
          <w:lang w:val="en-US" w:eastAsia="zh-CN" w:bidi="ar-SA"/>
        </w:rPr>
      </w:pPr>
      <w:bookmarkStart w:id="1919" w:name="_Toc30165"/>
      <w:r>
        <w:rPr>
          <w:rFonts w:hint="eastAsia" w:ascii="方正仿宋_GB2312" w:hAnsi="方正仿宋_GB2312" w:eastAsia="方正仿宋_GB2312" w:cs="方正仿宋_GB2312"/>
          <w:b w:val="0"/>
          <w:bCs w:val="0"/>
          <w:sz w:val="32"/>
          <w:szCs w:val="32"/>
        </w:rPr>
        <w:t>时间：　　　　年　　月　　日</w:t>
      </w:r>
      <w:bookmarkEnd w:id="1919"/>
    </w:p>
    <w:p>
      <w:pPr>
        <w:pageBreakBefore w:val="0"/>
        <w:kinsoku/>
        <w:bidi w:val="0"/>
        <w:spacing w:line="440" w:lineRule="exact"/>
        <w:ind w:firstLine="0" w:firstLineChars="0"/>
        <w:jc w:val="both"/>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pPr>
        <w:rPr>
          <w:rFonts w:hint="eastAsia" w:ascii="方正仿宋_GB2312" w:hAnsi="方正仿宋_GB2312" w:eastAsia="方正仿宋_GB2312" w:cs="方正仿宋_GB2312"/>
          <w:sz w:val="32"/>
          <w:szCs w:val="32"/>
          <w:lang w:val="en-US" w:eastAsia="zh-CN"/>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sz w:val="32"/>
          <w:szCs w:val="32"/>
          <w:lang w:val="en-US" w:eastAsia="zh-CN"/>
          <w14:textOutline w14:w="3831" w14:cap="flat" w14:cmpd="sng">
            <w14:solidFill>
              <w14:srgbClr w14:val="000000"/>
            </w14:solidFill>
            <w14:prstDash w14:val="solid"/>
            <w14:miter w14:val="0"/>
          </w14:textOutline>
        </w:rPr>
        <w:br w:type="page"/>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0" w:name="_Toc6926"/>
      <w:r>
        <w:rPr>
          <w:rFonts w:hint="eastAsia" w:ascii="方正仿宋_GB2312" w:hAnsi="方正仿宋_GB2312" w:eastAsia="方正仿宋_GB2312" w:cs="方正仿宋_GB2312"/>
          <w:b/>
          <w:bCs/>
          <w:spacing w:val="-6"/>
          <w:sz w:val="32"/>
          <w:szCs w:val="32"/>
          <w:lang w:val="en-US" w:eastAsia="zh-CN"/>
        </w:rPr>
        <w:t>报价总说明</w:t>
      </w:r>
      <w:bookmarkEnd w:id="1920"/>
    </w:p>
    <w:p>
      <w:pPr>
        <w:pStyle w:val="17"/>
        <w:pageBreakBefore w:val="0"/>
        <w:kinsoku/>
        <w:bidi w:val="0"/>
        <w:spacing w:before="177" w:line="440" w:lineRule="exact"/>
        <w:ind w:left="385"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6"/>
          <w:sz w:val="32"/>
          <w:szCs w:val="32"/>
        </w:rPr>
        <w:t xml:space="preserve">工程名称：                                第  页    </w:t>
      </w:r>
      <w:r>
        <w:rPr>
          <w:rFonts w:hint="eastAsia" w:ascii="方正仿宋_GB2312" w:hAnsi="方正仿宋_GB2312" w:eastAsia="方正仿宋_GB2312" w:cs="方正仿宋_GB2312"/>
          <w:spacing w:val="-7"/>
          <w:sz w:val="32"/>
          <w:szCs w:val="32"/>
        </w:rPr>
        <w:t>共</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7"/>
          <w:sz w:val="32"/>
          <w:szCs w:val="32"/>
        </w:rPr>
        <w:t>页</w:t>
      </w:r>
    </w:p>
    <w:tbl>
      <w:tblPr>
        <w:tblStyle w:val="210"/>
        <w:tblW w:w="87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2" w:hRule="atLeast"/>
        </w:trPr>
        <w:tc>
          <w:tcPr>
            <w:tcW w:w="8797" w:type="dxa"/>
            <w:tcBorders>
              <w:bottom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before="68" w:line="440" w:lineRule="exact"/>
              <w:ind w:left="219" w:firstLine="0" w:firstLineChars="0"/>
              <w:rPr>
                <w:rFonts w:hint="eastAsia" w:ascii="方正仿宋_GB2312" w:hAnsi="方正仿宋_GB2312" w:eastAsia="方正仿宋_GB2312" w:cs="方正仿宋_GB2312"/>
                <w:sz w:val="32"/>
                <w:szCs w:val="32"/>
              </w:rPr>
            </w:pPr>
          </w:p>
        </w:tc>
      </w:tr>
    </w:tbl>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1" w:name="_Toc14354"/>
      <w:r>
        <w:rPr>
          <w:rFonts w:hint="eastAsia" w:ascii="方正仿宋_GB2312" w:hAnsi="方正仿宋_GB2312" w:eastAsia="方正仿宋_GB2312" w:cs="方正仿宋_GB2312"/>
          <w:b/>
          <w:bCs/>
          <w:spacing w:val="-6"/>
          <w:sz w:val="32"/>
          <w:szCs w:val="32"/>
          <w:lang w:val="en-US" w:eastAsia="zh-CN"/>
        </w:rPr>
        <w:t>建设项目投标报价汇总表</w:t>
      </w:r>
      <w:bookmarkEnd w:id="1921"/>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17"/>
        <w:pageBreakBefore w:val="0"/>
        <w:kinsoku/>
        <w:bidi w:val="0"/>
        <w:spacing w:before="68" w:line="440" w:lineRule="exact"/>
        <w:ind w:left="478"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13"/>
          <w:sz w:val="32"/>
          <w:szCs w:val="32"/>
        </w:rPr>
        <w:t>页</w:t>
      </w:r>
    </w:p>
    <w:tbl>
      <w:tblPr>
        <w:tblStyle w:val="210"/>
        <w:tblW w:w="87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3443"/>
        <w:gridCol w:w="1356"/>
        <w:gridCol w:w="1115"/>
        <w:gridCol w:w="1341"/>
        <w:gridCol w:w="7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45" w:type="dxa"/>
            <w:vMerge w:val="restart"/>
            <w:tcBorders>
              <w:bottom w:val="single" w:color="000000" w:sz="4" w:space="0"/>
            </w:tcBorders>
            <w:vAlign w:val="center"/>
          </w:tcPr>
          <w:p>
            <w:pPr>
              <w:pageBreakBefore w:val="0"/>
              <w:kinsoku/>
              <w:bidi w:val="0"/>
              <w:spacing w:before="69"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序号</w:t>
            </w:r>
          </w:p>
        </w:tc>
        <w:tc>
          <w:tcPr>
            <w:tcW w:w="3443" w:type="dxa"/>
            <w:vMerge w:val="restart"/>
            <w:tcBorders>
              <w:bottom w:val="single" w:color="000000" w:sz="4" w:space="0"/>
            </w:tcBorders>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单项工程名称</w:t>
            </w:r>
          </w:p>
        </w:tc>
        <w:tc>
          <w:tcPr>
            <w:tcW w:w="1356" w:type="dxa"/>
            <w:vMerge w:val="restart"/>
            <w:tcBorders>
              <w:bottom w:val="single" w:color="000000" w:sz="4" w:space="0"/>
            </w:tcBorders>
            <w:vAlign w:val="center"/>
          </w:tcPr>
          <w:p>
            <w:pPr>
              <w:pageBreakBefore w:val="0"/>
              <w:kinsoku/>
              <w:bidi w:val="0"/>
              <w:spacing w:before="68" w:line="440" w:lineRule="exact"/>
              <w:ind w:left="106"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金额（元）</w:t>
            </w:r>
          </w:p>
        </w:tc>
        <w:tc>
          <w:tcPr>
            <w:tcW w:w="3218"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其中：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745"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3443"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1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暂估价</w:t>
            </w:r>
          </w:p>
        </w:tc>
        <w:tc>
          <w:tcPr>
            <w:tcW w:w="1341" w:type="dxa"/>
            <w:vAlign w:val="center"/>
          </w:tcPr>
          <w:p>
            <w:pPr>
              <w:pageBreakBefore w:val="0"/>
              <w:kinsoku/>
              <w:bidi w:val="0"/>
              <w:spacing w:before="168" w:line="440" w:lineRule="exact"/>
              <w:ind w:firstLine="0" w:firstLineChars="0"/>
              <w:jc w:val="center"/>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2"/>
                <w:sz w:val="32"/>
                <w:szCs w:val="32"/>
              </w:rPr>
              <w:t>安全文明</w:t>
            </w:r>
          </w:p>
          <w:p>
            <w:pPr>
              <w:pageBreakBefore w:val="0"/>
              <w:kinsoku/>
              <w:bidi w:val="0"/>
              <w:spacing w:before="168"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施工费</w:t>
            </w:r>
          </w:p>
        </w:tc>
        <w:tc>
          <w:tcPr>
            <w:tcW w:w="762"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规费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3" w:hRule="atLeast"/>
        </w:trPr>
        <w:tc>
          <w:tcPr>
            <w:tcW w:w="745" w:type="dxa"/>
            <w:tcBorders>
              <w:top w:val="single" w:color="000000" w:sz="4" w:space="0"/>
              <w:bottom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3443" w:type="dxa"/>
            <w:tcBorders>
              <w:top w:val="single" w:color="000000" w:sz="4" w:space="0"/>
              <w:bottom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356" w:type="dxa"/>
            <w:tcBorders>
              <w:top w:val="single" w:color="000000" w:sz="4" w:space="0"/>
              <w:bottom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15" w:type="dxa"/>
            <w:vAlign w:val="top"/>
          </w:tcPr>
          <w:p>
            <w:pPr>
              <w:pageBreakBefore w:val="0"/>
              <w:kinsoku/>
              <w:bidi w:val="0"/>
              <w:spacing w:before="68" w:line="440" w:lineRule="exact"/>
              <w:ind w:left="117" w:firstLine="0" w:firstLineChars="0"/>
              <w:rPr>
                <w:rFonts w:hint="eastAsia" w:ascii="方正仿宋_GB2312" w:hAnsi="方正仿宋_GB2312" w:eastAsia="方正仿宋_GB2312" w:cs="方正仿宋_GB2312"/>
                <w:spacing w:val="-3"/>
                <w:sz w:val="32"/>
                <w:szCs w:val="32"/>
              </w:rPr>
            </w:pPr>
          </w:p>
        </w:tc>
        <w:tc>
          <w:tcPr>
            <w:tcW w:w="1341" w:type="dxa"/>
            <w:vAlign w:val="top"/>
          </w:tcPr>
          <w:p>
            <w:pPr>
              <w:pageBreakBefore w:val="0"/>
              <w:kinsoku/>
              <w:bidi w:val="0"/>
              <w:spacing w:line="440" w:lineRule="exact"/>
              <w:ind w:left="402" w:firstLine="0" w:firstLineChars="0"/>
              <w:rPr>
                <w:rFonts w:hint="eastAsia" w:ascii="方正仿宋_GB2312" w:hAnsi="方正仿宋_GB2312" w:eastAsia="方正仿宋_GB2312" w:cs="方正仿宋_GB2312"/>
                <w:spacing w:val="-1"/>
                <w:sz w:val="32"/>
                <w:szCs w:val="32"/>
              </w:rPr>
            </w:pPr>
          </w:p>
        </w:tc>
        <w:tc>
          <w:tcPr>
            <w:tcW w:w="762" w:type="dxa"/>
            <w:vAlign w:val="top"/>
          </w:tcPr>
          <w:p>
            <w:pPr>
              <w:pageBreakBefore w:val="0"/>
              <w:kinsoku/>
              <w:bidi w:val="0"/>
              <w:spacing w:before="68" w:line="440" w:lineRule="exact"/>
              <w:ind w:left="219" w:firstLine="0" w:firstLineChars="0"/>
              <w:rPr>
                <w:rFonts w:hint="eastAsia" w:ascii="方正仿宋_GB2312" w:hAnsi="方正仿宋_GB2312" w:eastAsia="方正仿宋_GB2312" w:cs="方正仿宋_GB2312"/>
                <w:spacing w:val="-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4188" w:type="dxa"/>
            <w:gridSpan w:val="2"/>
            <w:tcBorders>
              <w:top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pacing w:val="-2"/>
                <w:kern w:val="2"/>
                <w:sz w:val="32"/>
                <w:szCs w:val="32"/>
                <w:lang w:val="en-US" w:eastAsia="zh-CN" w:bidi="ar-SA"/>
              </w:rPr>
              <w:t>合计</w:t>
            </w:r>
          </w:p>
        </w:tc>
        <w:tc>
          <w:tcPr>
            <w:tcW w:w="1356" w:type="dxa"/>
            <w:tcBorders>
              <w:top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15" w:type="dxa"/>
            <w:vAlign w:val="top"/>
          </w:tcPr>
          <w:p>
            <w:pPr>
              <w:pageBreakBefore w:val="0"/>
              <w:kinsoku/>
              <w:bidi w:val="0"/>
              <w:spacing w:before="68" w:line="440" w:lineRule="exact"/>
              <w:ind w:left="117" w:firstLine="0" w:firstLineChars="0"/>
              <w:rPr>
                <w:rFonts w:hint="eastAsia" w:ascii="方正仿宋_GB2312" w:hAnsi="方正仿宋_GB2312" w:eastAsia="方正仿宋_GB2312" w:cs="方正仿宋_GB2312"/>
                <w:spacing w:val="-3"/>
                <w:sz w:val="32"/>
                <w:szCs w:val="32"/>
              </w:rPr>
            </w:pPr>
          </w:p>
        </w:tc>
        <w:tc>
          <w:tcPr>
            <w:tcW w:w="1341" w:type="dxa"/>
            <w:vAlign w:val="top"/>
          </w:tcPr>
          <w:p>
            <w:pPr>
              <w:pageBreakBefore w:val="0"/>
              <w:kinsoku/>
              <w:bidi w:val="0"/>
              <w:spacing w:line="440" w:lineRule="exact"/>
              <w:ind w:left="402" w:firstLine="0" w:firstLineChars="0"/>
              <w:rPr>
                <w:rFonts w:hint="eastAsia" w:ascii="方正仿宋_GB2312" w:hAnsi="方正仿宋_GB2312" w:eastAsia="方正仿宋_GB2312" w:cs="方正仿宋_GB2312"/>
                <w:spacing w:val="-1"/>
                <w:sz w:val="32"/>
                <w:szCs w:val="32"/>
              </w:rPr>
            </w:pPr>
          </w:p>
        </w:tc>
        <w:tc>
          <w:tcPr>
            <w:tcW w:w="762" w:type="dxa"/>
            <w:vAlign w:val="top"/>
          </w:tcPr>
          <w:p>
            <w:pPr>
              <w:pageBreakBefore w:val="0"/>
              <w:kinsoku/>
              <w:bidi w:val="0"/>
              <w:spacing w:before="68" w:line="440" w:lineRule="exact"/>
              <w:ind w:left="219" w:firstLine="0" w:firstLineChars="0"/>
              <w:rPr>
                <w:rFonts w:hint="eastAsia" w:ascii="方正仿宋_GB2312" w:hAnsi="方正仿宋_GB2312" w:eastAsia="方正仿宋_GB2312" w:cs="方正仿宋_GB2312"/>
                <w:spacing w:val="-2"/>
                <w:sz w:val="32"/>
                <w:szCs w:val="32"/>
              </w:rPr>
            </w:pPr>
          </w:p>
        </w:tc>
      </w:tr>
    </w:tbl>
    <w:p>
      <w:pPr>
        <w:keepNext w:val="0"/>
        <w:keepLines w:val="0"/>
        <w:pageBreakBefore w:val="0"/>
        <w:widowControl/>
        <w:suppressLineNumbers w:val="0"/>
        <w:kinsoku/>
        <w:bidi w:val="0"/>
        <w:spacing w:line="440" w:lineRule="exact"/>
        <w:ind w:firstLine="0" w:firstLineChars="0"/>
        <w:jc w:val="left"/>
        <w:rPr>
          <w:rFonts w:hint="eastAsia" w:ascii="方正仿宋_GB2312" w:hAnsi="方正仿宋_GB2312" w:eastAsia="方正仿宋_GB2312" w:cs="方正仿宋_GB2312"/>
          <w:color w:val="000000"/>
          <w:kern w:val="0"/>
          <w:sz w:val="32"/>
          <w:szCs w:val="32"/>
          <w:lang w:val="en-US" w:eastAsia="zh-CN" w:bidi="ar"/>
        </w:rPr>
      </w:pPr>
    </w:p>
    <w:p>
      <w:pPr>
        <w:keepNext w:val="0"/>
        <w:keepLines w:val="0"/>
        <w:pageBreakBefore w:val="0"/>
        <w:widowControl/>
        <w:suppressLineNumbers w:val="0"/>
        <w:kinsoku/>
        <w:bidi w:val="0"/>
        <w:spacing w:line="440" w:lineRule="exact"/>
        <w:ind w:firstLine="0" w:firstLineChars="0"/>
        <w:jc w:val="left"/>
        <w:rPr>
          <w:rFonts w:hint="eastAsia" w:ascii="方正仿宋_GB2312" w:hAnsi="方正仿宋_GB2312" w:eastAsia="方正仿宋_GB2312" w:cs="方正仿宋_GB2312"/>
          <w:color w:val="000000"/>
          <w:kern w:val="0"/>
          <w:sz w:val="32"/>
          <w:szCs w:val="32"/>
          <w:lang w:val="en-US" w:eastAsia="zh-CN" w:bidi="ar"/>
        </w:rPr>
      </w:pPr>
      <w:r>
        <w:rPr>
          <w:rFonts w:hint="eastAsia" w:ascii="方正仿宋_GB2312" w:hAnsi="方正仿宋_GB2312" w:eastAsia="方正仿宋_GB2312" w:cs="方正仿宋_GB2312"/>
          <w:color w:val="000000"/>
          <w:kern w:val="0"/>
          <w:sz w:val="32"/>
          <w:szCs w:val="32"/>
          <w:lang w:val="en-US" w:eastAsia="zh-CN" w:bidi="ar"/>
        </w:rPr>
        <w:t>注：本表适用于建设项目投标报价的汇总。</w:t>
      </w:r>
    </w:p>
    <w:p>
      <w:pPr>
        <w:rPr>
          <w:rFonts w:hint="eastAsia" w:ascii="方正仿宋_GB2312" w:hAnsi="方正仿宋_GB2312" w:eastAsia="方正仿宋_GB2312" w:cs="方正仿宋_GB2312"/>
          <w:sz w:val="32"/>
          <w:szCs w:val="32"/>
          <w:lang w:val="en-US" w:eastAsia="zh-CN"/>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sz w:val="32"/>
          <w:szCs w:val="32"/>
          <w:lang w:val="en-US" w:eastAsia="zh-CN"/>
          <w14:textOutline w14:w="3831" w14:cap="flat" w14:cmpd="sng">
            <w14:solidFill>
              <w14:srgbClr w14:val="000000"/>
            </w14:solidFill>
            <w14:prstDash w14:val="solid"/>
            <w14:miter w14:val="0"/>
          </w14:textOutline>
        </w:rPr>
        <w:br w:type="page"/>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2" w:name="_Toc8444"/>
      <w:r>
        <w:rPr>
          <w:rFonts w:hint="eastAsia" w:ascii="方正仿宋_GB2312" w:hAnsi="方正仿宋_GB2312" w:eastAsia="方正仿宋_GB2312" w:cs="方正仿宋_GB2312"/>
          <w:b/>
          <w:bCs/>
          <w:spacing w:val="-6"/>
          <w:sz w:val="32"/>
          <w:szCs w:val="32"/>
          <w:lang w:val="en-US" w:eastAsia="zh-CN"/>
        </w:rPr>
        <w:t>单项工程投标报价汇总表</w:t>
      </w:r>
      <w:bookmarkEnd w:id="1922"/>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17"/>
        <w:pageBreakBefore w:val="0"/>
        <w:kinsoku/>
        <w:bidi w:val="0"/>
        <w:spacing w:before="68" w:line="440" w:lineRule="exact"/>
        <w:ind w:left="478"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13"/>
          <w:sz w:val="32"/>
          <w:szCs w:val="32"/>
        </w:rPr>
        <w:t>页</w:t>
      </w:r>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bl>
      <w:tblPr>
        <w:tblStyle w:val="210"/>
        <w:tblW w:w="878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3464"/>
        <w:gridCol w:w="1496"/>
        <w:gridCol w:w="1017"/>
        <w:gridCol w:w="1186"/>
        <w:gridCol w:w="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45" w:type="dxa"/>
            <w:vMerge w:val="restart"/>
            <w:tcBorders>
              <w:bottom w:val="single" w:color="000000" w:sz="4" w:space="0"/>
            </w:tcBorders>
            <w:vAlign w:val="center"/>
          </w:tcPr>
          <w:p>
            <w:pPr>
              <w:pageBreakBefore w:val="0"/>
              <w:kinsoku/>
              <w:bidi w:val="0"/>
              <w:spacing w:before="69" w:line="440" w:lineRule="exact"/>
              <w:ind w:left="165" w:firstLine="0" w:firstLineChars="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序号</w:t>
            </w:r>
          </w:p>
        </w:tc>
        <w:tc>
          <w:tcPr>
            <w:tcW w:w="3464" w:type="dxa"/>
            <w:vMerge w:val="restart"/>
            <w:tcBorders>
              <w:bottom w:val="single" w:color="000000" w:sz="4" w:space="0"/>
            </w:tcBorders>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单</w:t>
            </w:r>
            <w:r>
              <w:rPr>
                <w:rFonts w:hint="eastAsia" w:ascii="方正仿宋_GB2312" w:hAnsi="方正仿宋_GB2312" w:eastAsia="方正仿宋_GB2312" w:cs="方正仿宋_GB2312"/>
                <w:spacing w:val="-2"/>
                <w:sz w:val="32"/>
                <w:szCs w:val="32"/>
                <w:lang w:val="en-US" w:eastAsia="zh-CN"/>
              </w:rPr>
              <w:t>位</w:t>
            </w:r>
            <w:r>
              <w:rPr>
                <w:rFonts w:hint="eastAsia" w:ascii="方正仿宋_GB2312" w:hAnsi="方正仿宋_GB2312" w:eastAsia="方正仿宋_GB2312" w:cs="方正仿宋_GB2312"/>
                <w:spacing w:val="-2"/>
                <w:sz w:val="32"/>
                <w:szCs w:val="32"/>
              </w:rPr>
              <w:t>工程名称</w:t>
            </w:r>
          </w:p>
        </w:tc>
        <w:tc>
          <w:tcPr>
            <w:tcW w:w="1496" w:type="dxa"/>
            <w:vMerge w:val="restart"/>
            <w:tcBorders>
              <w:bottom w:val="single" w:color="000000" w:sz="4" w:space="0"/>
            </w:tcBorders>
            <w:vAlign w:val="center"/>
          </w:tcPr>
          <w:p>
            <w:pPr>
              <w:pageBreakBefore w:val="0"/>
              <w:kinsoku/>
              <w:bidi w:val="0"/>
              <w:spacing w:before="68" w:line="440" w:lineRule="exact"/>
              <w:ind w:left="106"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金额（元）</w:t>
            </w:r>
          </w:p>
        </w:tc>
        <w:tc>
          <w:tcPr>
            <w:tcW w:w="3078"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其中：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745"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3464"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6"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1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
                <w:sz w:val="32"/>
                <w:szCs w:val="32"/>
              </w:rPr>
              <w:t>暂估价</w:t>
            </w:r>
          </w:p>
        </w:tc>
        <w:tc>
          <w:tcPr>
            <w:tcW w:w="1186" w:type="dxa"/>
            <w:vAlign w:val="center"/>
          </w:tcPr>
          <w:p>
            <w:pPr>
              <w:pageBreakBefore w:val="0"/>
              <w:kinsoku/>
              <w:bidi w:val="0"/>
              <w:spacing w:before="168" w:line="440" w:lineRule="exact"/>
              <w:ind w:firstLine="0" w:firstLineChars="0"/>
              <w:jc w:val="center"/>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2"/>
                <w:sz w:val="32"/>
                <w:szCs w:val="32"/>
              </w:rPr>
              <w:t>安全文明</w:t>
            </w:r>
          </w:p>
          <w:p>
            <w:pPr>
              <w:pageBreakBefore w:val="0"/>
              <w:kinsoku/>
              <w:bidi w:val="0"/>
              <w:spacing w:before="168"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施工费</w:t>
            </w:r>
          </w:p>
        </w:tc>
        <w:tc>
          <w:tcPr>
            <w:tcW w:w="87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规费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2" w:hRule="atLeast"/>
        </w:trPr>
        <w:tc>
          <w:tcPr>
            <w:tcW w:w="745" w:type="dxa"/>
            <w:tcBorders>
              <w:top w:val="single" w:color="000000" w:sz="4" w:space="0"/>
              <w:bottom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3464" w:type="dxa"/>
            <w:tcBorders>
              <w:top w:val="single" w:color="000000" w:sz="4" w:space="0"/>
              <w:bottom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496" w:type="dxa"/>
            <w:tcBorders>
              <w:top w:val="single" w:color="000000" w:sz="4" w:space="0"/>
              <w:bottom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17" w:type="dxa"/>
            <w:vAlign w:val="top"/>
          </w:tcPr>
          <w:p>
            <w:pPr>
              <w:pageBreakBefore w:val="0"/>
              <w:kinsoku/>
              <w:bidi w:val="0"/>
              <w:spacing w:before="68" w:line="440" w:lineRule="exact"/>
              <w:ind w:left="117" w:firstLine="0" w:firstLineChars="0"/>
              <w:rPr>
                <w:rFonts w:hint="eastAsia" w:ascii="方正仿宋_GB2312" w:hAnsi="方正仿宋_GB2312" w:eastAsia="方正仿宋_GB2312" w:cs="方正仿宋_GB2312"/>
                <w:spacing w:val="-3"/>
                <w:sz w:val="32"/>
                <w:szCs w:val="32"/>
              </w:rPr>
            </w:pPr>
          </w:p>
        </w:tc>
        <w:tc>
          <w:tcPr>
            <w:tcW w:w="1186" w:type="dxa"/>
            <w:vAlign w:val="top"/>
          </w:tcPr>
          <w:p>
            <w:pPr>
              <w:pageBreakBefore w:val="0"/>
              <w:kinsoku/>
              <w:bidi w:val="0"/>
              <w:spacing w:line="440" w:lineRule="exact"/>
              <w:ind w:left="402" w:firstLine="0" w:firstLineChars="0"/>
              <w:rPr>
                <w:rFonts w:hint="eastAsia" w:ascii="方正仿宋_GB2312" w:hAnsi="方正仿宋_GB2312" w:eastAsia="方正仿宋_GB2312" w:cs="方正仿宋_GB2312"/>
                <w:spacing w:val="-1"/>
                <w:sz w:val="32"/>
                <w:szCs w:val="32"/>
              </w:rPr>
            </w:pPr>
          </w:p>
        </w:tc>
        <w:tc>
          <w:tcPr>
            <w:tcW w:w="875" w:type="dxa"/>
            <w:vAlign w:val="top"/>
          </w:tcPr>
          <w:p>
            <w:pPr>
              <w:pageBreakBefore w:val="0"/>
              <w:kinsoku/>
              <w:bidi w:val="0"/>
              <w:spacing w:before="68" w:line="440" w:lineRule="exact"/>
              <w:ind w:left="219" w:firstLine="0" w:firstLineChars="0"/>
              <w:rPr>
                <w:rFonts w:hint="eastAsia" w:ascii="方正仿宋_GB2312" w:hAnsi="方正仿宋_GB2312" w:eastAsia="方正仿宋_GB2312" w:cs="方正仿宋_GB2312"/>
                <w:spacing w:val="-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4209" w:type="dxa"/>
            <w:gridSpan w:val="2"/>
            <w:tcBorders>
              <w:top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pacing w:val="-2"/>
                <w:kern w:val="2"/>
                <w:sz w:val="32"/>
                <w:szCs w:val="32"/>
                <w:lang w:val="en-US" w:eastAsia="zh-CN" w:bidi="ar-SA"/>
              </w:rPr>
              <w:t>合计</w:t>
            </w:r>
          </w:p>
        </w:tc>
        <w:tc>
          <w:tcPr>
            <w:tcW w:w="1496" w:type="dxa"/>
            <w:tcBorders>
              <w:top w:val="single" w:color="000000" w:sz="4" w:space="0"/>
            </w:tcBorders>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17" w:type="dxa"/>
            <w:vAlign w:val="top"/>
          </w:tcPr>
          <w:p>
            <w:pPr>
              <w:pageBreakBefore w:val="0"/>
              <w:kinsoku/>
              <w:bidi w:val="0"/>
              <w:spacing w:before="68" w:line="440" w:lineRule="exact"/>
              <w:ind w:left="117" w:firstLine="0" w:firstLineChars="0"/>
              <w:rPr>
                <w:rFonts w:hint="eastAsia" w:ascii="方正仿宋_GB2312" w:hAnsi="方正仿宋_GB2312" w:eastAsia="方正仿宋_GB2312" w:cs="方正仿宋_GB2312"/>
                <w:spacing w:val="-3"/>
                <w:sz w:val="32"/>
                <w:szCs w:val="32"/>
              </w:rPr>
            </w:pPr>
          </w:p>
        </w:tc>
        <w:tc>
          <w:tcPr>
            <w:tcW w:w="1186" w:type="dxa"/>
            <w:vAlign w:val="top"/>
          </w:tcPr>
          <w:p>
            <w:pPr>
              <w:pageBreakBefore w:val="0"/>
              <w:kinsoku/>
              <w:bidi w:val="0"/>
              <w:spacing w:line="440" w:lineRule="exact"/>
              <w:ind w:left="402" w:firstLine="0" w:firstLineChars="0"/>
              <w:rPr>
                <w:rFonts w:hint="eastAsia" w:ascii="方正仿宋_GB2312" w:hAnsi="方正仿宋_GB2312" w:eastAsia="方正仿宋_GB2312" w:cs="方正仿宋_GB2312"/>
                <w:spacing w:val="-1"/>
                <w:sz w:val="32"/>
                <w:szCs w:val="32"/>
              </w:rPr>
            </w:pPr>
          </w:p>
        </w:tc>
        <w:tc>
          <w:tcPr>
            <w:tcW w:w="875" w:type="dxa"/>
            <w:vAlign w:val="top"/>
          </w:tcPr>
          <w:p>
            <w:pPr>
              <w:pageBreakBefore w:val="0"/>
              <w:kinsoku/>
              <w:bidi w:val="0"/>
              <w:spacing w:before="68" w:line="440" w:lineRule="exact"/>
              <w:ind w:left="219" w:firstLine="0" w:firstLineChars="0"/>
              <w:rPr>
                <w:rFonts w:hint="eastAsia" w:ascii="方正仿宋_GB2312" w:hAnsi="方正仿宋_GB2312" w:eastAsia="方正仿宋_GB2312" w:cs="方正仿宋_GB2312"/>
                <w:spacing w:val="-2"/>
                <w:sz w:val="32"/>
                <w:szCs w:val="32"/>
              </w:rPr>
            </w:pPr>
          </w:p>
        </w:tc>
      </w:tr>
    </w:tbl>
    <w:p>
      <w:pPr>
        <w:keepNext w:val="0"/>
        <w:keepLines w:val="0"/>
        <w:pageBreakBefore w:val="0"/>
        <w:widowControl/>
        <w:suppressLineNumbers w:val="0"/>
        <w:kinsoku/>
        <w:bidi w:val="0"/>
        <w:spacing w:line="440" w:lineRule="exact"/>
        <w:ind w:firstLine="0" w:firstLineChars="0"/>
        <w:jc w:val="left"/>
        <w:rPr>
          <w:rFonts w:hint="eastAsia" w:ascii="方正仿宋_GB2312" w:hAnsi="方正仿宋_GB2312" w:eastAsia="方正仿宋_GB2312" w:cs="方正仿宋_GB2312"/>
          <w:color w:val="000000"/>
          <w:kern w:val="0"/>
          <w:sz w:val="32"/>
          <w:szCs w:val="32"/>
          <w:lang w:val="en-US" w:eastAsia="zh-CN" w:bidi="ar"/>
        </w:rPr>
      </w:pPr>
      <w:r>
        <w:rPr>
          <w:rFonts w:hint="eastAsia" w:ascii="方正仿宋_GB2312" w:hAnsi="方正仿宋_GB2312" w:eastAsia="方正仿宋_GB2312" w:cs="方正仿宋_GB2312"/>
          <w:color w:val="000000"/>
          <w:kern w:val="0"/>
          <w:sz w:val="32"/>
          <w:szCs w:val="32"/>
          <w:lang w:val="en-US" w:eastAsia="zh-CN" w:bidi="ar"/>
        </w:rPr>
        <w:t>注：本表适用于单项工程投标报价的汇总。暂估价包括分部分项工程中的暂估价和专业工程暂估价。</w:t>
      </w:r>
    </w:p>
    <w:p>
      <w:pPr>
        <w:keepNext w:val="0"/>
        <w:keepLines w:val="0"/>
        <w:pageBreakBefore w:val="0"/>
        <w:widowControl/>
        <w:suppressLineNumbers w:val="0"/>
        <w:kinsoku/>
        <w:bidi w:val="0"/>
        <w:spacing w:line="440" w:lineRule="exact"/>
        <w:ind w:firstLine="0" w:firstLineChars="0"/>
        <w:jc w:val="left"/>
        <w:rPr>
          <w:rFonts w:hint="eastAsia" w:ascii="方正仿宋_GB2312" w:hAnsi="方正仿宋_GB2312" w:eastAsia="方正仿宋_GB2312" w:cs="方正仿宋_GB2312"/>
          <w:color w:val="000000"/>
          <w:kern w:val="0"/>
          <w:sz w:val="32"/>
          <w:szCs w:val="32"/>
          <w:lang w:val="en-US" w:eastAsia="zh-CN" w:bidi="ar"/>
        </w:rPr>
      </w:pPr>
    </w:p>
    <w:p>
      <w:pPr>
        <w:rPr>
          <w:rFonts w:hint="eastAsia" w:ascii="方正仿宋_GB2312" w:hAnsi="方正仿宋_GB2312" w:eastAsia="方正仿宋_GB2312" w:cs="方正仿宋_GB2312"/>
          <w:sz w:val="32"/>
          <w:szCs w:val="32"/>
          <w:lang w:val="en-US" w:eastAsia="zh-CN"/>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sz w:val="32"/>
          <w:szCs w:val="32"/>
          <w:lang w:val="en-US" w:eastAsia="zh-CN"/>
          <w14:textOutline w14:w="3831" w14:cap="flat" w14:cmpd="sng">
            <w14:solidFill>
              <w14:srgbClr w14:val="000000"/>
            </w14:solidFill>
            <w14:prstDash w14:val="solid"/>
            <w14:miter w14:val="0"/>
          </w14:textOutline>
        </w:rPr>
        <w:br w:type="page"/>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3" w:name="_Toc30992"/>
      <w:r>
        <w:rPr>
          <w:rFonts w:hint="eastAsia" w:ascii="方正仿宋_GB2312" w:hAnsi="方正仿宋_GB2312" w:eastAsia="方正仿宋_GB2312" w:cs="方正仿宋_GB2312"/>
          <w:b/>
          <w:bCs/>
          <w:spacing w:val="-6"/>
          <w:sz w:val="32"/>
          <w:szCs w:val="32"/>
          <w:lang w:val="en-US" w:eastAsia="zh-CN"/>
        </w:rPr>
        <w:t>单位工程投标报价汇总表</w:t>
      </w:r>
      <w:bookmarkEnd w:id="1923"/>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17"/>
        <w:pageBreakBefore w:val="0"/>
        <w:kinsoku/>
        <w:bidi w:val="0"/>
        <w:spacing w:before="68" w:line="440" w:lineRule="exact"/>
        <w:ind w:left="478" w:firstLine="0" w:firstLineChars="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 xml:space="preserve"> </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 xml:space="preserve"> </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880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4079"/>
        <w:gridCol w:w="1920"/>
        <w:gridCol w:w="2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45" w:type="dxa"/>
            <w:vAlign w:val="center"/>
          </w:tcPr>
          <w:p>
            <w:pPr>
              <w:keepNext w:val="0"/>
              <w:keepLines w:val="0"/>
              <w:pageBreakBefore w:val="0"/>
              <w:widowControl w:val="0"/>
              <w:kinsoku/>
              <w:wordWrap/>
              <w:overflowPunct/>
              <w:topLinePunct w:val="0"/>
              <w:autoSpaceDE/>
              <w:autoSpaceDN/>
              <w:bidi w:val="0"/>
              <w:adjustRightInd/>
              <w:snapToGrid/>
              <w:spacing w:before="214"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序号</w:t>
            </w:r>
          </w:p>
        </w:tc>
        <w:tc>
          <w:tcPr>
            <w:tcW w:w="4079" w:type="dxa"/>
            <w:vAlign w:val="center"/>
          </w:tcPr>
          <w:p>
            <w:pPr>
              <w:keepNext w:val="0"/>
              <w:keepLines w:val="0"/>
              <w:pageBreakBefore w:val="0"/>
              <w:widowControl w:val="0"/>
              <w:kinsoku/>
              <w:wordWrap/>
              <w:overflowPunct/>
              <w:topLinePunct w:val="0"/>
              <w:autoSpaceDE/>
              <w:autoSpaceDN/>
              <w:bidi w:val="0"/>
              <w:adjustRightInd/>
              <w:snapToGrid/>
              <w:spacing w:before="213" w:line="440" w:lineRule="exact"/>
              <w:ind w:firstLine="0" w:firstLineChars="0"/>
              <w:jc w:val="center"/>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
                <w:sz w:val="32"/>
                <w:szCs w:val="32"/>
              </w:rPr>
              <w:t>汇总内容</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before="214" w:line="440" w:lineRule="exact"/>
              <w:ind w:firstLine="0" w:firstLineChars="0"/>
              <w:jc w:val="center"/>
              <w:textAlignment w:val="auto"/>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2"/>
                <w:sz w:val="32"/>
                <w:szCs w:val="32"/>
              </w:rPr>
              <w:t>金额（元）</w:t>
            </w:r>
          </w:p>
        </w:tc>
        <w:tc>
          <w:tcPr>
            <w:tcW w:w="2061" w:type="dxa"/>
            <w:vAlign w:val="center"/>
          </w:tcPr>
          <w:p>
            <w:pPr>
              <w:keepNext w:val="0"/>
              <w:keepLines w:val="0"/>
              <w:pageBreakBefore w:val="0"/>
              <w:widowControl w:val="0"/>
              <w:kinsoku/>
              <w:wordWrap/>
              <w:overflowPunct/>
              <w:topLinePunct w:val="0"/>
              <w:autoSpaceDE/>
              <w:autoSpaceDN/>
              <w:bidi w:val="0"/>
              <w:adjustRightInd/>
              <w:snapToGrid/>
              <w:spacing w:before="214" w:line="440" w:lineRule="exact"/>
              <w:ind w:firstLine="0" w:firstLineChars="0"/>
              <w:jc w:val="center"/>
              <w:textAlignment w:val="auto"/>
              <w:rPr>
                <w:rFonts w:hint="eastAsia" w:ascii="方正仿宋_GB2312" w:hAnsi="方正仿宋_GB2312" w:eastAsia="方正仿宋_GB2312" w:cs="方正仿宋_GB2312"/>
                <w:spacing w:val="-2"/>
                <w:sz w:val="32"/>
                <w:szCs w:val="32"/>
              </w:rPr>
            </w:pPr>
            <w:r>
              <w:rPr>
                <w:rFonts w:hint="eastAsia" w:ascii="方正仿宋_GB2312" w:hAnsi="方正仿宋_GB2312" w:eastAsia="方正仿宋_GB2312" w:cs="方正仿宋_GB2312"/>
                <w:spacing w:val="-2"/>
                <w:sz w:val="32"/>
                <w:szCs w:val="32"/>
              </w:rPr>
              <w:t>其中：暂估价（元）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分部分项工程</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1.1</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1.2</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1.3</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1.4</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1.5</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措施项目</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2.1</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其中：安全文明施工费</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其他项目</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3.1</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其中：暂列金额</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3.2</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其中：专业工程暂估价</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3.3</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其中：计日工</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3.4</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其中：总承包服务费</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规费</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5</w:t>
            </w: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增值税销项税额</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4079" w:type="dxa"/>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投标报价合计=1+2+3+4+5</w:t>
            </w:r>
          </w:p>
        </w:tc>
        <w:tc>
          <w:tcPr>
            <w:tcW w:w="192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06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注：本表适用于单位工程投标报价的汇总， 如无单位工程划分， 单项工程也使用本表汇总。</w:t>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4" w:name="_Toc79"/>
      <w:r>
        <w:rPr>
          <w:rFonts w:hint="eastAsia" w:ascii="方正仿宋_GB2312" w:hAnsi="方正仿宋_GB2312" w:eastAsia="方正仿宋_GB2312" w:cs="方正仿宋_GB2312"/>
          <w:b/>
          <w:bCs/>
          <w:spacing w:val="-6"/>
          <w:sz w:val="32"/>
          <w:szCs w:val="32"/>
          <w:lang w:val="en-US" w:eastAsia="zh-CN"/>
        </w:rPr>
        <w:t>分部分项工程和单价措施项目清单与计价表</w:t>
      </w:r>
      <w:bookmarkEnd w:id="1924"/>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rPr>
          <w:rFonts w:hint="eastAsia" w:ascii="方正仿宋_GB2312" w:hAnsi="方正仿宋_GB2312" w:eastAsia="方正仿宋_GB2312" w:cs="方正仿宋_GB2312"/>
          <w:spacing w:val="-13"/>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9438" w:type="dxa"/>
        <w:tblInd w:w="-4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1050"/>
        <w:gridCol w:w="1146"/>
        <w:gridCol w:w="1432"/>
        <w:gridCol w:w="1159"/>
        <w:gridCol w:w="1228"/>
        <w:gridCol w:w="954"/>
        <w:gridCol w:w="887"/>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00" w:type="dxa"/>
            <w:vMerge w:val="restart"/>
            <w:tcBorders>
              <w:bottom w:val="single" w:color="000000" w:sz="4" w:space="0"/>
            </w:tcBorders>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序号</w:t>
            </w:r>
          </w:p>
        </w:tc>
        <w:tc>
          <w:tcPr>
            <w:tcW w:w="1050" w:type="dxa"/>
            <w:vMerge w:val="restart"/>
            <w:tcBorders>
              <w:bottom w:val="single" w:color="000000" w:sz="4" w:space="0"/>
            </w:tcBorders>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项目编码</w:t>
            </w:r>
          </w:p>
        </w:tc>
        <w:tc>
          <w:tcPr>
            <w:tcW w:w="1146" w:type="dxa"/>
            <w:vMerge w:val="restart"/>
            <w:tcBorders>
              <w:bottom w:val="single" w:color="000000" w:sz="4" w:space="0"/>
            </w:tcBorders>
            <w:vAlign w:val="center"/>
          </w:tcPr>
          <w:p>
            <w:pPr>
              <w:pageBreakBefore w:val="0"/>
              <w:kinsoku/>
              <w:bidi w:val="0"/>
              <w:spacing w:before="69"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项目名称</w:t>
            </w:r>
          </w:p>
        </w:tc>
        <w:tc>
          <w:tcPr>
            <w:tcW w:w="1432" w:type="dxa"/>
            <w:vMerge w:val="restart"/>
            <w:tcBorders>
              <w:bottom w:val="single" w:color="000000" w:sz="4" w:space="0"/>
            </w:tcBorders>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项目</w:t>
            </w:r>
            <w:r>
              <w:rPr>
                <w:rFonts w:hint="eastAsia" w:ascii="方正仿宋_GB2312" w:hAnsi="方正仿宋_GB2312" w:eastAsia="方正仿宋_GB2312" w:cs="方正仿宋_GB2312"/>
                <w:spacing w:val="-2"/>
                <w:sz w:val="32"/>
                <w:szCs w:val="32"/>
                <w:lang w:val="en-US" w:eastAsia="zh-CN"/>
              </w:rPr>
              <w:t>特征</w:t>
            </w:r>
            <w:r>
              <w:rPr>
                <w:rFonts w:hint="eastAsia" w:ascii="方正仿宋_GB2312" w:hAnsi="方正仿宋_GB2312" w:eastAsia="方正仿宋_GB2312" w:cs="方正仿宋_GB2312"/>
                <w:spacing w:val="-2"/>
                <w:kern w:val="2"/>
                <w:sz w:val="32"/>
                <w:szCs w:val="32"/>
                <w:lang w:val="en-US" w:eastAsia="zh-CN" w:bidi="ar-SA"/>
              </w:rPr>
              <w:t>描述</w:t>
            </w:r>
          </w:p>
        </w:tc>
        <w:tc>
          <w:tcPr>
            <w:tcW w:w="1159" w:type="dxa"/>
            <w:vMerge w:val="restart"/>
            <w:tcBorders>
              <w:bottom w:val="single" w:color="000000" w:sz="4" w:space="0"/>
            </w:tcBorders>
            <w:vAlign w:val="center"/>
          </w:tcPr>
          <w:p>
            <w:pPr>
              <w:pageBreakBefore w:val="0"/>
              <w:kinsoku/>
              <w:bidi w:val="0"/>
              <w:spacing w:before="69"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计量单位</w:t>
            </w:r>
          </w:p>
        </w:tc>
        <w:tc>
          <w:tcPr>
            <w:tcW w:w="1228" w:type="dxa"/>
            <w:vMerge w:val="restart"/>
            <w:tcBorders>
              <w:bottom w:val="single" w:color="000000" w:sz="4" w:space="0"/>
            </w:tcBorders>
            <w:vAlign w:val="center"/>
          </w:tcPr>
          <w:p>
            <w:pPr>
              <w:pageBreakBefore w:val="0"/>
              <w:kinsoku/>
              <w:bidi w:val="0"/>
              <w:spacing w:before="69"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工程量</w:t>
            </w:r>
          </w:p>
        </w:tc>
        <w:tc>
          <w:tcPr>
            <w:tcW w:w="2823" w:type="dxa"/>
            <w:gridSpan w:val="3"/>
            <w:tcBorders>
              <w:bottom w:val="single" w:color="000000" w:sz="4" w:space="0"/>
            </w:tcBorders>
            <w:vAlign w:val="center"/>
          </w:tcPr>
          <w:p>
            <w:pPr>
              <w:pageBreakBefore w:val="0"/>
              <w:kinsoku/>
              <w:bidi w:val="0"/>
              <w:spacing w:before="170"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金   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600"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050"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146"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432"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159"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228"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954" w:type="dxa"/>
            <w:vMerge w:val="restart"/>
            <w:tcBorders>
              <w:top w:val="single" w:color="000000" w:sz="4" w:space="0"/>
              <w:bottom w:val="single" w:color="000000" w:sz="4" w:space="0"/>
            </w:tcBorders>
            <w:vAlign w:val="top"/>
          </w:tcPr>
          <w:p>
            <w:pPr>
              <w:pageBreakBefore w:val="0"/>
              <w:kinsoku/>
              <w:bidi w:val="0"/>
              <w:spacing w:before="214" w:line="440" w:lineRule="exact"/>
              <w:ind w:right="1"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综合单价</w:t>
            </w:r>
          </w:p>
        </w:tc>
        <w:tc>
          <w:tcPr>
            <w:tcW w:w="887" w:type="dxa"/>
            <w:vMerge w:val="restart"/>
            <w:tcBorders>
              <w:top w:val="single" w:color="000000" w:sz="4" w:space="0"/>
              <w:bottom w:val="single" w:color="000000" w:sz="4" w:space="0"/>
            </w:tcBorders>
            <w:vAlign w:val="top"/>
          </w:tcPr>
          <w:p>
            <w:pPr>
              <w:pageBreakBefore w:val="0"/>
              <w:kinsoku/>
              <w:bidi w:val="0"/>
              <w:spacing w:before="214"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合价</w:t>
            </w:r>
          </w:p>
        </w:tc>
        <w:tc>
          <w:tcPr>
            <w:tcW w:w="982" w:type="dxa"/>
            <w:vAlign w:val="center"/>
          </w:tcPr>
          <w:p>
            <w:pPr>
              <w:pageBreakBefore w:val="0"/>
              <w:kinsoku/>
              <w:bidi w:val="0"/>
              <w:spacing w:before="49"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600"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050"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146"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432"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159"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228"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954"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887" w:type="dxa"/>
            <w:vMerge w:val="continue"/>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982" w:type="dxa"/>
            <w:vAlign w:val="center"/>
          </w:tcPr>
          <w:p>
            <w:pPr>
              <w:pageBreakBefore w:val="0"/>
              <w:kinsoku/>
              <w:bidi w:val="0"/>
              <w:spacing w:before="52"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0" w:hRule="atLeast"/>
        </w:trPr>
        <w:tc>
          <w:tcPr>
            <w:tcW w:w="600"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050"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146"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432"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159"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1228"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954"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887"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982" w:type="dxa"/>
            <w:vAlign w:val="center"/>
          </w:tcPr>
          <w:p>
            <w:pPr>
              <w:pageBreakBefore w:val="0"/>
              <w:kinsoku/>
              <w:bidi w:val="0"/>
              <w:spacing w:before="52"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7569" w:type="dxa"/>
            <w:gridSpan w:val="7"/>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sz w:val="32"/>
                <w:szCs w:val="32"/>
              </w:rPr>
              <w:t>本页小计</w:t>
            </w:r>
          </w:p>
        </w:tc>
        <w:tc>
          <w:tcPr>
            <w:tcW w:w="887" w:type="dxa"/>
            <w:tcBorders>
              <w:top w:val="single" w:color="000000" w:sz="4" w:space="0"/>
              <w:bottom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982" w:type="dxa"/>
            <w:vAlign w:val="center"/>
          </w:tcPr>
          <w:p>
            <w:pPr>
              <w:pageBreakBefore w:val="0"/>
              <w:kinsoku/>
              <w:bidi w:val="0"/>
              <w:spacing w:before="52"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7569" w:type="dxa"/>
            <w:gridSpan w:val="7"/>
            <w:tcBorders>
              <w:top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r>
              <w:rPr>
                <w:rFonts w:hint="eastAsia" w:ascii="方正仿宋_GB2312" w:hAnsi="方正仿宋_GB2312" w:eastAsia="方正仿宋_GB2312" w:cs="方正仿宋_GB2312"/>
                <w:spacing w:val="-2"/>
                <w:kern w:val="2"/>
                <w:sz w:val="32"/>
                <w:szCs w:val="32"/>
                <w:lang w:val="en-US" w:eastAsia="zh-CN" w:bidi="ar-SA"/>
              </w:rPr>
              <w:t>合计</w:t>
            </w:r>
          </w:p>
        </w:tc>
        <w:tc>
          <w:tcPr>
            <w:tcW w:w="887" w:type="dxa"/>
            <w:tcBorders>
              <w:top w:val="single" w:color="000000" w:sz="4" w:space="0"/>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c>
          <w:tcPr>
            <w:tcW w:w="982" w:type="dxa"/>
            <w:vAlign w:val="center"/>
          </w:tcPr>
          <w:p>
            <w:pPr>
              <w:pageBreakBefore w:val="0"/>
              <w:kinsoku/>
              <w:bidi w:val="0"/>
              <w:spacing w:before="52" w:line="440" w:lineRule="exact"/>
              <w:ind w:firstLine="0" w:firstLineChars="0"/>
              <w:jc w:val="center"/>
              <w:rPr>
                <w:rFonts w:hint="eastAsia" w:ascii="方正仿宋_GB2312" w:hAnsi="方正仿宋_GB2312" w:eastAsia="方正仿宋_GB2312" w:cs="方正仿宋_GB2312"/>
                <w:spacing w:val="-2"/>
                <w:kern w:val="2"/>
                <w:sz w:val="32"/>
                <w:szCs w:val="32"/>
                <w:lang w:val="en-US" w:eastAsia="zh-CN" w:bidi="ar-SA"/>
              </w:rPr>
            </w:pPr>
          </w:p>
        </w:tc>
      </w:tr>
    </w:tbl>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注：为计取规费等的使用，可在表中增设其中</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“定额人工费”。</w:t>
      </w:r>
    </w:p>
    <w:p>
      <w:pPr>
        <w:pageBreakBefore w:val="0"/>
        <w:kinsoku/>
        <w:bidi w:val="0"/>
        <w:spacing w:line="440" w:lineRule="exact"/>
        <w:ind w:firstLine="0" w:firstLineChars="0"/>
        <w:rPr>
          <w:rFonts w:hint="eastAsia" w:ascii="方正仿宋_GB2312" w:hAnsi="方正仿宋_GB2312" w:eastAsia="方正仿宋_GB2312" w:cs="方正仿宋_GB2312"/>
          <w:spacing w:val="-13"/>
          <w:sz w:val="32"/>
          <w:szCs w:val="32"/>
          <w:lang w:eastAsia="zh-CN"/>
        </w:rPr>
      </w:pPr>
    </w:p>
    <w:p>
      <w:pPr>
        <w:rPr>
          <w:rFonts w:hint="eastAsia" w:ascii="方正仿宋_GB2312" w:hAnsi="方正仿宋_GB2312" w:eastAsia="方正仿宋_GB2312" w:cs="方正仿宋_GB2312"/>
          <w:sz w:val="32"/>
          <w:szCs w:val="32"/>
          <w:lang w:val="en-US" w:eastAsia="zh-CN"/>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sz w:val="32"/>
          <w:szCs w:val="32"/>
          <w:lang w:val="en-US" w:eastAsia="zh-CN"/>
          <w14:textOutline w14:w="3831" w14:cap="flat" w14:cmpd="sng">
            <w14:solidFill>
              <w14:srgbClr w14:val="000000"/>
            </w14:solidFill>
            <w14:prstDash w14:val="solid"/>
            <w14:miter w14:val="0"/>
          </w14:textOutline>
        </w:rPr>
        <w:br w:type="page"/>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5" w:name="_Toc9292"/>
      <w:r>
        <w:rPr>
          <w:rFonts w:hint="eastAsia" w:ascii="方正仿宋_GB2312" w:hAnsi="方正仿宋_GB2312" w:eastAsia="方正仿宋_GB2312" w:cs="方正仿宋_GB2312"/>
          <w:b/>
          <w:bCs/>
          <w:spacing w:val="-6"/>
          <w:sz w:val="32"/>
          <w:szCs w:val="32"/>
          <w:lang w:val="en-US" w:eastAsia="zh-CN"/>
        </w:rPr>
        <w:t>综合单价分析表</w:t>
      </w:r>
      <w:bookmarkEnd w:id="1925"/>
    </w:p>
    <w:p>
      <w:pPr>
        <w:pageBreakBefore w:val="0"/>
        <w:kinsoku/>
        <w:bidi w:val="0"/>
        <w:spacing w:line="440" w:lineRule="exact"/>
        <w:ind w:firstLine="0" w:firstLineChars="0"/>
        <w:rPr>
          <w:rFonts w:hint="eastAsia" w:ascii="方正仿宋_GB2312" w:hAnsi="方正仿宋_GB2312" w:eastAsia="方正仿宋_GB2312" w:cs="方正仿宋_GB2312"/>
          <w:spacing w:val="-13"/>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pPr w:leftFromText="180" w:rightFromText="180" w:vertAnchor="text" w:horzAnchor="page" w:tblpX="807" w:tblpY="307"/>
        <w:tblOverlap w:val="never"/>
        <w:tblW w:w="103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2"/>
        <w:gridCol w:w="402"/>
        <w:gridCol w:w="672"/>
        <w:gridCol w:w="756"/>
        <w:gridCol w:w="303"/>
        <w:gridCol w:w="335"/>
        <w:gridCol w:w="807"/>
        <w:gridCol w:w="79"/>
        <w:gridCol w:w="373"/>
        <w:gridCol w:w="538"/>
        <w:gridCol w:w="591"/>
        <w:gridCol w:w="164"/>
        <w:gridCol w:w="978"/>
        <w:gridCol w:w="54"/>
        <w:gridCol w:w="880"/>
        <w:gridCol w:w="318"/>
        <w:gridCol w:w="609"/>
        <w:gridCol w:w="533"/>
        <w:gridCol w:w="395"/>
        <w:gridCol w:w="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117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项目编码</w:t>
            </w:r>
          </w:p>
        </w:tc>
        <w:tc>
          <w:tcPr>
            <w:tcW w:w="1731"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42"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项目名称</w:t>
            </w:r>
          </w:p>
        </w:tc>
        <w:tc>
          <w:tcPr>
            <w:tcW w:w="1581" w:type="dxa"/>
            <w:gridSpan w:val="4"/>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96"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计量单位</w:t>
            </w:r>
          </w:p>
        </w:tc>
        <w:tc>
          <w:tcPr>
            <w:tcW w:w="119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42"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工程量</w:t>
            </w:r>
          </w:p>
        </w:tc>
        <w:tc>
          <w:tcPr>
            <w:tcW w:w="1152"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0316" w:type="dxa"/>
            <w:gridSpan w:val="2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清单综合单价组成明细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772"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编号</w:t>
            </w:r>
          </w:p>
        </w:tc>
        <w:tc>
          <w:tcPr>
            <w:tcW w:w="1074" w:type="dxa"/>
            <w:gridSpan w:val="2"/>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定额项目名称</w:t>
            </w:r>
          </w:p>
        </w:tc>
        <w:tc>
          <w:tcPr>
            <w:tcW w:w="756"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单位</w:t>
            </w:r>
          </w:p>
        </w:tc>
        <w:tc>
          <w:tcPr>
            <w:tcW w:w="638" w:type="dxa"/>
            <w:gridSpan w:val="2"/>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数量</w:t>
            </w:r>
          </w:p>
        </w:tc>
        <w:tc>
          <w:tcPr>
            <w:tcW w:w="3530" w:type="dxa"/>
            <w:gridSpan w:val="7"/>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单价</w:t>
            </w:r>
          </w:p>
        </w:tc>
        <w:tc>
          <w:tcPr>
            <w:tcW w:w="3546" w:type="dxa"/>
            <w:gridSpan w:val="7"/>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6" w:hRule="atLeast"/>
        </w:trPr>
        <w:tc>
          <w:tcPr>
            <w:tcW w:w="772" w:type="dxa"/>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74" w:type="dxa"/>
            <w:gridSpan w:val="2"/>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6" w:type="dxa"/>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38" w:type="dxa"/>
            <w:gridSpan w:val="2"/>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6"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人工费</w:t>
            </w:r>
          </w:p>
        </w:tc>
        <w:tc>
          <w:tcPr>
            <w:tcW w:w="911"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材料费</w:t>
            </w:r>
          </w:p>
        </w:tc>
        <w:tc>
          <w:tcPr>
            <w:tcW w:w="755"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机械费</w:t>
            </w:r>
          </w:p>
        </w:tc>
        <w:tc>
          <w:tcPr>
            <w:tcW w:w="97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管理费和 利润</w:t>
            </w: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人工费</w:t>
            </w: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材料费</w:t>
            </w: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机械费</w:t>
            </w: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管理费和利润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7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3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6"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5"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7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3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6"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5"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7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3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6"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5"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846"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人工单价</w:t>
            </w:r>
          </w:p>
        </w:tc>
        <w:tc>
          <w:tcPr>
            <w:tcW w:w="4924" w:type="dxa"/>
            <w:gridSpan w:val="1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小 计</w:t>
            </w: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846"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元/工日</w:t>
            </w:r>
          </w:p>
        </w:tc>
        <w:tc>
          <w:tcPr>
            <w:tcW w:w="4924" w:type="dxa"/>
            <w:gridSpan w:val="10"/>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未计价材料费</w:t>
            </w:r>
          </w:p>
        </w:tc>
        <w:tc>
          <w:tcPr>
            <w:tcW w:w="3546" w:type="dxa"/>
            <w:gridSpan w:val="7"/>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6770" w:type="dxa"/>
            <w:gridSpan w:val="1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清单项目综合单价</w:t>
            </w: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 w:hRule="atLeast"/>
        </w:trPr>
        <w:tc>
          <w:tcPr>
            <w:tcW w:w="772" w:type="dxa"/>
            <w:vMerge w:val="restart"/>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材</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料</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费</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明</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细</w:t>
            </w:r>
          </w:p>
        </w:tc>
        <w:tc>
          <w:tcPr>
            <w:tcW w:w="3727" w:type="dxa"/>
            <w:gridSpan w:val="8"/>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主要材料名称、规格、型号</w:t>
            </w:r>
          </w:p>
        </w:tc>
        <w:tc>
          <w:tcPr>
            <w:tcW w:w="1293"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单位</w:t>
            </w:r>
          </w:p>
        </w:tc>
        <w:tc>
          <w:tcPr>
            <w:tcW w:w="97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数量</w:t>
            </w: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单价（元）</w:t>
            </w: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合价（元）</w:t>
            </w: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暂估单价（元）</w:t>
            </w: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暂估合价（元）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72" w:type="dxa"/>
            <w:vMerge w:val="continue"/>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3727" w:type="dxa"/>
            <w:gridSpan w:val="8"/>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93"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72" w:type="dxa"/>
            <w:vMerge w:val="continue"/>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3727" w:type="dxa"/>
            <w:gridSpan w:val="8"/>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93" w:type="dxa"/>
            <w:gridSpan w:val="3"/>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72" w:type="dxa"/>
            <w:vMerge w:val="continue"/>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5998" w:type="dxa"/>
            <w:gridSpan w:val="1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其他材料费</w:t>
            </w: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772" w:type="dxa"/>
            <w:vMerge w:val="continue"/>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5998" w:type="dxa"/>
            <w:gridSpan w:val="1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材料费小计</w:t>
            </w:r>
          </w:p>
        </w:tc>
        <w:tc>
          <w:tcPr>
            <w:tcW w:w="934"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927"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28"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7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Style w:val="17"/>
        <w:pageBreakBefore w:val="0"/>
        <w:kinsoku/>
        <w:bidi w:val="0"/>
        <w:spacing w:before="51" w:line="440" w:lineRule="exact"/>
        <w:ind w:left="637" w:firstLine="0" w:firstLineChars="0"/>
        <w:jc w:val="left"/>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注：1.如不使用省级或行业建设主管部门发布的计价依据，可不填定额编号、名称等。</w:t>
      </w:r>
    </w:p>
    <w:p>
      <w:pPr>
        <w:pStyle w:val="17"/>
        <w:pageBreakBefore w:val="0"/>
        <w:kinsoku/>
        <w:bidi w:val="0"/>
        <w:spacing w:before="51" w:line="440" w:lineRule="exact"/>
        <w:ind w:left="637" w:firstLine="0" w:firstLineChars="0"/>
        <w:jc w:val="left"/>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2.招标文件提供了暂估单价的材料，按暂估的单价填入表内“暂估单价”栏及“暂估合价”栏。</w:t>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6" w:name="_Toc4758"/>
      <w:r>
        <w:rPr>
          <w:rFonts w:hint="eastAsia" w:ascii="方正仿宋_GB2312" w:hAnsi="方正仿宋_GB2312" w:eastAsia="方正仿宋_GB2312" w:cs="方正仿宋_GB2312"/>
          <w:b/>
          <w:bCs/>
          <w:spacing w:val="-6"/>
          <w:sz w:val="32"/>
          <w:szCs w:val="32"/>
          <w:lang w:val="en-US" w:eastAsia="zh-CN"/>
        </w:rPr>
        <w:t>总价措施项目清单与计价表</w:t>
      </w:r>
      <w:bookmarkEnd w:id="1926"/>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17"/>
        <w:pageBreakBefore w:val="0"/>
        <w:kinsoku/>
        <w:bidi w:val="0"/>
        <w:spacing w:before="68" w:line="440" w:lineRule="exact"/>
        <w:jc w:val="both"/>
        <w:rPr>
          <w:rFonts w:hint="eastAsia" w:ascii="方正仿宋_GB2312" w:hAnsi="方正仿宋_GB2312" w:eastAsia="方正仿宋_GB2312" w:cs="方正仿宋_GB2312"/>
          <w:spacing w:val="-13"/>
          <w:sz w:val="32"/>
          <w:szCs w:val="32"/>
          <w:lang w:eastAsia="zh-CN"/>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10017" w:type="dxa"/>
        <w:tblInd w:w="-5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5"/>
        <w:gridCol w:w="1339"/>
        <w:gridCol w:w="1869"/>
        <w:gridCol w:w="1251"/>
        <w:gridCol w:w="1061"/>
        <w:gridCol w:w="947"/>
        <w:gridCol w:w="960"/>
        <w:gridCol w:w="1049"/>
        <w:gridCol w:w="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4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序号</w:t>
            </w:r>
          </w:p>
        </w:tc>
        <w:tc>
          <w:tcPr>
            <w:tcW w:w="1339"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项目编码</w:t>
            </w:r>
          </w:p>
        </w:tc>
        <w:tc>
          <w:tcPr>
            <w:tcW w:w="1869"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sz w:val="32"/>
                <w:szCs w:val="32"/>
                <w:lang w:val="en-US" w:eastAsia="zh-CN"/>
              </w:rPr>
              <w:t>项目</w:t>
            </w:r>
            <w:r>
              <w:rPr>
                <w:rFonts w:hint="eastAsia" w:ascii="方正仿宋_GB2312" w:hAnsi="方正仿宋_GB2312" w:eastAsia="方正仿宋_GB2312" w:cs="方正仿宋_GB2312"/>
                <w:kern w:val="2"/>
                <w:sz w:val="32"/>
                <w:szCs w:val="32"/>
                <w:lang w:val="en-US" w:eastAsia="zh-CN" w:bidi="ar-SA"/>
              </w:rPr>
              <w:t>名称</w:t>
            </w:r>
          </w:p>
        </w:tc>
        <w:tc>
          <w:tcPr>
            <w:tcW w:w="125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计算基础</w:t>
            </w:r>
          </w:p>
        </w:tc>
        <w:tc>
          <w:tcPr>
            <w:tcW w:w="106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费率(%)</w:t>
            </w:r>
          </w:p>
        </w:tc>
        <w:tc>
          <w:tcPr>
            <w:tcW w:w="94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金额</w:t>
            </w:r>
          </w:p>
          <w:p>
            <w:pPr>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（元）</w:t>
            </w:r>
          </w:p>
        </w:tc>
        <w:tc>
          <w:tcPr>
            <w:tcW w:w="960" w:type="dxa"/>
            <w:vAlign w:val="center"/>
          </w:tcPr>
          <w:p>
            <w:pPr>
              <w:pageBreakBefore w:val="0"/>
              <w:kinsoku/>
              <w:bidi w:val="0"/>
              <w:spacing w:before="164" w:line="440" w:lineRule="exact"/>
              <w:ind w:right="51"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调整费 率（%）</w:t>
            </w:r>
          </w:p>
        </w:tc>
        <w:tc>
          <w:tcPr>
            <w:tcW w:w="1049" w:type="dxa"/>
            <w:vAlign w:val="center"/>
          </w:tcPr>
          <w:p>
            <w:pPr>
              <w:pageBreakBefore w:val="0"/>
              <w:kinsoku/>
              <w:bidi w:val="0"/>
              <w:spacing w:before="164" w:line="440" w:lineRule="exact"/>
              <w:ind w:right="19"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调整后金额（元）</w:t>
            </w:r>
          </w:p>
        </w:tc>
        <w:tc>
          <w:tcPr>
            <w:tcW w:w="796"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4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1</w:t>
            </w:r>
          </w:p>
        </w:tc>
        <w:tc>
          <w:tcPr>
            <w:tcW w:w="1339"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869" w:type="dxa"/>
            <w:vAlign w:val="center"/>
          </w:tcPr>
          <w:p>
            <w:pPr>
              <w:pageBreakBefore w:val="0"/>
              <w:kinsoku/>
              <w:bidi w:val="0"/>
              <w:spacing w:before="69"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安全文明施工费</w:t>
            </w:r>
          </w:p>
        </w:tc>
        <w:tc>
          <w:tcPr>
            <w:tcW w:w="125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6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4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60"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49"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796"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4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w:t>
            </w:r>
          </w:p>
        </w:tc>
        <w:tc>
          <w:tcPr>
            <w:tcW w:w="1339"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869"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夜间施工增加费</w:t>
            </w:r>
          </w:p>
        </w:tc>
        <w:tc>
          <w:tcPr>
            <w:tcW w:w="125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6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4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60"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49"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796"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4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3</w:t>
            </w:r>
          </w:p>
        </w:tc>
        <w:tc>
          <w:tcPr>
            <w:tcW w:w="1339"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869"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二次搬运费</w:t>
            </w:r>
          </w:p>
        </w:tc>
        <w:tc>
          <w:tcPr>
            <w:tcW w:w="125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6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4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60"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49"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796"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4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4</w:t>
            </w:r>
          </w:p>
        </w:tc>
        <w:tc>
          <w:tcPr>
            <w:tcW w:w="1339"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869"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冬雨季施工增加 费</w:t>
            </w:r>
          </w:p>
        </w:tc>
        <w:tc>
          <w:tcPr>
            <w:tcW w:w="125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6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4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60"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49"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796"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4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5</w:t>
            </w:r>
          </w:p>
        </w:tc>
        <w:tc>
          <w:tcPr>
            <w:tcW w:w="1339"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869"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已完工程及设备 保护费</w:t>
            </w:r>
          </w:p>
        </w:tc>
        <w:tc>
          <w:tcPr>
            <w:tcW w:w="125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6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4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60"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49"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796"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4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339"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869" w:type="dxa"/>
            <w:vAlign w:val="center"/>
          </w:tcPr>
          <w:p>
            <w:pPr>
              <w:pageBreakBefore w:val="0"/>
              <w:kinsoku/>
              <w:bidi w:val="0"/>
              <w:spacing w:before="69"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5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6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4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60"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49"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796"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45"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339"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869" w:type="dxa"/>
            <w:vAlign w:val="center"/>
          </w:tcPr>
          <w:p>
            <w:pPr>
              <w:pageBreakBefore w:val="0"/>
              <w:kinsoku/>
              <w:bidi w:val="0"/>
              <w:spacing w:before="69"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5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61"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4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60"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49"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796"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6265" w:type="dxa"/>
            <w:gridSpan w:val="5"/>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合计</w:t>
            </w:r>
          </w:p>
        </w:tc>
        <w:tc>
          <w:tcPr>
            <w:tcW w:w="94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960"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1049"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c>
          <w:tcPr>
            <w:tcW w:w="796"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tc>
      </w:tr>
    </w:tbl>
    <w:p>
      <w:pPr>
        <w:pageBreakBefore w:val="0"/>
        <w:kinsoku/>
        <w:bidi w:val="0"/>
        <w:spacing w:before="68" w:line="440" w:lineRule="exact"/>
        <w:ind w:firstLine="0" w:firstLineChars="0"/>
        <w:jc w:val="left"/>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注： 1.“计算基础”中安全文明施工费可为“定额基价”、“定额人工费”或“定额人工费 +定额机械费”，其他项目可为“定额人工费”或“定额人工费+定额机械费”。</w:t>
      </w:r>
    </w:p>
    <w:p>
      <w:pPr>
        <w:pageBreakBefore w:val="0"/>
        <w:kinsoku/>
        <w:bidi w:val="0"/>
        <w:spacing w:before="68" w:line="440" w:lineRule="exact"/>
        <w:ind w:firstLine="0" w:firstLineChars="0"/>
        <w:jc w:val="left"/>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2.按施工方案计算的措施费，若无“计算基础”和“费率”的数值，也可只填“金额” 数值，但应在备注栏说明施工方案的出处或计算方法。</w:t>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7" w:name="_Toc25260"/>
      <w:r>
        <w:rPr>
          <w:rFonts w:hint="eastAsia" w:ascii="方正仿宋_GB2312" w:hAnsi="方正仿宋_GB2312" w:eastAsia="方正仿宋_GB2312" w:cs="方正仿宋_GB2312"/>
          <w:b/>
          <w:bCs/>
          <w:spacing w:val="-6"/>
          <w:sz w:val="32"/>
          <w:szCs w:val="32"/>
          <w:lang w:val="en-US" w:eastAsia="zh-CN"/>
        </w:rPr>
        <w:t>其他项目清单与计价表</w:t>
      </w:r>
      <w:bookmarkEnd w:id="1927"/>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17"/>
        <w:pageBreakBefore w:val="0"/>
        <w:kinsoku/>
        <w:bidi w:val="0"/>
        <w:spacing w:before="68" w:line="440" w:lineRule="exact"/>
        <w:ind w:left="0" w:leftChars="0" w:firstLine="0" w:firstLineChars="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 xml:space="preserve"> </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100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2110"/>
        <w:gridCol w:w="1751"/>
        <w:gridCol w:w="1727"/>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jc w:val="center"/>
        </w:trPr>
        <w:tc>
          <w:tcPr>
            <w:tcW w:w="1523"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序号</w:t>
            </w:r>
          </w:p>
        </w:tc>
        <w:tc>
          <w:tcPr>
            <w:tcW w:w="2110"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项目名称</w:t>
            </w:r>
          </w:p>
        </w:tc>
        <w:tc>
          <w:tcPr>
            <w:tcW w:w="1751"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金额（元）</w:t>
            </w:r>
          </w:p>
        </w:tc>
        <w:tc>
          <w:tcPr>
            <w:tcW w:w="172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结算金额（元）</w:t>
            </w:r>
          </w:p>
        </w:tc>
        <w:tc>
          <w:tcPr>
            <w:tcW w:w="296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 w:hRule="atLeast"/>
          <w:jc w:val="center"/>
        </w:trPr>
        <w:tc>
          <w:tcPr>
            <w:tcW w:w="1523"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w:t>
            </w:r>
          </w:p>
        </w:tc>
        <w:tc>
          <w:tcPr>
            <w:tcW w:w="2110"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暂列金额</w:t>
            </w:r>
          </w:p>
        </w:tc>
        <w:tc>
          <w:tcPr>
            <w:tcW w:w="175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2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明细详见暂列金额明细表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1523"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w:t>
            </w:r>
          </w:p>
        </w:tc>
        <w:tc>
          <w:tcPr>
            <w:tcW w:w="2110"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暂估价</w:t>
            </w:r>
          </w:p>
        </w:tc>
        <w:tc>
          <w:tcPr>
            <w:tcW w:w="175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2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jc w:val="center"/>
        </w:trPr>
        <w:tc>
          <w:tcPr>
            <w:tcW w:w="1523"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2.1</w:t>
            </w:r>
          </w:p>
        </w:tc>
        <w:tc>
          <w:tcPr>
            <w:tcW w:w="2110"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材料（工程设备） 暂估价</w:t>
            </w:r>
          </w:p>
        </w:tc>
        <w:tc>
          <w:tcPr>
            <w:tcW w:w="175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w:t>
            </w:r>
          </w:p>
        </w:tc>
        <w:tc>
          <w:tcPr>
            <w:tcW w:w="172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明细详见材料（工程设备） 暂估单价表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jc w:val="center"/>
        </w:trPr>
        <w:tc>
          <w:tcPr>
            <w:tcW w:w="1523"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2.2</w:t>
            </w:r>
          </w:p>
        </w:tc>
        <w:tc>
          <w:tcPr>
            <w:tcW w:w="2110"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专业工程暂估价</w:t>
            </w:r>
          </w:p>
        </w:tc>
        <w:tc>
          <w:tcPr>
            <w:tcW w:w="175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2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明细详见专业工程暂估价表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1523"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w:t>
            </w:r>
          </w:p>
        </w:tc>
        <w:tc>
          <w:tcPr>
            <w:tcW w:w="2110"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计日工</w:t>
            </w:r>
          </w:p>
        </w:tc>
        <w:tc>
          <w:tcPr>
            <w:tcW w:w="175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2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明细详见计日工表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jc w:val="center"/>
        </w:trPr>
        <w:tc>
          <w:tcPr>
            <w:tcW w:w="1523"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w:t>
            </w:r>
          </w:p>
        </w:tc>
        <w:tc>
          <w:tcPr>
            <w:tcW w:w="2110"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总承包服务费</w:t>
            </w:r>
          </w:p>
        </w:tc>
        <w:tc>
          <w:tcPr>
            <w:tcW w:w="175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2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明细详见总承包服务费计价 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1523"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5</w:t>
            </w:r>
          </w:p>
        </w:tc>
        <w:tc>
          <w:tcPr>
            <w:tcW w:w="2110"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51"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2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1523"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110"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51"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2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1523"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110"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51"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172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5384" w:type="dxa"/>
            <w:gridSpan w:val="3"/>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合计</w:t>
            </w:r>
          </w:p>
        </w:tc>
        <w:tc>
          <w:tcPr>
            <w:tcW w:w="172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2967" w:type="dxa"/>
            <w:vAlign w:val="top"/>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w:t>
            </w:r>
          </w:p>
        </w:tc>
      </w:tr>
    </w:tbl>
    <w:p>
      <w:pPr>
        <w:pageBreakBefore w:val="0"/>
        <w:kinsoku/>
        <w:bidi w:val="0"/>
        <w:spacing w:before="68" w:line="440" w:lineRule="exact"/>
        <w:ind w:firstLine="0" w:firstLineChars="0"/>
        <w:jc w:val="left"/>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注：材料（工程设备） 暂估单价进入清单项目综合单价，此处不汇总。</w:t>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8" w:name="_Toc25725"/>
      <w:r>
        <w:rPr>
          <w:rFonts w:hint="eastAsia" w:ascii="方正仿宋_GB2312" w:hAnsi="方正仿宋_GB2312" w:eastAsia="方正仿宋_GB2312" w:cs="方正仿宋_GB2312"/>
          <w:b/>
          <w:bCs/>
          <w:spacing w:val="-6"/>
          <w:sz w:val="32"/>
          <w:szCs w:val="32"/>
          <w:lang w:val="en-US" w:eastAsia="zh-CN"/>
        </w:rPr>
        <w:t>暂列金额明细表</w:t>
      </w:r>
      <w:bookmarkEnd w:id="1928"/>
    </w:p>
    <w:p>
      <w:pPr>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17"/>
        <w:pageBreakBefore w:val="0"/>
        <w:kinsoku/>
        <w:bidi w:val="0"/>
        <w:spacing w:before="68" w:line="440" w:lineRule="exact"/>
        <w:ind w:left="478" w:firstLine="0" w:firstLineChars="0"/>
        <w:jc w:val="both"/>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 xml:space="preserve"> </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92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3191"/>
        <w:gridCol w:w="1401"/>
        <w:gridCol w:w="2496"/>
        <w:gridCol w:w="12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序号</w:t>
            </w:r>
          </w:p>
        </w:tc>
        <w:tc>
          <w:tcPr>
            <w:tcW w:w="319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项目名称</w:t>
            </w:r>
          </w:p>
        </w:tc>
        <w:tc>
          <w:tcPr>
            <w:tcW w:w="140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计量单位</w:t>
            </w:r>
          </w:p>
        </w:tc>
        <w:tc>
          <w:tcPr>
            <w:tcW w:w="2496" w:type="dxa"/>
            <w:vAlign w:val="center"/>
          </w:tcPr>
          <w:p>
            <w:pPr>
              <w:pageBreakBefore w:val="0"/>
              <w:kinsoku/>
              <w:bidi w:val="0"/>
              <w:spacing w:before="69"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暂列金额（元）</w:t>
            </w:r>
          </w:p>
        </w:tc>
        <w:tc>
          <w:tcPr>
            <w:tcW w:w="1201"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1</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3</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4</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5</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6</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7</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8</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9</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10</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008" w:type="dxa"/>
            <w:vAlign w:val="center"/>
          </w:tcPr>
          <w:p>
            <w:pPr>
              <w:pageBreakBefore w:val="0"/>
              <w:kinsoku/>
              <w:bidi w:val="0"/>
              <w:spacing w:before="68"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11</w:t>
            </w:r>
          </w:p>
        </w:tc>
        <w:tc>
          <w:tcPr>
            <w:tcW w:w="319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4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5600" w:type="dxa"/>
            <w:gridSpan w:val="3"/>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合计</w:t>
            </w:r>
          </w:p>
        </w:tc>
        <w:tc>
          <w:tcPr>
            <w:tcW w:w="24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c>
          <w:tcPr>
            <w:tcW w:w="120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kern w:val="2"/>
                <w:sz w:val="32"/>
                <w:szCs w:val="32"/>
                <w:lang w:val="en-US" w:eastAsia="zh-CN" w:bidi="ar-SA"/>
              </w:rPr>
            </w:pPr>
          </w:p>
        </w:tc>
      </w:tr>
    </w:tbl>
    <w:p>
      <w:pPr>
        <w:pStyle w:val="17"/>
        <w:pageBreakBefore w:val="0"/>
        <w:kinsoku/>
        <w:bidi w:val="0"/>
        <w:spacing w:before="51" w:line="440" w:lineRule="exact"/>
        <w:ind w:right="1341" w:firstLine="0" w:firstLineChars="0"/>
        <w:jc w:val="left"/>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注：此表由招标人填写，如不能详列，也可只列暂定金额总额，投标人应将上述暂列金额计入投标总价中。</w:t>
      </w:r>
    </w:p>
    <w:p>
      <w:pPr>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br w:type="page"/>
      </w:r>
    </w:p>
    <w:p>
      <w:pPr>
        <w:pStyle w:val="17"/>
        <w:pageBreakBefore w:val="0"/>
        <w:kinsoku/>
        <w:bidi w:val="0"/>
        <w:spacing w:before="177" w:line="440" w:lineRule="exact"/>
        <w:ind w:left="385" w:firstLine="0" w:firstLineChars="0"/>
        <w:jc w:val="center"/>
        <w:outlineLvl w:val="3"/>
        <w:rPr>
          <w:rFonts w:hint="eastAsia" w:ascii="方正仿宋_GB2312" w:hAnsi="方正仿宋_GB2312" w:eastAsia="方正仿宋_GB2312" w:cs="方正仿宋_GB2312"/>
          <w:b/>
          <w:bCs/>
          <w:spacing w:val="-6"/>
          <w:sz w:val="32"/>
          <w:szCs w:val="32"/>
          <w:lang w:val="en-US" w:eastAsia="zh-CN"/>
        </w:rPr>
      </w:pPr>
      <w:bookmarkStart w:id="1929" w:name="_Toc32767"/>
      <w:r>
        <w:rPr>
          <w:rFonts w:hint="eastAsia" w:ascii="方正仿宋_GB2312" w:hAnsi="方正仿宋_GB2312" w:eastAsia="方正仿宋_GB2312" w:cs="方正仿宋_GB2312"/>
          <w:b/>
          <w:bCs/>
          <w:spacing w:val="-6"/>
          <w:sz w:val="32"/>
          <w:szCs w:val="32"/>
          <w:lang w:val="en-US" w:eastAsia="zh-CN"/>
        </w:rPr>
        <w:t>材料（工程设备）暂估单价及调整表</w:t>
      </w:r>
      <w:bookmarkEnd w:id="1929"/>
    </w:p>
    <w:p>
      <w:pPr>
        <w:pStyle w:val="17"/>
        <w:pageBreakBefore w:val="0"/>
        <w:kinsoku/>
        <w:bidi w:val="0"/>
        <w:spacing w:before="68" w:line="440" w:lineRule="exact"/>
        <w:ind w:left="478" w:firstLine="0" w:firstLineChars="0"/>
        <w:jc w:val="left"/>
        <w:rPr>
          <w:rFonts w:hint="eastAsia" w:ascii="方正仿宋_GB2312" w:hAnsi="方正仿宋_GB2312" w:eastAsia="方正仿宋_GB2312" w:cs="方正仿宋_GB2312"/>
          <w:spacing w:val="-13"/>
          <w:sz w:val="32"/>
          <w:szCs w:val="32"/>
        </w:rPr>
      </w:pPr>
    </w:p>
    <w:p>
      <w:pPr>
        <w:pStyle w:val="17"/>
        <w:pageBreakBefore w:val="0"/>
        <w:kinsoku/>
        <w:bidi w:val="0"/>
        <w:spacing w:before="68" w:line="440" w:lineRule="exact"/>
        <w:jc w:val="both"/>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pPr w:leftFromText="180" w:rightFromText="180" w:vertAnchor="text" w:horzAnchor="page" w:tblpX="1144" w:tblpY="175"/>
        <w:tblOverlap w:val="never"/>
        <w:tblW w:w="98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911"/>
        <w:gridCol w:w="1318"/>
        <w:gridCol w:w="898"/>
        <w:gridCol w:w="717"/>
        <w:gridCol w:w="696"/>
        <w:gridCol w:w="696"/>
        <w:gridCol w:w="674"/>
        <w:gridCol w:w="695"/>
        <w:gridCol w:w="674"/>
        <w:gridCol w:w="672"/>
        <w:gridCol w:w="668"/>
        <w:gridCol w:w="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583"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序号</w:t>
            </w:r>
          </w:p>
        </w:tc>
        <w:tc>
          <w:tcPr>
            <w:tcW w:w="911"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材料编码</w:t>
            </w:r>
          </w:p>
        </w:tc>
        <w:tc>
          <w:tcPr>
            <w:tcW w:w="1318"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材料（工程设</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备）名称、规</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格、型号</w:t>
            </w:r>
          </w:p>
        </w:tc>
        <w:tc>
          <w:tcPr>
            <w:tcW w:w="898"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计量单位</w:t>
            </w:r>
          </w:p>
        </w:tc>
        <w:tc>
          <w:tcPr>
            <w:tcW w:w="1413"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数量</w:t>
            </w:r>
          </w:p>
        </w:tc>
        <w:tc>
          <w:tcPr>
            <w:tcW w:w="1370"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暂估（元）</w:t>
            </w:r>
          </w:p>
        </w:tc>
        <w:tc>
          <w:tcPr>
            <w:tcW w:w="1369"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确认（元)</w:t>
            </w:r>
          </w:p>
        </w:tc>
        <w:tc>
          <w:tcPr>
            <w:tcW w:w="1340"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差额±</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（元）</w:t>
            </w:r>
          </w:p>
        </w:tc>
        <w:tc>
          <w:tcPr>
            <w:tcW w:w="615"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6" w:hRule="atLeast"/>
        </w:trPr>
        <w:tc>
          <w:tcPr>
            <w:tcW w:w="583" w:type="dxa"/>
            <w:vMerge w:val="continue"/>
            <w:tcBorders>
              <w:top w:val="nil"/>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Merge w:val="continue"/>
            <w:tcBorders>
              <w:top w:val="nil"/>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Merge w:val="continue"/>
            <w:tcBorders>
              <w:top w:val="nil"/>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Merge w:val="continue"/>
            <w:tcBorders>
              <w:top w:val="nil"/>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暂估</w:t>
            </w:r>
          </w:p>
        </w:tc>
        <w:tc>
          <w:tcPr>
            <w:tcW w:w="69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确认</w:t>
            </w:r>
          </w:p>
        </w:tc>
        <w:tc>
          <w:tcPr>
            <w:tcW w:w="69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单价</w:t>
            </w:r>
          </w:p>
        </w:tc>
        <w:tc>
          <w:tcPr>
            <w:tcW w:w="6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合价</w:t>
            </w:r>
          </w:p>
        </w:tc>
        <w:tc>
          <w:tcPr>
            <w:tcW w:w="69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单价</w:t>
            </w:r>
          </w:p>
        </w:tc>
        <w:tc>
          <w:tcPr>
            <w:tcW w:w="6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合价</w:t>
            </w:r>
          </w:p>
        </w:tc>
        <w:tc>
          <w:tcPr>
            <w:tcW w:w="6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单价</w:t>
            </w:r>
          </w:p>
        </w:tc>
        <w:tc>
          <w:tcPr>
            <w:tcW w:w="66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合价</w:t>
            </w:r>
          </w:p>
        </w:tc>
        <w:tc>
          <w:tcPr>
            <w:tcW w:w="615" w:type="dxa"/>
            <w:vMerge w:val="continue"/>
            <w:tcBorders>
              <w:top w:val="nil"/>
            </w:tcBorders>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583"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2"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6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1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583"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2"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6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1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583"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2"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6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1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583"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2"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6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1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583"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2"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6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1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583"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2"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6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1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trPr>
        <w:tc>
          <w:tcPr>
            <w:tcW w:w="583"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2"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6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1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583"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11"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1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9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17"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6"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9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4"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72"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68"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615" w:type="dxa"/>
            <w:vAlign w:val="center"/>
          </w:tcPr>
          <w:p>
            <w:pPr>
              <w:pStyle w:val="209"/>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ageBreakBefore w:val="0"/>
        <w:kinsoku/>
        <w:bidi w:val="0"/>
        <w:spacing w:line="440" w:lineRule="exact"/>
        <w:ind w:firstLine="0" w:firstLineChars="0"/>
        <w:rPr>
          <w:rFonts w:hint="eastAsia" w:ascii="方正仿宋_GB2312" w:hAnsi="方正仿宋_GB2312" w:eastAsia="方正仿宋_GB2312" w:cs="方正仿宋_GB2312"/>
          <w:kern w:val="2"/>
          <w:sz w:val="32"/>
          <w:szCs w:val="32"/>
          <w:lang w:val="en-US" w:eastAsia="zh-CN" w:bidi="ar-SA"/>
        </w:rPr>
      </w:pPr>
    </w:p>
    <w:p>
      <w:pPr>
        <w:pageBreakBefore w:val="0"/>
        <w:tabs>
          <w:tab w:val="left" w:pos="630"/>
        </w:tabs>
        <w:kinsoku/>
        <w:bidi w:val="0"/>
        <w:spacing w:line="440" w:lineRule="exact"/>
        <w:ind w:firstLine="0" w:firstLineChars="0"/>
        <w:jc w:val="left"/>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val="en-US" w:eastAsia="zh-CN"/>
        </w:rPr>
        <w:t>注：</w:t>
      </w:r>
      <w:r>
        <w:rPr>
          <w:rFonts w:hint="eastAsia" w:ascii="方正仿宋_GB2312" w:hAnsi="方正仿宋_GB2312" w:eastAsia="方正仿宋_GB2312" w:cs="方正仿宋_GB2312"/>
          <w:spacing w:val="-2"/>
          <w:sz w:val="32"/>
          <w:szCs w:val="32"/>
        </w:rPr>
        <w:t>此表由招标人填写“暂估单价”，并在备注栏说明暂估价的材料、工程设备拟</w:t>
      </w:r>
      <w:r>
        <w:rPr>
          <w:rFonts w:hint="eastAsia" w:ascii="方正仿宋_GB2312" w:hAnsi="方正仿宋_GB2312" w:eastAsia="方正仿宋_GB2312" w:cs="方正仿宋_GB2312"/>
          <w:spacing w:val="-3"/>
          <w:sz w:val="32"/>
          <w:szCs w:val="32"/>
        </w:rPr>
        <w:t>用在哪些</w:t>
      </w:r>
      <w:r>
        <w:rPr>
          <w:rFonts w:hint="eastAsia" w:ascii="方正仿宋_GB2312" w:hAnsi="方正仿宋_GB2312" w:eastAsia="方正仿宋_GB2312" w:cs="方正仿宋_GB2312"/>
          <w:sz w:val="32"/>
          <w:szCs w:val="32"/>
        </w:rPr>
        <w:t xml:space="preserve"> 清单项目上，投标人应将上述材料、工程设备暂估单价计入工程量清单综合单价报价中</w:t>
      </w:r>
      <w:r>
        <w:rPr>
          <w:rFonts w:hint="eastAsia" w:ascii="方正仿宋_GB2312" w:hAnsi="方正仿宋_GB2312" w:eastAsia="方正仿宋_GB2312" w:cs="方正仿宋_GB2312"/>
          <w:sz w:val="32"/>
          <w:szCs w:val="32"/>
          <w:lang w:eastAsia="zh-CN"/>
        </w:rPr>
        <w:t>。</w:t>
      </w: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bookmarkStart w:id="1930" w:name="_Toc9485"/>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r>
        <w:rPr>
          <w:rFonts w:hint="eastAsia" w:ascii="方正仿宋_GB2312" w:hAnsi="方正仿宋_GB2312" w:eastAsia="方正仿宋_GB2312" w:cs="方正仿宋_GB2312"/>
          <w:b/>
          <w:bCs/>
          <w:spacing w:val="-6"/>
          <w:kern w:val="2"/>
          <w:sz w:val="32"/>
          <w:szCs w:val="32"/>
          <w:lang w:val="en-US" w:eastAsia="zh-CN" w:bidi="ar-SA"/>
        </w:rPr>
        <w:t>专业工程暂估单价及结算价表</w:t>
      </w:r>
      <w:bookmarkEnd w:id="1930"/>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p>
    <w:p>
      <w:pPr>
        <w:pageBreakBefore w:val="0"/>
        <w:tabs>
          <w:tab w:val="left" w:pos="630"/>
        </w:tabs>
        <w:kinsoku/>
        <w:bidi w:val="0"/>
        <w:spacing w:line="440" w:lineRule="exact"/>
        <w:ind w:firstLine="0" w:firstLineChars="0"/>
        <w:jc w:val="left"/>
        <w:rPr>
          <w:rFonts w:hint="eastAsia" w:ascii="方正仿宋_GB2312" w:hAnsi="方正仿宋_GB2312" w:eastAsia="方正仿宋_GB2312" w:cs="方正仿宋_GB2312"/>
          <w:spacing w:val="-13"/>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87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3"/>
        <w:gridCol w:w="1997"/>
        <w:gridCol w:w="1870"/>
        <w:gridCol w:w="1326"/>
        <w:gridCol w:w="1263"/>
        <w:gridCol w:w="973"/>
        <w:gridCol w:w="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序号</w:t>
            </w: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工程名称</w:t>
            </w: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工程内容</w:t>
            </w: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暂估金额 （元）</w:t>
            </w: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结算金额 （元）</w:t>
            </w: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差额±</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（元）</w:t>
            </w: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2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9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7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2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Style w:val="17"/>
        <w:pageBreakBefore w:val="0"/>
        <w:kinsoku/>
        <w:bidi w:val="0"/>
        <w:spacing w:before="51" w:line="440" w:lineRule="exact"/>
        <w:ind w:right="501" w:firstLine="0" w:firstLineChars="0"/>
        <w:jc w:val="left"/>
        <w:rPr>
          <w:rFonts w:hint="eastAsia" w:ascii="方正仿宋_GB2312" w:hAnsi="方正仿宋_GB2312" w:eastAsia="方正仿宋_GB2312" w:cs="方正仿宋_GB2312"/>
          <w:spacing w:val="-13"/>
          <w:sz w:val="32"/>
          <w:szCs w:val="32"/>
          <w:lang w:val="en-US" w:eastAsia="zh-CN"/>
        </w:rPr>
      </w:pPr>
      <w:r>
        <w:rPr>
          <w:rFonts w:hint="eastAsia" w:ascii="方正仿宋_GB2312" w:hAnsi="方正仿宋_GB2312" w:eastAsia="方正仿宋_GB2312" w:cs="方正仿宋_GB2312"/>
          <w:spacing w:val="-13"/>
          <w:sz w:val="32"/>
          <w:szCs w:val="32"/>
          <w:lang w:val="en-US" w:eastAsia="zh-CN"/>
        </w:rPr>
        <w:t>注：此表“暂估金额”由招标人填写，投标人应将“暂估金额”计入投标总价中。结算时按合 同约定结算金额填写。</w:t>
      </w: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bookmarkStart w:id="1931" w:name="_Toc32725"/>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r>
        <w:rPr>
          <w:rFonts w:hint="eastAsia" w:ascii="方正仿宋_GB2312" w:hAnsi="方正仿宋_GB2312" w:eastAsia="方正仿宋_GB2312" w:cs="方正仿宋_GB2312"/>
          <w:b/>
          <w:bCs/>
          <w:spacing w:val="-6"/>
          <w:kern w:val="2"/>
          <w:sz w:val="32"/>
          <w:szCs w:val="32"/>
          <w:lang w:val="en-US" w:eastAsia="zh-CN" w:bidi="ar-SA"/>
        </w:rPr>
        <w:t>专业工程暂估单价及结算价表</w:t>
      </w:r>
      <w:bookmarkEnd w:id="1931"/>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p>
    <w:p>
      <w:pPr>
        <w:pStyle w:val="17"/>
        <w:pageBreakBefore w:val="0"/>
        <w:kinsoku/>
        <w:bidi w:val="0"/>
        <w:spacing w:before="51" w:line="440" w:lineRule="exact"/>
        <w:ind w:right="501" w:firstLine="0" w:firstLineChars="0"/>
        <w:jc w:val="left"/>
        <w:rPr>
          <w:rFonts w:hint="eastAsia" w:ascii="方正仿宋_GB2312" w:hAnsi="方正仿宋_GB2312" w:eastAsia="方正仿宋_GB2312" w:cs="方正仿宋_GB2312"/>
          <w:spacing w:val="-13"/>
          <w:sz w:val="32"/>
          <w:szCs w:val="32"/>
          <w:lang w:val="en-US" w:eastAsia="zh-CN"/>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88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1918"/>
        <w:gridCol w:w="935"/>
        <w:gridCol w:w="1150"/>
        <w:gridCol w:w="1088"/>
        <w:gridCol w:w="1356"/>
        <w:gridCol w:w="883"/>
        <w:gridCol w:w="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编号</w:t>
            </w:r>
          </w:p>
        </w:tc>
        <w:tc>
          <w:tcPr>
            <w:tcW w:w="1918"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项目名称</w:t>
            </w:r>
          </w:p>
        </w:tc>
        <w:tc>
          <w:tcPr>
            <w:tcW w:w="935"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单位</w:t>
            </w:r>
          </w:p>
        </w:tc>
        <w:tc>
          <w:tcPr>
            <w:tcW w:w="1150"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暂定</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数量</w:t>
            </w:r>
          </w:p>
        </w:tc>
        <w:tc>
          <w:tcPr>
            <w:tcW w:w="1088"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实际</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数量</w:t>
            </w:r>
          </w:p>
        </w:tc>
        <w:tc>
          <w:tcPr>
            <w:tcW w:w="1356" w:type="dxa"/>
            <w:vMerge w:val="restart"/>
            <w:tcBorders>
              <w:bottom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综合单价 （元）</w:t>
            </w:r>
          </w:p>
        </w:tc>
        <w:tc>
          <w:tcPr>
            <w:tcW w:w="1791" w:type="dxa"/>
            <w:gridSpan w:val="2"/>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合价（元）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18" w:type="dxa"/>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Merge w:val="continue"/>
            <w:tcBorders>
              <w:top w:val="nil"/>
            </w:tcBorders>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暂定</w:t>
            </w: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实际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人工</w:t>
            </w: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06" w:type="dxa"/>
            <w:gridSpan w:val="6"/>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人工小计</w:t>
            </w: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二</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材料</w:t>
            </w: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06" w:type="dxa"/>
            <w:gridSpan w:val="6"/>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材料小计</w:t>
            </w: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三</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施工机械</w:t>
            </w: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w:t>
            </w:r>
          </w:p>
        </w:tc>
        <w:tc>
          <w:tcPr>
            <w:tcW w:w="191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3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5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8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06" w:type="dxa"/>
            <w:gridSpan w:val="6"/>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施工机械小计</w:t>
            </w: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06" w:type="dxa"/>
            <w:gridSpan w:val="6"/>
            <w:vAlign w:val="center"/>
          </w:tcPr>
          <w:p>
            <w:pPr>
              <w:pageBreakBefore w:val="0"/>
              <w:kinsoku/>
              <w:bidi w:val="0"/>
              <w:spacing w:line="440" w:lineRule="exact"/>
              <w:ind w:firstLine="0" w:firstLineChars="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四、企业管理费和利润</w:t>
            </w: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06" w:type="dxa"/>
            <w:gridSpan w:val="6"/>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合计</w:t>
            </w:r>
          </w:p>
        </w:tc>
        <w:tc>
          <w:tcPr>
            <w:tcW w:w="88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注：此表项目名称、暂定数量由招标人填写，编制招标控制价时，单价由招标人按有关计价规定确定；投标时，单价由投标人自主报价，按暂定数量计算合价计入投标总价中。结算时，按发承包双方确认的实际数量计算合价。</w:t>
      </w: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bookmarkStart w:id="1932" w:name="_Toc16275"/>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b/>
          <w:bCs/>
          <w:spacing w:val="-6"/>
          <w:kern w:val="2"/>
          <w:sz w:val="32"/>
          <w:szCs w:val="32"/>
          <w:lang w:val="en-US" w:eastAsia="zh-CN" w:bidi="ar-SA"/>
        </w:rPr>
        <w:t>总承包服务费计价表</w:t>
      </w:r>
      <w:bookmarkEnd w:id="1932"/>
    </w:p>
    <w:p>
      <w:pPr>
        <w:pStyle w:val="17"/>
        <w:pageBreakBefore w:val="0"/>
        <w:kinsoku/>
        <w:bidi w:val="0"/>
        <w:spacing w:before="68" w:line="440" w:lineRule="exact"/>
        <w:ind w:left="478" w:firstLine="0" w:firstLineChars="0"/>
        <w:jc w:val="left"/>
        <w:outlineLvl w:val="9"/>
        <w:rPr>
          <w:rFonts w:hint="eastAsia" w:ascii="方正仿宋_GB2312" w:hAnsi="方正仿宋_GB2312" w:eastAsia="方正仿宋_GB2312" w:cs="方正仿宋_GB2312"/>
          <w:spacing w:val="-13"/>
          <w:sz w:val="32"/>
          <w:szCs w:val="32"/>
        </w:rPr>
      </w:pPr>
    </w:p>
    <w:p>
      <w:pPr>
        <w:pageBreakBefore w:val="0"/>
        <w:kinsoku/>
        <w:bidi w:val="0"/>
        <w:spacing w:line="440" w:lineRule="exact"/>
        <w:ind w:firstLine="0" w:firstLineChars="0"/>
        <w:jc w:val="both"/>
        <w:rPr>
          <w:rFonts w:hint="eastAsia" w:ascii="方正仿宋_GB2312" w:hAnsi="方正仿宋_GB2312" w:eastAsia="方正仿宋_GB2312" w:cs="方正仿宋_GB2312"/>
          <w:spacing w:val="-13"/>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87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2236"/>
        <w:gridCol w:w="1301"/>
        <w:gridCol w:w="1377"/>
        <w:gridCol w:w="1213"/>
        <w:gridCol w:w="1099"/>
        <w:gridCol w:w="9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序号</w:t>
            </w: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项目名称</w:t>
            </w: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项目价值（元）</w:t>
            </w: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服务内容</w:t>
            </w: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计算基础</w:t>
            </w: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费率（%）</w:t>
            </w: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发包人发包专业工程</w:t>
            </w: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发包人提供材料</w:t>
            </w: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223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合计</w:t>
            </w:r>
          </w:p>
        </w:tc>
        <w:tc>
          <w:tcPr>
            <w:tcW w:w="13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13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121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9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97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Style w:val="16"/>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注：此表项目名称、服务内容由招标人填写，编制招标控制价时，费率及金额由招标人按有关计价规定确定；投标时，费率及金额由投标人自主报价，计入投标总价中。</w:t>
      </w:r>
    </w:p>
    <w:p>
      <w:pPr>
        <w:rPr>
          <w:rFonts w:hint="eastAsia" w:ascii="方正仿宋_GB2312" w:hAnsi="方正仿宋_GB2312" w:eastAsia="方正仿宋_GB2312" w:cs="方正仿宋_GB2312"/>
          <w:spacing w:val="-13"/>
          <w:sz w:val="32"/>
          <w:szCs w:val="32"/>
          <w:lang w:val="en-US" w:eastAsia="zh-CN"/>
        </w:rPr>
      </w:pPr>
      <w:r>
        <w:rPr>
          <w:rFonts w:hint="eastAsia" w:ascii="方正仿宋_GB2312" w:hAnsi="方正仿宋_GB2312" w:eastAsia="方正仿宋_GB2312" w:cs="方正仿宋_GB2312"/>
          <w:spacing w:val="-13"/>
          <w:sz w:val="32"/>
          <w:szCs w:val="32"/>
          <w:lang w:val="en-US" w:eastAsia="zh-CN"/>
        </w:rPr>
        <w:br w:type="page"/>
      </w: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bookmarkStart w:id="1933" w:name="_Toc17987"/>
      <w:r>
        <w:rPr>
          <w:rFonts w:hint="eastAsia" w:ascii="方正仿宋_GB2312" w:hAnsi="方正仿宋_GB2312" w:eastAsia="方正仿宋_GB2312" w:cs="方正仿宋_GB2312"/>
          <w:b/>
          <w:bCs/>
          <w:spacing w:val="-6"/>
          <w:kern w:val="2"/>
          <w:sz w:val="32"/>
          <w:szCs w:val="32"/>
          <w:lang w:val="en-US" w:eastAsia="zh-CN" w:bidi="ar-SA"/>
        </w:rPr>
        <w:t>规费、税金项目计价表</w:t>
      </w:r>
      <w:bookmarkEnd w:id="1933"/>
    </w:p>
    <w:p>
      <w:pPr>
        <w:pStyle w:val="17"/>
        <w:pageBreakBefore w:val="0"/>
        <w:kinsoku/>
        <w:bidi w:val="0"/>
        <w:spacing w:before="68" w:line="440" w:lineRule="exact"/>
        <w:ind w:left="478" w:firstLine="0" w:firstLineChars="0"/>
        <w:jc w:val="left"/>
        <w:rPr>
          <w:rFonts w:hint="eastAsia" w:ascii="方正仿宋_GB2312" w:hAnsi="方正仿宋_GB2312" w:eastAsia="方正仿宋_GB2312" w:cs="方正仿宋_GB2312"/>
          <w:spacing w:val="-13"/>
          <w:sz w:val="32"/>
          <w:szCs w:val="32"/>
        </w:rPr>
      </w:pPr>
    </w:p>
    <w:p>
      <w:pPr>
        <w:pageBreakBefore w:val="0"/>
        <w:kinsoku/>
        <w:bidi w:val="0"/>
        <w:spacing w:line="440" w:lineRule="exact"/>
        <w:ind w:firstLine="0" w:firstLineChars="0"/>
        <w:jc w:val="both"/>
        <w:rPr>
          <w:rFonts w:hint="eastAsia" w:ascii="方正仿宋_GB2312" w:hAnsi="方正仿宋_GB2312" w:eastAsia="方正仿宋_GB2312" w:cs="方正仿宋_GB2312"/>
          <w:spacing w:val="-13"/>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 xml:space="preserve">    </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90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930"/>
        <w:gridCol w:w="1889"/>
        <w:gridCol w:w="1653"/>
        <w:gridCol w:w="1498"/>
        <w:gridCol w:w="1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序号</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项目名称</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计算基础</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计算基数</w:t>
            </w: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计算费率（%）</w:t>
            </w: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1</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规费</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定额人工费</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1.1</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社会保险费</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定额人工费</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1</w:t>
            </w:r>
            <w:r>
              <w:rPr>
                <w:rFonts w:hint="eastAsia" w:ascii="方正仿宋_GB2312" w:hAnsi="方正仿宋_GB2312" w:eastAsia="方正仿宋_GB2312" w:cs="方正仿宋_GB2312"/>
                <w:sz w:val="32"/>
                <w:szCs w:val="32"/>
                <w:lang w:eastAsia="zh-CN"/>
              </w:rPr>
              <w:t>）</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养老保险费</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定额人工费</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lang w:eastAsia="zh-CN"/>
              </w:rPr>
              <w:t>）</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失业保险费</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定额人工费</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lang w:eastAsia="zh-CN"/>
              </w:rPr>
              <w:t>）</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医疗保险费</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定额人工费</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4</w:t>
            </w:r>
            <w:r>
              <w:rPr>
                <w:rFonts w:hint="eastAsia" w:ascii="方正仿宋_GB2312" w:hAnsi="方正仿宋_GB2312" w:eastAsia="方正仿宋_GB2312" w:cs="方正仿宋_GB2312"/>
                <w:sz w:val="32"/>
                <w:szCs w:val="32"/>
                <w:lang w:eastAsia="zh-CN"/>
              </w:rPr>
              <w:t>）</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工伤保险费</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定额人工费</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（5）</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生育保险费</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定额人工费</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1.2</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住房公积金</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定额人工费</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3"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1.3</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工程排污费</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按工程所在地环境保护部门收取标准，按实计入</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0" w:hRule="atLeast"/>
        </w:trPr>
        <w:tc>
          <w:tcPr>
            <w:tcW w:w="87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w:t>
            </w:r>
          </w:p>
        </w:tc>
        <w:tc>
          <w:tcPr>
            <w:tcW w:w="193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税金</w:t>
            </w:r>
          </w:p>
        </w:tc>
        <w:tc>
          <w:tcPr>
            <w:tcW w:w="188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分部分项工程费+措施项目费+其 他项目费+规费-按规定不计税的工程设备金额</w:t>
            </w:r>
          </w:p>
        </w:tc>
        <w:tc>
          <w:tcPr>
            <w:tcW w:w="165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847" w:type="dxa"/>
            <w:gridSpan w:val="5"/>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合计</w:t>
            </w:r>
          </w:p>
        </w:tc>
        <w:tc>
          <w:tcPr>
            <w:tcW w:w="121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ageBreakBefore w:val="0"/>
        <w:kinsoku/>
        <w:bidi w:val="0"/>
        <w:spacing w:line="440" w:lineRule="exact"/>
        <w:ind w:firstLine="0" w:firstLineChars="0"/>
        <w:jc w:val="both"/>
        <w:rPr>
          <w:rFonts w:hint="eastAsia" w:ascii="方正仿宋_GB2312" w:hAnsi="方正仿宋_GB2312" w:eastAsia="方正仿宋_GB2312" w:cs="方正仿宋_GB2312"/>
          <w:spacing w:val="-13"/>
          <w:sz w:val="32"/>
          <w:szCs w:val="32"/>
          <w:lang w:val="en-US" w:eastAsia="zh-CN"/>
        </w:rPr>
      </w:pP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bookmarkStart w:id="1934" w:name="_Toc32235"/>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r>
        <w:rPr>
          <w:rFonts w:hint="eastAsia" w:ascii="方正仿宋_GB2312" w:hAnsi="方正仿宋_GB2312" w:eastAsia="方正仿宋_GB2312" w:cs="方正仿宋_GB2312"/>
          <w:b/>
          <w:bCs/>
          <w:spacing w:val="-6"/>
          <w:kern w:val="2"/>
          <w:sz w:val="32"/>
          <w:szCs w:val="32"/>
          <w:lang w:val="en-US" w:eastAsia="zh-CN" w:bidi="ar-SA"/>
        </w:rPr>
        <w:t>规费、税金项目计价表</w:t>
      </w:r>
      <w:bookmarkEnd w:id="1934"/>
    </w:p>
    <w:p>
      <w:pPr>
        <w:pStyle w:val="17"/>
        <w:pageBreakBefore w:val="0"/>
        <w:kinsoku/>
        <w:bidi w:val="0"/>
        <w:spacing w:before="68" w:line="440" w:lineRule="exact"/>
        <w:ind w:left="478" w:firstLine="0" w:firstLineChars="0"/>
        <w:jc w:val="left"/>
        <w:rPr>
          <w:rFonts w:hint="eastAsia" w:ascii="方正仿宋_GB2312" w:hAnsi="方正仿宋_GB2312" w:eastAsia="方正仿宋_GB2312" w:cs="方正仿宋_GB2312"/>
          <w:spacing w:val="-13"/>
          <w:sz w:val="32"/>
          <w:szCs w:val="32"/>
        </w:rPr>
      </w:pPr>
    </w:p>
    <w:p>
      <w:pPr>
        <w:pageBreakBefore w:val="0"/>
        <w:kinsoku/>
        <w:bidi w:val="0"/>
        <w:spacing w:line="440" w:lineRule="exact"/>
        <w:ind w:firstLine="0" w:firstLineChars="0"/>
        <w:jc w:val="both"/>
        <w:rPr>
          <w:rFonts w:hint="eastAsia" w:ascii="方正仿宋_GB2312" w:hAnsi="方正仿宋_GB2312" w:eastAsia="方正仿宋_GB2312" w:cs="方正仿宋_GB2312"/>
          <w:spacing w:val="-13"/>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9375" w:type="dxa"/>
        <w:tblInd w:w="-3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1100"/>
        <w:gridCol w:w="1771"/>
        <w:gridCol w:w="721"/>
        <w:gridCol w:w="847"/>
        <w:gridCol w:w="860"/>
        <w:gridCol w:w="1037"/>
        <w:gridCol w:w="1201"/>
        <w:gridCol w:w="11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4" w:hRule="atLeast"/>
        </w:trPr>
        <w:tc>
          <w:tcPr>
            <w:tcW w:w="69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序号</w:t>
            </w:r>
          </w:p>
        </w:tc>
        <w:tc>
          <w:tcPr>
            <w:tcW w:w="110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材料编码</w:t>
            </w:r>
          </w:p>
        </w:tc>
        <w:tc>
          <w:tcPr>
            <w:tcW w:w="177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材料（工程设</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备）名称、规</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格、型号</w:t>
            </w:r>
          </w:p>
        </w:tc>
        <w:tc>
          <w:tcPr>
            <w:tcW w:w="7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单位</w:t>
            </w:r>
          </w:p>
        </w:tc>
        <w:tc>
          <w:tcPr>
            <w:tcW w:w="84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数量</w:t>
            </w:r>
          </w:p>
        </w:tc>
        <w:tc>
          <w:tcPr>
            <w:tcW w:w="8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单价  （元）</w:t>
            </w:r>
          </w:p>
        </w:tc>
        <w:tc>
          <w:tcPr>
            <w:tcW w:w="103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交货</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方式</w:t>
            </w:r>
          </w:p>
        </w:tc>
        <w:tc>
          <w:tcPr>
            <w:tcW w:w="12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送达</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地点</w:t>
            </w:r>
          </w:p>
        </w:tc>
        <w:tc>
          <w:tcPr>
            <w:tcW w:w="114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0" w:hRule="atLeast"/>
        </w:trPr>
        <w:tc>
          <w:tcPr>
            <w:tcW w:w="69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0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77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72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4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8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01"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4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pStyle w:val="17"/>
        <w:pageBreakBefore w:val="0"/>
        <w:kinsoku/>
        <w:bidi w:val="0"/>
        <w:spacing w:before="46" w:line="440" w:lineRule="exact"/>
        <w:ind w:left="383" w:firstLine="0" w:firstLineChars="0"/>
        <w:jc w:val="left"/>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注：此表由招标人填写，供投标人在投标报价、确定总承包服务费时参考。</w:t>
      </w:r>
    </w:p>
    <w:p>
      <w:pPr>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br w:type="page"/>
      </w: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bookmarkStart w:id="1935" w:name="_Toc23423"/>
      <w:r>
        <w:rPr>
          <w:rFonts w:hint="eastAsia" w:ascii="方正仿宋_GB2312" w:hAnsi="方正仿宋_GB2312" w:eastAsia="方正仿宋_GB2312" w:cs="方正仿宋_GB2312"/>
          <w:b/>
          <w:bCs/>
          <w:spacing w:val="-6"/>
          <w:kern w:val="2"/>
          <w:sz w:val="32"/>
          <w:szCs w:val="32"/>
          <w:lang w:val="en-US" w:eastAsia="zh-CN" w:bidi="ar-SA"/>
        </w:rPr>
        <w:t>承包人提供主要材料和工程设备一览表</w:t>
      </w:r>
      <w:bookmarkEnd w:id="1935"/>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bookmarkStart w:id="1936" w:name="_Toc15882"/>
      <w:r>
        <w:rPr>
          <w:rFonts w:hint="eastAsia" w:ascii="方正仿宋_GB2312" w:hAnsi="方正仿宋_GB2312" w:eastAsia="方正仿宋_GB2312" w:cs="方正仿宋_GB2312"/>
          <w:b/>
          <w:bCs/>
          <w:spacing w:val="-6"/>
          <w:kern w:val="2"/>
          <w:sz w:val="32"/>
          <w:szCs w:val="32"/>
          <w:lang w:val="en-US" w:eastAsia="zh-CN" w:bidi="ar-SA"/>
        </w:rPr>
        <w:t>（适用于造价信息差额调整法）</w:t>
      </w:r>
      <w:bookmarkEnd w:id="1936"/>
    </w:p>
    <w:p>
      <w:pPr>
        <w:pStyle w:val="17"/>
        <w:pageBreakBefore w:val="0"/>
        <w:kinsoku/>
        <w:bidi w:val="0"/>
        <w:spacing w:before="68" w:line="440" w:lineRule="exact"/>
        <w:ind w:left="478" w:firstLine="0" w:firstLineChars="0"/>
        <w:jc w:val="left"/>
        <w:rPr>
          <w:rFonts w:hint="eastAsia" w:ascii="方正仿宋_GB2312" w:hAnsi="方正仿宋_GB2312" w:eastAsia="方正仿宋_GB2312" w:cs="方正仿宋_GB2312"/>
          <w:spacing w:val="-13"/>
          <w:sz w:val="32"/>
          <w:szCs w:val="32"/>
        </w:rPr>
      </w:pPr>
    </w:p>
    <w:p>
      <w:pPr>
        <w:pageBreakBefore w:val="0"/>
        <w:kinsoku/>
        <w:bidi w:val="0"/>
        <w:spacing w:line="440" w:lineRule="exact"/>
        <w:ind w:firstLine="0" w:firstLineChars="0"/>
        <w:jc w:val="both"/>
        <w:rPr>
          <w:rFonts w:hint="eastAsia" w:ascii="方正仿宋_GB2312" w:hAnsi="方正仿宋_GB2312" w:eastAsia="方正仿宋_GB2312" w:cs="方正仿宋_GB2312"/>
          <w:spacing w:val="-13"/>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 xml:space="preserve">  </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9486" w:type="dxa"/>
        <w:tblInd w:w="-3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7"/>
        <w:gridCol w:w="1048"/>
        <w:gridCol w:w="1175"/>
        <w:gridCol w:w="732"/>
        <w:gridCol w:w="708"/>
        <w:gridCol w:w="985"/>
        <w:gridCol w:w="998"/>
        <w:gridCol w:w="1175"/>
        <w:gridCol w:w="1263"/>
        <w:gridCol w:w="7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65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序号</w:t>
            </w:r>
          </w:p>
        </w:tc>
        <w:tc>
          <w:tcPr>
            <w:tcW w:w="104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材料编码</w:t>
            </w:r>
          </w:p>
        </w:tc>
        <w:tc>
          <w:tcPr>
            <w:tcW w:w="117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名称、规 格、型号</w:t>
            </w:r>
          </w:p>
        </w:tc>
        <w:tc>
          <w:tcPr>
            <w:tcW w:w="732"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单位</w:t>
            </w:r>
          </w:p>
        </w:tc>
        <w:tc>
          <w:tcPr>
            <w:tcW w:w="70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数量</w:t>
            </w:r>
          </w:p>
        </w:tc>
        <w:tc>
          <w:tcPr>
            <w:tcW w:w="98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风险</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系数</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998"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基准</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单价 （元）</w:t>
            </w:r>
          </w:p>
        </w:tc>
        <w:tc>
          <w:tcPr>
            <w:tcW w:w="117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投标</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单价 （元）</w:t>
            </w:r>
          </w:p>
        </w:tc>
        <w:tc>
          <w:tcPr>
            <w:tcW w:w="126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发承包人确认单价（元）</w:t>
            </w:r>
          </w:p>
        </w:tc>
        <w:tc>
          <w:tcPr>
            <w:tcW w:w="745"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57"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04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32"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0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8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998"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17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1263"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c>
          <w:tcPr>
            <w:tcW w:w="745" w:type="dxa"/>
            <w:vAlign w:val="top"/>
          </w:tcPr>
          <w:p>
            <w:pPr>
              <w:pStyle w:val="209"/>
              <w:pageBreakBefore w:val="0"/>
              <w:kinsoku/>
              <w:bidi w:val="0"/>
              <w:spacing w:line="440" w:lineRule="exact"/>
              <w:ind w:firstLine="0" w:firstLineChars="0"/>
              <w:rPr>
                <w:rFonts w:hint="eastAsia" w:ascii="方正仿宋_GB2312" w:hAnsi="方正仿宋_GB2312" w:eastAsia="方正仿宋_GB2312" w:cs="方正仿宋_GB2312"/>
                <w:sz w:val="32"/>
                <w:szCs w:val="32"/>
              </w:rPr>
            </w:pPr>
          </w:p>
        </w:tc>
      </w:tr>
    </w:tbl>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注：1.此表由招标人填写除“投标单价”栏的内容，投标人在投标时自主确定投标单价。</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2.招标人应优先采用工程造价管理机构发布的单价作为基准单价，未发布的，通过市场调查确定其基准单价。</w:t>
      </w:r>
    </w:p>
    <w:p>
      <w:pPr>
        <w:pageBreakBefore w:val="0"/>
        <w:kinsoku/>
        <w:bidi w:val="0"/>
        <w:spacing w:line="440" w:lineRule="exact"/>
        <w:ind w:firstLine="0" w:firstLineChars="0"/>
        <w:jc w:val="both"/>
        <w:rPr>
          <w:rFonts w:hint="eastAsia" w:ascii="方正仿宋_GB2312" w:hAnsi="方正仿宋_GB2312" w:eastAsia="方正仿宋_GB2312" w:cs="方正仿宋_GB2312"/>
          <w:spacing w:val="-13"/>
          <w:sz w:val="32"/>
          <w:szCs w:val="32"/>
          <w:lang w:val="en-US" w:eastAsia="zh-CN"/>
        </w:rPr>
      </w:pPr>
    </w:p>
    <w:p>
      <w:pPr>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pPr>
      <w:r>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br w:type="page"/>
      </w:r>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b/>
          <w:bCs/>
          <w:spacing w:val="-6"/>
          <w:kern w:val="2"/>
          <w:sz w:val="32"/>
          <w:szCs w:val="32"/>
          <w:lang w:val="en-US" w:eastAsia="zh-CN" w:bidi="ar-SA"/>
        </w:rPr>
      </w:pPr>
      <w:bookmarkStart w:id="1937" w:name="_Toc18883"/>
      <w:r>
        <w:rPr>
          <w:rFonts w:hint="eastAsia" w:ascii="方正仿宋_GB2312" w:hAnsi="方正仿宋_GB2312" w:eastAsia="方正仿宋_GB2312" w:cs="方正仿宋_GB2312"/>
          <w:b/>
          <w:bCs/>
          <w:spacing w:val="-6"/>
          <w:kern w:val="2"/>
          <w:sz w:val="32"/>
          <w:szCs w:val="32"/>
          <w:lang w:val="en-US" w:eastAsia="zh-CN" w:bidi="ar-SA"/>
        </w:rPr>
        <w:t>承包人提供主要材料和工程设备一览表</w:t>
      </w:r>
      <w:bookmarkEnd w:id="1937"/>
    </w:p>
    <w:p>
      <w:pPr>
        <w:pageBreakBefore w:val="0"/>
        <w:kinsoku/>
        <w:bidi w:val="0"/>
        <w:spacing w:line="440" w:lineRule="exact"/>
        <w:ind w:firstLine="0" w:firstLineChars="0"/>
        <w:jc w:val="center"/>
        <w:outlineLvl w:val="3"/>
        <w:rPr>
          <w:rFonts w:hint="eastAsia" w:ascii="方正仿宋_GB2312" w:hAnsi="方正仿宋_GB2312" w:eastAsia="方正仿宋_GB2312" w:cs="方正仿宋_GB2312"/>
          <w:kern w:val="2"/>
          <w:sz w:val="32"/>
          <w:szCs w:val="32"/>
          <w:lang w:val="en-US" w:eastAsia="zh-CN" w:bidi="ar-SA"/>
          <w14:textOutline w14:w="3831" w14:cap="flat" w14:cmpd="sng">
            <w14:solidFill>
              <w14:srgbClr w14:val="000000"/>
            </w14:solidFill>
            <w14:prstDash w14:val="solid"/>
            <w14:miter w14:val="0"/>
          </w14:textOutline>
        </w:rPr>
      </w:pPr>
      <w:bookmarkStart w:id="1938" w:name="_Toc23805"/>
      <w:r>
        <w:rPr>
          <w:rFonts w:hint="eastAsia" w:ascii="方正仿宋_GB2312" w:hAnsi="方正仿宋_GB2312" w:eastAsia="方正仿宋_GB2312" w:cs="方正仿宋_GB2312"/>
          <w:b/>
          <w:bCs/>
          <w:spacing w:val="-6"/>
          <w:kern w:val="2"/>
          <w:sz w:val="32"/>
          <w:szCs w:val="32"/>
          <w:lang w:val="en-US" w:eastAsia="zh-CN" w:bidi="ar-SA"/>
        </w:rPr>
        <w:t>（适用于价格指数差额调整法）</w:t>
      </w:r>
      <w:bookmarkEnd w:id="1938"/>
    </w:p>
    <w:p>
      <w:pPr>
        <w:pStyle w:val="17"/>
        <w:pageBreakBefore w:val="0"/>
        <w:kinsoku/>
        <w:bidi w:val="0"/>
        <w:spacing w:before="68" w:line="440" w:lineRule="exact"/>
        <w:ind w:left="478" w:firstLine="0" w:firstLineChars="0"/>
        <w:jc w:val="left"/>
        <w:rPr>
          <w:rFonts w:hint="eastAsia" w:ascii="方正仿宋_GB2312" w:hAnsi="方正仿宋_GB2312" w:eastAsia="方正仿宋_GB2312" w:cs="方正仿宋_GB2312"/>
          <w:spacing w:val="-13"/>
          <w:sz w:val="32"/>
          <w:szCs w:val="32"/>
        </w:rPr>
      </w:pPr>
    </w:p>
    <w:p>
      <w:pPr>
        <w:pageBreakBefore w:val="0"/>
        <w:kinsoku/>
        <w:bidi w:val="0"/>
        <w:spacing w:line="440" w:lineRule="exact"/>
        <w:ind w:firstLine="0" w:firstLineChars="0"/>
        <w:jc w:val="both"/>
        <w:rPr>
          <w:rFonts w:hint="eastAsia" w:ascii="方正仿宋_GB2312" w:hAnsi="方正仿宋_GB2312" w:eastAsia="方正仿宋_GB2312" w:cs="方正仿宋_GB2312"/>
          <w:spacing w:val="-13"/>
          <w:sz w:val="32"/>
          <w:szCs w:val="32"/>
        </w:rPr>
      </w:pPr>
      <w:r>
        <w:rPr>
          <w:rFonts w:hint="eastAsia" w:ascii="方正仿宋_GB2312" w:hAnsi="方正仿宋_GB2312" w:eastAsia="方正仿宋_GB2312" w:cs="方正仿宋_GB2312"/>
          <w:spacing w:val="-13"/>
          <w:sz w:val="32"/>
          <w:szCs w:val="32"/>
        </w:rPr>
        <w:t>工程名称：</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2"/>
          <w:sz w:val="32"/>
          <w:szCs w:val="32"/>
          <w:lang w:val="en-US" w:eastAsia="zh-CN"/>
        </w:rPr>
        <w:t>标段：</w:t>
      </w:r>
      <w:r>
        <w:rPr>
          <w:rFonts w:hint="eastAsia" w:ascii="方正仿宋_GB2312" w:hAnsi="方正仿宋_GB2312" w:eastAsia="方正仿宋_GB2312" w:cs="方正仿宋_GB2312"/>
          <w:spacing w:val="2"/>
          <w:sz w:val="32"/>
          <w:szCs w:val="32"/>
        </w:rPr>
        <w:t xml:space="preserve">           </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第</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spacing w:val="-13"/>
          <w:sz w:val="32"/>
          <w:szCs w:val="32"/>
        </w:rPr>
        <w:t>页</w:t>
      </w:r>
      <w:r>
        <w:rPr>
          <w:rFonts w:hint="eastAsia" w:ascii="方正仿宋_GB2312" w:hAnsi="方正仿宋_GB2312" w:eastAsia="方正仿宋_GB2312" w:cs="方正仿宋_GB2312"/>
          <w:spacing w:val="1"/>
          <w:sz w:val="32"/>
          <w:szCs w:val="32"/>
        </w:rPr>
        <w:t xml:space="preserve">    </w:t>
      </w:r>
      <w:r>
        <w:rPr>
          <w:rFonts w:hint="eastAsia" w:ascii="方正仿宋_GB2312" w:hAnsi="方正仿宋_GB2312" w:eastAsia="方正仿宋_GB2312" w:cs="方正仿宋_GB2312"/>
          <w:spacing w:val="-13"/>
          <w:sz w:val="32"/>
          <w:szCs w:val="32"/>
        </w:rPr>
        <w:t>共</w:t>
      </w:r>
      <w:r>
        <w:rPr>
          <w:rFonts w:hint="eastAsia" w:ascii="方正仿宋_GB2312" w:hAnsi="方正仿宋_GB2312" w:eastAsia="方正仿宋_GB2312" w:cs="方正仿宋_GB2312"/>
          <w:spacing w:val="8"/>
          <w:sz w:val="32"/>
          <w:szCs w:val="32"/>
        </w:rPr>
        <w:t xml:space="preserve"> </w:t>
      </w:r>
      <w:r>
        <w:rPr>
          <w:rFonts w:hint="eastAsia" w:ascii="方正仿宋_GB2312" w:hAnsi="方正仿宋_GB2312" w:eastAsia="方正仿宋_GB2312" w:cs="方正仿宋_GB2312"/>
          <w:spacing w:val="8"/>
          <w:sz w:val="32"/>
          <w:szCs w:val="32"/>
          <w:lang w:val="en-US" w:eastAsia="zh-CN"/>
        </w:rPr>
        <w:t xml:space="preserve"> </w:t>
      </w:r>
      <w:r>
        <w:rPr>
          <w:rFonts w:hint="eastAsia" w:ascii="方正仿宋_GB2312" w:hAnsi="方正仿宋_GB2312" w:eastAsia="方正仿宋_GB2312" w:cs="方正仿宋_GB2312"/>
          <w:spacing w:val="-13"/>
          <w:sz w:val="32"/>
          <w:szCs w:val="32"/>
        </w:rPr>
        <w:t>页</w:t>
      </w:r>
    </w:p>
    <w:tbl>
      <w:tblPr>
        <w:tblStyle w:val="210"/>
        <w:tblW w:w="87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
        <w:gridCol w:w="1033"/>
        <w:gridCol w:w="1274"/>
        <w:gridCol w:w="1417"/>
        <w:gridCol w:w="1559"/>
        <w:gridCol w:w="1556"/>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序号</w:t>
            </w: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材料</w:t>
            </w:r>
          </w:p>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编码</w:t>
            </w: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名称、规 格、型号</w:t>
            </w: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变值权重B</w:t>
            </w: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基本价格指数F0</w:t>
            </w: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现行格指数Ft</w:t>
            </w: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定值权重A</w:t>
            </w: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033"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c>
          <w:tcPr>
            <w:tcW w:w="1274"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合计</w:t>
            </w:r>
          </w:p>
        </w:tc>
        <w:tc>
          <w:tcPr>
            <w:tcW w:w="1417"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w:t>
            </w:r>
          </w:p>
        </w:tc>
        <w:tc>
          <w:tcPr>
            <w:tcW w:w="1559"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1556"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w:t>
            </w:r>
          </w:p>
        </w:tc>
        <w:tc>
          <w:tcPr>
            <w:tcW w:w="1160" w:type="dxa"/>
            <w:vAlign w:val="center"/>
          </w:tcPr>
          <w:p>
            <w:pPr>
              <w:pageBreakBefore w:val="0"/>
              <w:kinsoku/>
              <w:bidi w:val="0"/>
              <w:spacing w:line="440" w:lineRule="exact"/>
              <w:ind w:firstLine="0" w:firstLineChars="0"/>
              <w:jc w:val="center"/>
              <w:rPr>
                <w:rFonts w:hint="eastAsia" w:ascii="方正仿宋_GB2312" w:hAnsi="方正仿宋_GB2312" w:eastAsia="方正仿宋_GB2312" w:cs="方正仿宋_GB2312"/>
                <w:sz w:val="32"/>
                <w:szCs w:val="32"/>
              </w:rPr>
            </w:pPr>
          </w:p>
        </w:tc>
      </w:tr>
    </w:tbl>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注：1</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“名称、规格、型号”、“基本价格指数”栏由招标人填写，基本价格指数应首  先采用工程造价管理机构发布的价格指数，没有时，可采用发布的价格代替。如人工、机械费也采用本法调整。由招标人在“名称”栏填写。</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“变值权重”栏由投标人根据该项人工、机械费和材料、工程设备价值在投标总报价中所占的比例填写，1减去其比例为定值权重。</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rPr>
        <w:t>“现行价格指数”按约定的付款证书相关周期最后一天的前42天的各项价格指数填写，该指数应首先采用工程造价管理机构发布的价格指数，没有时，可采用发布的价格代替。</w:t>
      </w:r>
      <w:bookmarkEnd w:id="1774"/>
      <w:bookmarkEnd w:id="1789"/>
      <w:bookmarkEnd w:id="1791"/>
    </w:p>
    <w:sectPr>
      <w:headerReference r:id="rId10" w:type="default"/>
      <w:footerReference r:id="rId11" w:type="default"/>
      <w:pgSz w:w="11907" w:h="16840"/>
      <w:pgMar w:top="1440" w:right="1559" w:bottom="1440" w:left="156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477485A-E715-4DC7-9773-AC3A4971EB6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7EA48FA6-52EF-489E-BBBA-3A04B36C6ACF}"/>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方正仿宋_GB2312">
    <w:panose1 w:val="02000000000000000000"/>
    <w:charset w:val="86"/>
    <w:family w:val="auto"/>
    <w:pitch w:val="default"/>
    <w:sig w:usb0="A00002BF" w:usb1="184F6CFA" w:usb2="00000012" w:usb3="00000000" w:csb0="00040001" w:csb1="00000000"/>
    <w:embedRegular r:id="rId3" w:fontKey="{70C3ADE2-1E08-4F9C-966B-23B8980AAFD2}"/>
  </w:font>
  <w:font w:name="方正小标宋简体">
    <w:panose1 w:val="02000000000000000000"/>
    <w:charset w:val="86"/>
    <w:family w:val="auto"/>
    <w:pitch w:val="default"/>
    <w:sig w:usb0="00000001" w:usb1="08000000" w:usb2="00000000" w:usb3="00000000" w:csb0="00040000" w:csb1="00000000"/>
    <w:embedRegular r:id="rId4" w:fontKey="{D32A21AB-9E44-490C-9D97-68118E00651B}"/>
  </w:font>
  <w:font w:name="Wingdings 2">
    <w:panose1 w:val="05020102010507070707"/>
    <w:charset w:val="02"/>
    <w:family w:val="roman"/>
    <w:pitch w:val="default"/>
    <w:sig w:usb0="00000000" w:usb1="00000000" w:usb2="00000000" w:usb3="00000000" w:csb0="80000000" w:csb1="00000000"/>
    <w:embedRegular r:id="rId5" w:fontKey="{DB1D6F4D-E1E1-4998-8B5F-2DECC19245A0}"/>
  </w:font>
  <w:font w:name="楷体">
    <w:panose1 w:val="02010609060101010101"/>
    <w:charset w:val="86"/>
    <w:family w:val="auto"/>
    <w:pitch w:val="default"/>
    <w:sig w:usb0="800002BF" w:usb1="38CF7CFA" w:usb2="00000016" w:usb3="00000000" w:csb0="00040001" w:csb1="00000000"/>
    <w:embedRegular r:id="rId6" w:fontKey="{F8C853BB-364C-4142-A8CA-07CF4FDB72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10</w:t>
                    </w:r>
                    <w:r>
                      <w:fldChar w:fldCharType="end"/>
                    </w:r>
                  </w:p>
                </w:txbxContent>
              </v:textbox>
            </v:shape>
          </w:pict>
        </mc:Fallback>
      </mc:AlternateContent>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Times New Roman" w:hAnsi="Times New Roman" w:eastAsia="仿宋_GB2312"/>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354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354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DA793"/>
    <w:multiLevelType w:val="singleLevel"/>
    <w:tmpl w:val="973DA793"/>
    <w:lvl w:ilvl="0" w:tentative="0">
      <w:start w:val="2"/>
      <w:numFmt w:val="decimal"/>
      <w:suff w:val="nothing"/>
      <w:lvlText w:val="%1、"/>
      <w:lvlJc w:val="left"/>
    </w:lvl>
  </w:abstractNum>
  <w:abstractNum w:abstractNumId="1">
    <w:nsid w:val="9A9FDD9F"/>
    <w:multiLevelType w:val="singleLevel"/>
    <w:tmpl w:val="9A9FDD9F"/>
    <w:lvl w:ilvl="0" w:tentative="0">
      <w:start w:val="1"/>
      <w:numFmt w:val="decimal"/>
      <w:suff w:val="space"/>
      <w:lvlText w:val="%1."/>
      <w:lvlJc w:val="left"/>
    </w:lvl>
  </w:abstractNum>
  <w:abstractNum w:abstractNumId="2">
    <w:nsid w:val="D67123B6"/>
    <w:multiLevelType w:val="singleLevel"/>
    <w:tmpl w:val="D67123B6"/>
    <w:lvl w:ilvl="0" w:tentative="0">
      <w:start w:val="2"/>
      <w:numFmt w:val="decimal"/>
      <w:suff w:val="nothing"/>
      <w:lvlText w:val="%1、"/>
      <w:lvlJc w:val="left"/>
    </w:lvl>
  </w:abstractNum>
  <w:abstractNum w:abstractNumId="3">
    <w:nsid w:val="E17E1F11"/>
    <w:multiLevelType w:val="singleLevel"/>
    <w:tmpl w:val="E17E1F11"/>
    <w:lvl w:ilvl="0" w:tentative="0">
      <w:start w:val="2"/>
      <w:numFmt w:val="decimal"/>
      <w:suff w:val="nothing"/>
      <w:lvlText w:val="%1、"/>
      <w:lvlJc w:val="left"/>
    </w:lvl>
  </w:abstractNum>
  <w:abstractNum w:abstractNumId="4">
    <w:nsid w:val="EBD25D0E"/>
    <w:multiLevelType w:val="singleLevel"/>
    <w:tmpl w:val="EBD25D0E"/>
    <w:lvl w:ilvl="0" w:tentative="0">
      <w:start w:val="2"/>
      <w:numFmt w:val="decimal"/>
      <w:lvlText w:val="%1."/>
      <w:lvlJc w:val="left"/>
      <w:pPr>
        <w:tabs>
          <w:tab w:val="left" w:pos="312"/>
        </w:tabs>
      </w:pPr>
    </w:lvl>
  </w:abstractNum>
  <w:abstractNum w:abstractNumId="5">
    <w:nsid w:val="00000006"/>
    <w:multiLevelType w:val="singleLevel"/>
    <w:tmpl w:val="00000006"/>
    <w:lvl w:ilvl="0" w:tentative="0">
      <w:start w:val="1"/>
      <w:numFmt w:val="decimal"/>
      <w:suff w:val="nothing"/>
      <w:lvlText w:val="（%1）"/>
      <w:lvlJc w:val="left"/>
    </w:lvl>
  </w:abstractNum>
  <w:abstractNum w:abstractNumId="6">
    <w:nsid w:val="01E967D5"/>
    <w:multiLevelType w:val="multilevel"/>
    <w:tmpl w:val="01E967D5"/>
    <w:lvl w:ilvl="0" w:tentative="0">
      <w:start w:val="1"/>
      <w:numFmt w:val="chineseCountingThousand"/>
      <w:pStyle w:val="183"/>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8">
    <w:nsid w:val="3AA800C6"/>
    <w:multiLevelType w:val="multilevel"/>
    <w:tmpl w:val="3AA800C6"/>
    <w:lvl w:ilvl="0" w:tentative="0">
      <w:start w:val="1"/>
      <w:numFmt w:val="decimal"/>
      <w:pStyle w:val="187"/>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9">
    <w:nsid w:val="62687BB6"/>
    <w:multiLevelType w:val="multilevel"/>
    <w:tmpl w:val="62687BB6"/>
    <w:lvl w:ilvl="0" w:tentative="0">
      <w:start w:val="1"/>
      <w:numFmt w:val="decimal"/>
      <w:pStyle w:val="193"/>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10">
    <w:nsid w:val="6E87019F"/>
    <w:multiLevelType w:val="multilevel"/>
    <w:tmpl w:val="6E87019F"/>
    <w:lvl w:ilvl="0" w:tentative="0">
      <w:start w:val="1"/>
      <w:numFmt w:val="chineseCountingThousand"/>
      <w:pStyle w:val="185"/>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6"/>
  </w:num>
  <w:num w:numId="2">
    <w:abstractNumId w:val="10"/>
  </w:num>
  <w:num w:numId="3">
    <w:abstractNumId w:val="8"/>
  </w:num>
  <w:num w:numId="4">
    <w:abstractNumId w:val="7"/>
    <w:lvlOverride w:ilvl="0">
      <w:lvl w:ilvl="0" w:tentative="1">
        <w:start w:val="1"/>
        <w:numFmt w:val="decimal"/>
        <w:lvlText w:val="第%1条"/>
        <w:lvlJc w:val="left"/>
        <w:pPr>
          <w:ind w:left="0" w:firstLine="0"/>
        </w:pPr>
      </w:lvl>
    </w:lvlOverride>
    <w:lvlOverride w:ilvl="1">
      <w:lvl w:ilvl="1" w:tentative="1">
        <w:start w:val="1"/>
        <w:numFmt w:val="decimal"/>
        <w:pStyle w:val="188"/>
        <w:lvlText w:val="%1.%2"/>
        <w:lvlJc w:val="left"/>
        <w:pPr>
          <w:ind w:left="1843" w:firstLine="0"/>
        </w:pPr>
      </w:lvl>
    </w:lvlOverride>
    <w:lvlOverride w:ilvl="2">
      <w:lvl w:ilvl="2" w:tentative="1">
        <w:start w:val="1"/>
        <w:numFmt w:val="decimal"/>
        <w:pStyle w:val="189"/>
        <w:lvlText w:val="%1.%2.%3"/>
        <w:lvlJc w:val="left"/>
        <w:pPr>
          <w:ind w:left="2126" w:firstLine="0"/>
        </w:pPr>
      </w:lvl>
    </w:lvlOverride>
    <w:lvlOverride w:ilvl="3">
      <w:lvl w:ilvl="3" w:tentative="1">
        <w:start w:val="1"/>
        <w:numFmt w:val="decimal"/>
        <w:pStyle w:val="190"/>
        <w:lvlText w:val="%1.%2.%3.%4"/>
        <w:lvlJc w:val="left"/>
        <w:pPr>
          <w:ind w:left="71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5">
    <w:abstractNumId w:val="7"/>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pStyle w:val="191"/>
        <w:lvlText w:val="(%5)"/>
        <w:lvlJc w:val="left"/>
        <w:pPr>
          <w:ind w:left="310" w:firstLine="400"/>
        </w:pPr>
      </w:lvl>
    </w:lvlOverride>
    <w:lvlOverride w:ilvl="5">
      <w:lvl w:ilvl="5" w:tentative="1">
        <w:start w:val="1"/>
        <w:numFmt w:val="decimal"/>
        <w:lvlText w:val="%6)"/>
        <w:lvlJc w:val="left"/>
        <w:pPr>
          <w:ind w:left="0" w:firstLine="48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6">
    <w:abstractNumId w:val="9"/>
  </w:num>
  <w:num w:numId="7">
    <w:abstractNumId w:val="0"/>
  </w:num>
  <w:num w:numId="8">
    <w:abstractNumId w:val="2"/>
  </w:num>
  <w:num w:numId="9">
    <w:abstractNumId w:val="5"/>
  </w:num>
  <w:num w:numId="10">
    <w:abstractNumId w:val="3"/>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hNDNiOGYwYmE3ZmNkNDZhOWFkODRiN2I1NjIxMjEifQ=="/>
  </w:docVars>
  <w:rsids>
    <w:rsidRoot w:val="00362622"/>
    <w:rsid w:val="00003FDF"/>
    <w:rsid w:val="00004CAF"/>
    <w:rsid w:val="00004D32"/>
    <w:rsid w:val="00021402"/>
    <w:rsid w:val="00027B25"/>
    <w:rsid w:val="000326F9"/>
    <w:rsid w:val="000350EF"/>
    <w:rsid w:val="00036CF4"/>
    <w:rsid w:val="00037BED"/>
    <w:rsid w:val="00042887"/>
    <w:rsid w:val="000437F5"/>
    <w:rsid w:val="00043A66"/>
    <w:rsid w:val="00044F48"/>
    <w:rsid w:val="000524A3"/>
    <w:rsid w:val="000553E0"/>
    <w:rsid w:val="00074C34"/>
    <w:rsid w:val="0007749C"/>
    <w:rsid w:val="000776AD"/>
    <w:rsid w:val="00081248"/>
    <w:rsid w:val="000844B2"/>
    <w:rsid w:val="0008539D"/>
    <w:rsid w:val="000863DC"/>
    <w:rsid w:val="00093406"/>
    <w:rsid w:val="000942D2"/>
    <w:rsid w:val="0009501E"/>
    <w:rsid w:val="000A072C"/>
    <w:rsid w:val="000A3F34"/>
    <w:rsid w:val="000A78EC"/>
    <w:rsid w:val="000A7E88"/>
    <w:rsid w:val="000B2072"/>
    <w:rsid w:val="000B7423"/>
    <w:rsid w:val="000C6B96"/>
    <w:rsid w:val="000C6DBA"/>
    <w:rsid w:val="000C7C2A"/>
    <w:rsid w:val="000D15CE"/>
    <w:rsid w:val="000D2138"/>
    <w:rsid w:val="000D30FE"/>
    <w:rsid w:val="000F0C0D"/>
    <w:rsid w:val="000F4A1A"/>
    <w:rsid w:val="000F5EEE"/>
    <w:rsid w:val="001022D0"/>
    <w:rsid w:val="00110DDC"/>
    <w:rsid w:val="00111CD4"/>
    <w:rsid w:val="00112807"/>
    <w:rsid w:val="00113654"/>
    <w:rsid w:val="001242DB"/>
    <w:rsid w:val="00125FE4"/>
    <w:rsid w:val="001300AA"/>
    <w:rsid w:val="00130BB0"/>
    <w:rsid w:val="00134615"/>
    <w:rsid w:val="00143F98"/>
    <w:rsid w:val="00151E6D"/>
    <w:rsid w:val="00157F40"/>
    <w:rsid w:val="00161522"/>
    <w:rsid w:val="0016153F"/>
    <w:rsid w:val="001615FC"/>
    <w:rsid w:val="001622A4"/>
    <w:rsid w:val="0016273C"/>
    <w:rsid w:val="00164923"/>
    <w:rsid w:val="001665A1"/>
    <w:rsid w:val="00167C33"/>
    <w:rsid w:val="00180697"/>
    <w:rsid w:val="00180D7A"/>
    <w:rsid w:val="00181661"/>
    <w:rsid w:val="0018272C"/>
    <w:rsid w:val="0018504A"/>
    <w:rsid w:val="00191E72"/>
    <w:rsid w:val="00195DEE"/>
    <w:rsid w:val="001972C1"/>
    <w:rsid w:val="001A1A10"/>
    <w:rsid w:val="001A313A"/>
    <w:rsid w:val="001A3BA5"/>
    <w:rsid w:val="001A6534"/>
    <w:rsid w:val="001A74AF"/>
    <w:rsid w:val="001B19E0"/>
    <w:rsid w:val="001B1C10"/>
    <w:rsid w:val="001B6135"/>
    <w:rsid w:val="001C510C"/>
    <w:rsid w:val="001C6EC7"/>
    <w:rsid w:val="001D01B2"/>
    <w:rsid w:val="001D627C"/>
    <w:rsid w:val="001D6E83"/>
    <w:rsid w:val="001E4486"/>
    <w:rsid w:val="001E5B0A"/>
    <w:rsid w:val="001E7EE9"/>
    <w:rsid w:val="001F0CC7"/>
    <w:rsid w:val="001F1D17"/>
    <w:rsid w:val="001F2941"/>
    <w:rsid w:val="00200F74"/>
    <w:rsid w:val="0020266F"/>
    <w:rsid w:val="002031B1"/>
    <w:rsid w:val="00205B22"/>
    <w:rsid w:val="00205EB5"/>
    <w:rsid w:val="0020631E"/>
    <w:rsid w:val="00206A30"/>
    <w:rsid w:val="002134D4"/>
    <w:rsid w:val="00214741"/>
    <w:rsid w:val="002153F6"/>
    <w:rsid w:val="00217185"/>
    <w:rsid w:val="0022071A"/>
    <w:rsid w:val="00220DB5"/>
    <w:rsid w:val="00223E49"/>
    <w:rsid w:val="00227D55"/>
    <w:rsid w:val="00227E44"/>
    <w:rsid w:val="00237C23"/>
    <w:rsid w:val="00242078"/>
    <w:rsid w:val="00247395"/>
    <w:rsid w:val="00252486"/>
    <w:rsid w:val="002528FE"/>
    <w:rsid w:val="00257B74"/>
    <w:rsid w:val="00261045"/>
    <w:rsid w:val="00266767"/>
    <w:rsid w:val="00267107"/>
    <w:rsid w:val="00271632"/>
    <w:rsid w:val="00272630"/>
    <w:rsid w:val="00272831"/>
    <w:rsid w:val="00276E21"/>
    <w:rsid w:val="002773CD"/>
    <w:rsid w:val="0027746E"/>
    <w:rsid w:val="0028010A"/>
    <w:rsid w:val="00282401"/>
    <w:rsid w:val="00284733"/>
    <w:rsid w:val="00286910"/>
    <w:rsid w:val="002876E0"/>
    <w:rsid w:val="0029127C"/>
    <w:rsid w:val="0029274A"/>
    <w:rsid w:val="00293971"/>
    <w:rsid w:val="002954AD"/>
    <w:rsid w:val="00297B3B"/>
    <w:rsid w:val="002A4E3A"/>
    <w:rsid w:val="002B0D0D"/>
    <w:rsid w:val="002B0D12"/>
    <w:rsid w:val="002B50EC"/>
    <w:rsid w:val="002C32B3"/>
    <w:rsid w:val="002C4BC3"/>
    <w:rsid w:val="002D2624"/>
    <w:rsid w:val="002E0C5B"/>
    <w:rsid w:val="002E1D37"/>
    <w:rsid w:val="002E3B7F"/>
    <w:rsid w:val="002E6065"/>
    <w:rsid w:val="002E6801"/>
    <w:rsid w:val="002F0DE5"/>
    <w:rsid w:val="002F7122"/>
    <w:rsid w:val="002F7718"/>
    <w:rsid w:val="00312EC1"/>
    <w:rsid w:val="003153F4"/>
    <w:rsid w:val="00317688"/>
    <w:rsid w:val="00326E87"/>
    <w:rsid w:val="00334608"/>
    <w:rsid w:val="0034084B"/>
    <w:rsid w:val="003411BD"/>
    <w:rsid w:val="00341497"/>
    <w:rsid w:val="00342F93"/>
    <w:rsid w:val="00343856"/>
    <w:rsid w:val="00350C66"/>
    <w:rsid w:val="00353025"/>
    <w:rsid w:val="00353513"/>
    <w:rsid w:val="00362622"/>
    <w:rsid w:val="00362875"/>
    <w:rsid w:val="0037046E"/>
    <w:rsid w:val="003712A7"/>
    <w:rsid w:val="00371417"/>
    <w:rsid w:val="00374941"/>
    <w:rsid w:val="0037520A"/>
    <w:rsid w:val="00380384"/>
    <w:rsid w:val="0038071E"/>
    <w:rsid w:val="0038129F"/>
    <w:rsid w:val="00391743"/>
    <w:rsid w:val="003942EA"/>
    <w:rsid w:val="003947A9"/>
    <w:rsid w:val="0039680B"/>
    <w:rsid w:val="003A205A"/>
    <w:rsid w:val="003A47EE"/>
    <w:rsid w:val="003A78A8"/>
    <w:rsid w:val="003C34A3"/>
    <w:rsid w:val="003C3E4A"/>
    <w:rsid w:val="003C5496"/>
    <w:rsid w:val="003D24F4"/>
    <w:rsid w:val="003E1494"/>
    <w:rsid w:val="003E4591"/>
    <w:rsid w:val="004003C5"/>
    <w:rsid w:val="00403C7F"/>
    <w:rsid w:val="00404C2B"/>
    <w:rsid w:val="00406A8B"/>
    <w:rsid w:val="00410BE5"/>
    <w:rsid w:val="00412236"/>
    <w:rsid w:val="004158D2"/>
    <w:rsid w:val="00420508"/>
    <w:rsid w:val="00420CBB"/>
    <w:rsid w:val="0042747B"/>
    <w:rsid w:val="004318B5"/>
    <w:rsid w:val="004436E6"/>
    <w:rsid w:val="00444905"/>
    <w:rsid w:val="00447604"/>
    <w:rsid w:val="0045534D"/>
    <w:rsid w:val="00455850"/>
    <w:rsid w:val="00463D97"/>
    <w:rsid w:val="00465633"/>
    <w:rsid w:val="00471B4E"/>
    <w:rsid w:val="00474DC2"/>
    <w:rsid w:val="004752CD"/>
    <w:rsid w:val="00491603"/>
    <w:rsid w:val="00497830"/>
    <w:rsid w:val="004A263A"/>
    <w:rsid w:val="004A46E5"/>
    <w:rsid w:val="004A5BA5"/>
    <w:rsid w:val="004A68EF"/>
    <w:rsid w:val="004B04F5"/>
    <w:rsid w:val="004B1ED6"/>
    <w:rsid w:val="004C1E02"/>
    <w:rsid w:val="004D052F"/>
    <w:rsid w:val="004D289A"/>
    <w:rsid w:val="004D4949"/>
    <w:rsid w:val="004E103A"/>
    <w:rsid w:val="004E3BA3"/>
    <w:rsid w:val="004E49FF"/>
    <w:rsid w:val="004E5011"/>
    <w:rsid w:val="004E6377"/>
    <w:rsid w:val="004F0207"/>
    <w:rsid w:val="004F0540"/>
    <w:rsid w:val="004F063A"/>
    <w:rsid w:val="004F1BD1"/>
    <w:rsid w:val="004F6742"/>
    <w:rsid w:val="005009B5"/>
    <w:rsid w:val="00503536"/>
    <w:rsid w:val="00503FA9"/>
    <w:rsid w:val="005051A2"/>
    <w:rsid w:val="005135BD"/>
    <w:rsid w:val="00513F06"/>
    <w:rsid w:val="005233F2"/>
    <w:rsid w:val="00524386"/>
    <w:rsid w:val="005248B2"/>
    <w:rsid w:val="0052694D"/>
    <w:rsid w:val="0053521E"/>
    <w:rsid w:val="00536701"/>
    <w:rsid w:val="005550B4"/>
    <w:rsid w:val="0056128C"/>
    <w:rsid w:val="005616E2"/>
    <w:rsid w:val="00572A69"/>
    <w:rsid w:val="00573DBB"/>
    <w:rsid w:val="00575D2A"/>
    <w:rsid w:val="00580AE2"/>
    <w:rsid w:val="00582ED1"/>
    <w:rsid w:val="005838AB"/>
    <w:rsid w:val="00584470"/>
    <w:rsid w:val="0059002F"/>
    <w:rsid w:val="00596B52"/>
    <w:rsid w:val="00596FD6"/>
    <w:rsid w:val="005A0627"/>
    <w:rsid w:val="005A39F9"/>
    <w:rsid w:val="005B12BC"/>
    <w:rsid w:val="005B24D3"/>
    <w:rsid w:val="005B30C7"/>
    <w:rsid w:val="005C215B"/>
    <w:rsid w:val="005C6601"/>
    <w:rsid w:val="005D0BF1"/>
    <w:rsid w:val="005D25E5"/>
    <w:rsid w:val="005D59BF"/>
    <w:rsid w:val="005D5EDC"/>
    <w:rsid w:val="005E762C"/>
    <w:rsid w:val="005F00C8"/>
    <w:rsid w:val="005F1EBE"/>
    <w:rsid w:val="005F32F9"/>
    <w:rsid w:val="005F6016"/>
    <w:rsid w:val="00600B87"/>
    <w:rsid w:val="006031E6"/>
    <w:rsid w:val="00603FBE"/>
    <w:rsid w:val="00615555"/>
    <w:rsid w:val="00615E28"/>
    <w:rsid w:val="006166D8"/>
    <w:rsid w:val="00622398"/>
    <w:rsid w:val="0063219F"/>
    <w:rsid w:val="00634630"/>
    <w:rsid w:val="006355AE"/>
    <w:rsid w:val="00650B56"/>
    <w:rsid w:val="006578B3"/>
    <w:rsid w:val="00661E76"/>
    <w:rsid w:val="00662EED"/>
    <w:rsid w:val="00663185"/>
    <w:rsid w:val="006647FD"/>
    <w:rsid w:val="0066740E"/>
    <w:rsid w:val="0067503B"/>
    <w:rsid w:val="00675E12"/>
    <w:rsid w:val="006806FC"/>
    <w:rsid w:val="006834B0"/>
    <w:rsid w:val="006874FE"/>
    <w:rsid w:val="0069151A"/>
    <w:rsid w:val="00694127"/>
    <w:rsid w:val="00697CA6"/>
    <w:rsid w:val="006A0401"/>
    <w:rsid w:val="006A4CD5"/>
    <w:rsid w:val="006A5524"/>
    <w:rsid w:val="006A6EF1"/>
    <w:rsid w:val="006A7199"/>
    <w:rsid w:val="006C40A7"/>
    <w:rsid w:val="006C5C2E"/>
    <w:rsid w:val="006C7819"/>
    <w:rsid w:val="006D0268"/>
    <w:rsid w:val="006D3C1C"/>
    <w:rsid w:val="006D543F"/>
    <w:rsid w:val="006D55B6"/>
    <w:rsid w:val="006E578D"/>
    <w:rsid w:val="006E5BC8"/>
    <w:rsid w:val="006E6B5A"/>
    <w:rsid w:val="006F3174"/>
    <w:rsid w:val="006F3FE3"/>
    <w:rsid w:val="006F46BA"/>
    <w:rsid w:val="006F6D23"/>
    <w:rsid w:val="00703972"/>
    <w:rsid w:val="00707A28"/>
    <w:rsid w:val="00707E70"/>
    <w:rsid w:val="007114F8"/>
    <w:rsid w:val="00727CB5"/>
    <w:rsid w:val="007301A7"/>
    <w:rsid w:val="00730587"/>
    <w:rsid w:val="00730AA6"/>
    <w:rsid w:val="007367C0"/>
    <w:rsid w:val="00740B3D"/>
    <w:rsid w:val="0074156D"/>
    <w:rsid w:val="007419C8"/>
    <w:rsid w:val="00741A0C"/>
    <w:rsid w:val="00745FB2"/>
    <w:rsid w:val="00751A1B"/>
    <w:rsid w:val="00754BDA"/>
    <w:rsid w:val="007564D1"/>
    <w:rsid w:val="00757966"/>
    <w:rsid w:val="0076096A"/>
    <w:rsid w:val="00763680"/>
    <w:rsid w:val="00763E9A"/>
    <w:rsid w:val="007712E9"/>
    <w:rsid w:val="00772522"/>
    <w:rsid w:val="00780743"/>
    <w:rsid w:val="00791228"/>
    <w:rsid w:val="00793180"/>
    <w:rsid w:val="00793D88"/>
    <w:rsid w:val="007963C0"/>
    <w:rsid w:val="00796B19"/>
    <w:rsid w:val="007A2644"/>
    <w:rsid w:val="007A711C"/>
    <w:rsid w:val="007C2F0F"/>
    <w:rsid w:val="007C47F0"/>
    <w:rsid w:val="007D047F"/>
    <w:rsid w:val="007D1810"/>
    <w:rsid w:val="007E08A4"/>
    <w:rsid w:val="007E1145"/>
    <w:rsid w:val="007E2FC8"/>
    <w:rsid w:val="007E597A"/>
    <w:rsid w:val="007F4A5C"/>
    <w:rsid w:val="007F7B72"/>
    <w:rsid w:val="00804C1A"/>
    <w:rsid w:val="00811438"/>
    <w:rsid w:val="00811D00"/>
    <w:rsid w:val="008129D9"/>
    <w:rsid w:val="00814A42"/>
    <w:rsid w:val="0081554F"/>
    <w:rsid w:val="008169F7"/>
    <w:rsid w:val="00817D33"/>
    <w:rsid w:val="008253AC"/>
    <w:rsid w:val="00826FB1"/>
    <w:rsid w:val="00831111"/>
    <w:rsid w:val="0083438B"/>
    <w:rsid w:val="00836DCC"/>
    <w:rsid w:val="00840C47"/>
    <w:rsid w:val="008410C6"/>
    <w:rsid w:val="00841ECB"/>
    <w:rsid w:val="00842735"/>
    <w:rsid w:val="00844324"/>
    <w:rsid w:val="00846F3F"/>
    <w:rsid w:val="00856882"/>
    <w:rsid w:val="00863FBA"/>
    <w:rsid w:val="00874ED8"/>
    <w:rsid w:val="0087502E"/>
    <w:rsid w:val="008806E6"/>
    <w:rsid w:val="008815A6"/>
    <w:rsid w:val="00882352"/>
    <w:rsid w:val="00883EFD"/>
    <w:rsid w:val="00885336"/>
    <w:rsid w:val="00892556"/>
    <w:rsid w:val="00893270"/>
    <w:rsid w:val="00896C37"/>
    <w:rsid w:val="008A0B17"/>
    <w:rsid w:val="008A1CFF"/>
    <w:rsid w:val="008A2676"/>
    <w:rsid w:val="008A4D6F"/>
    <w:rsid w:val="008A7E43"/>
    <w:rsid w:val="008B4537"/>
    <w:rsid w:val="008C1B8C"/>
    <w:rsid w:val="008C2568"/>
    <w:rsid w:val="008C45A6"/>
    <w:rsid w:val="008D370D"/>
    <w:rsid w:val="008D4262"/>
    <w:rsid w:val="008D6576"/>
    <w:rsid w:val="008E2E4F"/>
    <w:rsid w:val="008E4220"/>
    <w:rsid w:val="008F1E4F"/>
    <w:rsid w:val="00904A75"/>
    <w:rsid w:val="00904BAE"/>
    <w:rsid w:val="00920868"/>
    <w:rsid w:val="00921198"/>
    <w:rsid w:val="00925C9A"/>
    <w:rsid w:val="00927161"/>
    <w:rsid w:val="00927E5B"/>
    <w:rsid w:val="0093006E"/>
    <w:rsid w:val="009301F7"/>
    <w:rsid w:val="00930C6E"/>
    <w:rsid w:val="00935FD2"/>
    <w:rsid w:val="009374EE"/>
    <w:rsid w:val="00937547"/>
    <w:rsid w:val="00937560"/>
    <w:rsid w:val="00940D6F"/>
    <w:rsid w:val="00941CE7"/>
    <w:rsid w:val="009524FF"/>
    <w:rsid w:val="009558AA"/>
    <w:rsid w:val="009569B3"/>
    <w:rsid w:val="00966317"/>
    <w:rsid w:val="0096643E"/>
    <w:rsid w:val="00972716"/>
    <w:rsid w:val="00975625"/>
    <w:rsid w:val="009809E5"/>
    <w:rsid w:val="0098107F"/>
    <w:rsid w:val="00983040"/>
    <w:rsid w:val="00990334"/>
    <w:rsid w:val="00992D58"/>
    <w:rsid w:val="00995F7E"/>
    <w:rsid w:val="009A163E"/>
    <w:rsid w:val="009A1B2C"/>
    <w:rsid w:val="009B0744"/>
    <w:rsid w:val="009B27E7"/>
    <w:rsid w:val="009C258E"/>
    <w:rsid w:val="009D189D"/>
    <w:rsid w:val="009D223A"/>
    <w:rsid w:val="009D32D6"/>
    <w:rsid w:val="009D50F6"/>
    <w:rsid w:val="009D6348"/>
    <w:rsid w:val="009D6BF7"/>
    <w:rsid w:val="009E3CDF"/>
    <w:rsid w:val="009E3D93"/>
    <w:rsid w:val="009E7E1D"/>
    <w:rsid w:val="009F4C18"/>
    <w:rsid w:val="009F5FF8"/>
    <w:rsid w:val="00A000AA"/>
    <w:rsid w:val="00A031A9"/>
    <w:rsid w:val="00A12FB3"/>
    <w:rsid w:val="00A25354"/>
    <w:rsid w:val="00A2739C"/>
    <w:rsid w:val="00A27C36"/>
    <w:rsid w:val="00A37EDE"/>
    <w:rsid w:val="00A40DE9"/>
    <w:rsid w:val="00A43CF6"/>
    <w:rsid w:val="00A45D2E"/>
    <w:rsid w:val="00A47432"/>
    <w:rsid w:val="00A50D24"/>
    <w:rsid w:val="00A55743"/>
    <w:rsid w:val="00A57B59"/>
    <w:rsid w:val="00A731CE"/>
    <w:rsid w:val="00A736FF"/>
    <w:rsid w:val="00A7582D"/>
    <w:rsid w:val="00A77E40"/>
    <w:rsid w:val="00A816EB"/>
    <w:rsid w:val="00A83C6E"/>
    <w:rsid w:val="00A84913"/>
    <w:rsid w:val="00A924B8"/>
    <w:rsid w:val="00A92AEA"/>
    <w:rsid w:val="00A93587"/>
    <w:rsid w:val="00A963F3"/>
    <w:rsid w:val="00A96633"/>
    <w:rsid w:val="00AA2783"/>
    <w:rsid w:val="00AA3F5D"/>
    <w:rsid w:val="00AA7275"/>
    <w:rsid w:val="00AB1820"/>
    <w:rsid w:val="00AB1B87"/>
    <w:rsid w:val="00AC060A"/>
    <w:rsid w:val="00AC2100"/>
    <w:rsid w:val="00AC3E18"/>
    <w:rsid w:val="00AC5190"/>
    <w:rsid w:val="00AC66E1"/>
    <w:rsid w:val="00AC77BA"/>
    <w:rsid w:val="00AC77C0"/>
    <w:rsid w:val="00AE350D"/>
    <w:rsid w:val="00AE4879"/>
    <w:rsid w:val="00AE5909"/>
    <w:rsid w:val="00AE759F"/>
    <w:rsid w:val="00B03EAC"/>
    <w:rsid w:val="00B160FD"/>
    <w:rsid w:val="00B178DB"/>
    <w:rsid w:val="00B23420"/>
    <w:rsid w:val="00B2539C"/>
    <w:rsid w:val="00B26734"/>
    <w:rsid w:val="00B35AAF"/>
    <w:rsid w:val="00B3693B"/>
    <w:rsid w:val="00B37921"/>
    <w:rsid w:val="00B406D5"/>
    <w:rsid w:val="00B40767"/>
    <w:rsid w:val="00B42D78"/>
    <w:rsid w:val="00B434F4"/>
    <w:rsid w:val="00B475AD"/>
    <w:rsid w:val="00B50499"/>
    <w:rsid w:val="00B61BD0"/>
    <w:rsid w:val="00B63354"/>
    <w:rsid w:val="00B83BFA"/>
    <w:rsid w:val="00B85EA7"/>
    <w:rsid w:val="00B97BE5"/>
    <w:rsid w:val="00BA16F9"/>
    <w:rsid w:val="00BA3204"/>
    <w:rsid w:val="00BA3DFE"/>
    <w:rsid w:val="00BA511E"/>
    <w:rsid w:val="00BA5646"/>
    <w:rsid w:val="00BB3BDE"/>
    <w:rsid w:val="00BB6BE0"/>
    <w:rsid w:val="00BC00FA"/>
    <w:rsid w:val="00BC2402"/>
    <w:rsid w:val="00BC3338"/>
    <w:rsid w:val="00BC3ADE"/>
    <w:rsid w:val="00BC752C"/>
    <w:rsid w:val="00BC7B12"/>
    <w:rsid w:val="00BD36D6"/>
    <w:rsid w:val="00BD4159"/>
    <w:rsid w:val="00BE1700"/>
    <w:rsid w:val="00BE4EAD"/>
    <w:rsid w:val="00BF2635"/>
    <w:rsid w:val="00BF5273"/>
    <w:rsid w:val="00C04486"/>
    <w:rsid w:val="00C06EA5"/>
    <w:rsid w:val="00C1092D"/>
    <w:rsid w:val="00C16821"/>
    <w:rsid w:val="00C23D85"/>
    <w:rsid w:val="00C31DA7"/>
    <w:rsid w:val="00C3490B"/>
    <w:rsid w:val="00C3498D"/>
    <w:rsid w:val="00C37F9E"/>
    <w:rsid w:val="00C41930"/>
    <w:rsid w:val="00C447B5"/>
    <w:rsid w:val="00C4628C"/>
    <w:rsid w:val="00C556FF"/>
    <w:rsid w:val="00C60898"/>
    <w:rsid w:val="00C64A59"/>
    <w:rsid w:val="00C656FE"/>
    <w:rsid w:val="00C82734"/>
    <w:rsid w:val="00C83522"/>
    <w:rsid w:val="00C85E97"/>
    <w:rsid w:val="00C8625B"/>
    <w:rsid w:val="00C9266E"/>
    <w:rsid w:val="00C95636"/>
    <w:rsid w:val="00C967CF"/>
    <w:rsid w:val="00CA22E3"/>
    <w:rsid w:val="00CA71FD"/>
    <w:rsid w:val="00CB2BE9"/>
    <w:rsid w:val="00CB561B"/>
    <w:rsid w:val="00CB6173"/>
    <w:rsid w:val="00CC2086"/>
    <w:rsid w:val="00CC3995"/>
    <w:rsid w:val="00CC5530"/>
    <w:rsid w:val="00CC64C1"/>
    <w:rsid w:val="00CD101A"/>
    <w:rsid w:val="00CD459C"/>
    <w:rsid w:val="00CD5614"/>
    <w:rsid w:val="00CE5CEC"/>
    <w:rsid w:val="00CF2A94"/>
    <w:rsid w:val="00CF566B"/>
    <w:rsid w:val="00D002E9"/>
    <w:rsid w:val="00D10175"/>
    <w:rsid w:val="00D152D5"/>
    <w:rsid w:val="00D20C9E"/>
    <w:rsid w:val="00D33B54"/>
    <w:rsid w:val="00D402DE"/>
    <w:rsid w:val="00D410EC"/>
    <w:rsid w:val="00D47014"/>
    <w:rsid w:val="00D50D30"/>
    <w:rsid w:val="00D551C6"/>
    <w:rsid w:val="00D57408"/>
    <w:rsid w:val="00D61087"/>
    <w:rsid w:val="00D81787"/>
    <w:rsid w:val="00D8780F"/>
    <w:rsid w:val="00D87A70"/>
    <w:rsid w:val="00D91BDB"/>
    <w:rsid w:val="00D943F5"/>
    <w:rsid w:val="00D94548"/>
    <w:rsid w:val="00DA3F47"/>
    <w:rsid w:val="00DA5C91"/>
    <w:rsid w:val="00DA63C2"/>
    <w:rsid w:val="00DA71B5"/>
    <w:rsid w:val="00DB49BE"/>
    <w:rsid w:val="00DB5383"/>
    <w:rsid w:val="00DB6350"/>
    <w:rsid w:val="00DB7C66"/>
    <w:rsid w:val="00DD081D"/>
    <w:rsid w:val="00DD1AA4"/>
    <w:rsid w:val="00DD1BEA"/>
    <w:rsid w:val="00DD7873"/>
    <w:rsid w:val="00DE02CD"/>
    <w:rsid w:val="00DF4E38"/>
    <w:rsid w:val="00DF5D6B"/>
    <w:rsid w:val="00E024BF"/>
    <w:rsid w:val="00E0519F"/>
    <w:rsid w:val="00E07373"/>
    <w:rsid w:val="00E159D0"/>
    <w:rsid w:val="00E2286C"/>
    <w:rsid w:val="00E323E3"/>
    <w:rsid w:val="00E32F25"/>
    <w:rsid w:val="00E3359B"/>
    <w:rsid w:val="00E34FDF"/>
    <w:rsid w:val="00E36947"/>
    <w:rsid w:val="00E405FD"/>
    <w:rsid w:val="00E457B3"/>
    <w:rsid w:val="00E46E93"/>
    <w:rsid w:val="00E5100B"/>
    <w:rsid w:val="00E52108"/>
    <w:rsid w:val="00E53E58"/>
    <w:rsid w:val="00E5680D"/>
    <w:rsid w:val="00E664B5"/>
    <w:rsid w:val="00E71733"/>
    <w:rsid w:val="00E72255"/>
    <w:rsid w:val="00E7340E"/>
    <w:rsid w:val="00E74192"/>
    <w:rsid w:val="00E80649"/>
    <w:rsid w:val="00E81DB1"/>
    <w:rsid w:val="00E83A79"/>
    <w:rsid w:val="00E83B68"/>
    <w:rsid w:val="00E90E10"/>
    <w:rsid w:val="00E922B4"/>
    <w:rsid w:val="00E954EC"/>
    <w:rsid w:val="00EA1184"/>
    <w:rsid w:val="00EA3135"/>
    <w:rsid w:val="00EA3193"/>
    <w:rsid w:val="00EA38EF"/>
    <w:rsid w:val="00EB41FB"/>
    <w:rsid w:val="00EB427B"/>
    <w:rsid w:val="00EC248A"/>
    <w:rsid w:val="00ED3D57"/>
    <w:rsid w:val="00EE226D"/>
    <w:rsid w:val="00EE3548"/>
    <w:rsid w:val="00EE4681"/>
    <w:rsid w:val="00EE4D80"/>
    <w:rsid w:val="00EF1F24"/>
    <w:rsid w:val="00EF6861"/>
    <w:rsid w:val="00F027F2"/>
    <w:rsid w:val="00F0296A"/>
    <w:rsid w:val="00F066D9"/>
    <w:rsid w:val="00F069CE"/>
    <w:rsid w:val="00F1058B"/>
    <w:rsid w:val="00F12CEC"/>
    <w:rsid w:val="00F16D98"/>
    <w:rsid w:val="00F22841"/>
    <w:rsid w:val="00F25B70"/>
    <w:rsid w:val="00F32144"/>
    <w:rsid w:val="00F35476"/>
    <w:rsid w:val="00F36082"/>
    <w:rsid w:val="00F37B0A"/>
    <w:rsid w:val="00F42241"/>
    <w:rsid w:val="00F43313"/>
    <w:rsid w:val="00F452D7"/>
    <w:rsid w:val="00F47C6B"/>
    <w:rsid w:val="00F51B04"/>
    <w:rsid w:val="00F57486"/>
    <w:rsid w:val="00F63EBA"/>
    <w:rsid w:val="00F663CC"/>
    <w:rsid w:val="00F7049A"/>
    <w:rsid w:val="00F75008"/>
    <w:rsid w:val="00F82A1B"/>
    <w:rsid w:val="00F8550A"/>
    <w:rsid w:val="00F91DFA"/>
    <w:rsid w:val="00F92CD0"/>
    <w:rsid w:val="00F93878"/>
    <w:rsid w:val="00F964C9"/>
    <w:rsid w:val="00FA257F"/>
    <w:rsid w:val="00FA3B39"/>
    <w:rsid w:val="00FA59B8"/>
    <w:rsid w:val="00FB0D2E"/>
    <w:rsid w:val="00FB0DE7"/>
    <w:rsid w:val="00FB434B"/>
    <w:rsid w:val="00FB66F7"/>
    <w:rsid w:val="00FC286F"/>
    <w:rsid w:val="00FC42AC"/>
    <w:rsid w:val="00FC6000"/>
    <w:rsid w:val="00FC62C8"/>
    <w:rsid w:val="00FD08EC"/>
    <w:rsid w:val="00FD207F"/>
    <w:rsid w:val="00FD2B54"/>
    <w:rsid w:val="00FD764D"/>
    <w:rsid w:val="00FE0490"/>
    <w:rsid w:val="00FE498C"/>
    <w:rsid w:val="00FE61E3"/>
    <w:rsid w:val="00FF3070"/>
    <w:rsid w:val="013D0394"/>
    <w:rsid w:val="01A8777F"/>
    <w:rsid w:val="01CA75E8"/>
    <w:rsid w:val="01E274B5"/>
    <w:rsid w:val="020E2805"/>
    <w:rsid w:val="02235918"/>
    <w:rsid w:val="02306156"/>
    <w:rsid w:val="025B5122"/>
    <w:rsid w:val="02F45461"/>
    <w:rsid w:val="03172373"/>
    <w:rsid w:val="033E4271"/>
    <w:rsid w:val="035739C7"/>
    <w:rsid w:val="03CA0E9C"/>
    <w:rsid w:val="03E0611E"/>
    <w:rsid w:val="03F01715"/>
    <w:rsid w:val="03FF5EA5"/>
    <w:rsid w:val="04176D84"/>
    <w:rsid w:val="04545D1C"/>
    <w:rsid w:val="04AC7A82"/>
    <w:rsid w:val="04C50A80"/>
    <w:rsid w:val="04C602CD"/>
    <w:rsid w:val="04CA4405"/>
    <w:rsid w:val="04CB4231"/>
    <w:rsid w:val="04F969A9"/>
    <w:rsid w:val="050278D0"/>
    <w:rsid w:val="053E4A03"/>
    <w:rsid w:val="05851AB3"/>
    <w:rsid w:val="05B457E7"/>
    <w:rsid w:val="05D202F8"/>
    <w:rsid w:val="05D83BCA"/>
    <w:rsid w:val="05F23297"/>
    <w:rsid w:val="060852EA"/>
    <w:rsid w:val="06462CC2"/>
    <w:rsid w:val="066A3BC9"/>
    <w:rsid w:val="069526AE"/>
    <w:rsid w:val="06BD36B4"/>
    <w:rsid w:val="06DB634A"/>
    <w:rsid w:val="07242CEA"/>
    <w:rsid w:val="07427C07"/>
    <w:rsid w:val="074844C9"/>
    <w:rsid w:val="07506BDA"/>
    <w:rsid w:val="07620184"/>
    <w:rsid w:val="078A5A76"/>
    <w:rsid w:val="08017F69"/>
    <w:rsid w:val="08365E65"/>
    <w:rsid w:val="084542FA"/>
    <w:rsid w:val="08667427"/>
    <w:rsid w:val="088F0AEA"/>
    <w:rsid w:val="08C00EAC"/>
    <w:rsid w:val="08D43FC6"/>
    <w:rsid w:val="09256E90"/>
    <w:rsid w:val="0972111F"/>
    <w:rsid w:val="099E4170"/>
    <w:rsid w:val="09B84BE6"/>
    <w:rsid w:val="0A00453B"/>
    <w:rsid w:val="0A0124A3"/>
    <w:rsid w:val="0A1159C6"/>
    <w:rsid w:val="0A191F80"/>
    <w:rsid w:val="0A9E5F43"/>
    <w:rsid w:val="0AE95714"/>
    <w:rsid w:val="0AFA4AB2"/>
    <w:rsid w:val="0B022976"/>
    <w:rsid w:val="0B49251F"/>
    <w:rsid w:val="0B6F2A3E"/>
    <w:rsid w:val="0B7222B2"/>
    <w:rsid w:val="0BBB6EE6"/>
    <w:rsid w:val="0C00174F"/>
    <w:rsid w:val="0C126DC0"/>
    <w:rsid w:val="0C5203A3"/>
    <w:rsid w:val="0C5E5E27"/>
    <w:rsid w:val="0C823341"/>
    <w:rsid w:val="0C835253"/>
    <w:rsid w:val="0CC73443"/>
    <w:rsid w:val="0CFF69F6"/>
    <w:rsid w:val="0D483FBC"/>
    <w:rsid w:val="0D487FDC"/>
    <w:rsid w:val="0D4D3237"/>
    <w:rsid w:val="0D777F27"/>
    <w:rsid w:val="0DB0336C"/>
    <w:rsid w:val="0E3F225B"/>
    <w:rsid w:val="0E423E70"/>
    <w:rsid w:val="0E687BC4"/>
    <w:rsid w:val="0EB0430E"/>
    <w:rsid w:val="0EC96B4D"/>
    <w:rsid w:val="0EE33E52"/>
    <w:rsid w:val="0EEF213C"/>
    <w:rsid w:val="0EFC24E4"/>
    <w:rsid w:val="0F2E7317"/>
    <w:rsid w:val="0F3921AB"/>
    <w:rsid w:val="0F4D143D"/>
    <w:rsid w:val="0F5901B0"/>
    <w:rsid w:val="0F796327"/>
    <w:rsid w:val="0FB0676F"/>
    <w:rsid w:val="0FC65D20"/>
    <w:rsid w:val="1025078D"/>
    <w:rsid w:val="102B0DF3"/>
    <w:rsid w:val="10603709"/>
    <w:rsid w:val="10713510"/>
    <w:rsid w:val="10CF54B0"/>
    <w:rsid w:val="10F851A4"/>
    <w:rsid w:val="10FD7F75"/>
    <w:rsid w:val="11293345"/>
    <w:rsid w:val="11A62DD1"/>
    <w:rsid w:val="11AE596B"/>
    <w:rsid w:val="11C83867"/>
    <w:rsid w:val="12186023"/>
    <w:rsid w:val="125C1A7D"/>
    <w:rsid w:val="126A139D"/>
    <w:rsid w:val="128B015D"/>
    <w:rsid w:val="128B7413"/>
    <w:rsid w:val="12F27D0D"/>
    <w:rsid w:val="12F51E60"/>
    <w:rsid w:val="13220B2E"/>
    <w:rsid w:val="13242E30"/>
    <w:rsid w:val="1326354B"/>
    <w:rsid w:val="132E5C5B"/>
    <w:rsid w:val="13B26532"/>
    <w:rsid w:val="13C2235F"/>
    <w:rsid w:val="14401017"/>
    <w:rsid w:val="144B382E"/>
    <w:rsid w:val="146E7F23"/>
    <w:rsid w:val="14DE58BA"/>
    <w:rsid w:val="15476271"/>
    <w:rsid w:val="15745FDC"/>
    <w:rsid w:val="159F255F"/>
    <w:rsid w:val="15CD4B7F"/>
    <w:rsid w:val="15E92AE5"/>
    <w:rsid w:val="16091069"/>
    <w:rsid w:val="163936DB"/>
    <w:rsid w:val="16810E02"/>
    <w:rsid w:val="16B95306"/>
    <w:rsid w:val="16CB1BED"/>
    <w:rsid w:val="171E0A7A"/>
    <w:rsid w:val="17265A06"/>
    <w:rsid w:val="17361FC8"/>
    <w:rsid w:val="17AE4BAB"/>
    <w:rsid w:val="17CB1FF5"/>
    <w:rsid w:val="18000884"/>
    <w:rsid w:val="18C15ACE"/>
    <w:rsid w:val="19197DBC"/>
    <w:rsid w:val="1921046B"/>
    <w:rsid w:val="19246D19"/>
    <w:rsid w:val="19590B5E"/>
    <w:rsid w:val="199D18C6"/>
    <w:rsid w:val="199E6912"/>
    <w:rsid w:val="19FD08ED"/>
    <w:rsid w:val="1A4111DE"/>
    <w:rsid w:val="1A452072"/>
    <w:rsid w:val="1A51429E"/>
    <w:rsid w:val="1A573598"/>
    <w:rsid w:val="1A673D60"/>
    <w:rsid w:val="1A911AA4"/>
    <w:rsid w:val="1A9A6727"/>
    <w:rsid w:val="1B001269"/>
    <w:rsid w:val="1B2410C0"/>
    <w:rsid w:val="1B4643DE"/>
    <w:rsid w:val="1B6C7E5F"/>
    <w:rsid w:val="1BE426F7"/>
    <w:rsid w:val="1BE547F8"/>
    <w:rsid w:val="1BFA1FC0"/>
    <w:rsid w:val="1C0A7BB7"/>
    <w:rsid w:val="1C2C23A5"/>
    <w:rsid w:val="1D292649"/>
    <w:rsid w:val="1D390223"/>
    <w:rsid w:val="1D4F60C3"/>
    <w:rsid w:val="1D541122"/>
    <w:rsid w:val="1D7357E5"/>
    <w:rsid w:val="1D8E52FF"/>
    <w:rsid w:val="1DAE5792"/>
    <w:rsid w:val="1DC31DA0"/>
    <w:rsid w:val="1DCA0DA4"/>
    <w:rsid w:val="1E327D53"/>
    <w:rsid w:val="1E4F3C36"/>
    <w:rsid w:val="1E8B4E8D"/>
    <w:rsid w:val="1EC758F8"/>
    <w:rsid w:val="1EDD09C4"/>
    <w:rsid w:val="1EF20A51"/>
    <w:rsid w:val="1F004461"/>
    <w:rsid w:val="1F0979D8"/>
    <w:rsid w:val="1F2F3E68"/>
    <w:rsid w:val="1F494A11"/>
    <w:rsid w:val="1F925B4F"/>
    <w:rsid w:val="1F993E90"/>
    <w:rsid w:val="1FC4713D"/>
    <w:rsid w:val="20195BA3"/>
    <w:rsid w:val="20417BCF"/>
    <w:rsid w:val="204D697D"/>
    <w:rsid w:val="208A6A97"/>
    <w:rsid w:val="20DE2295"/>
    <w:rsid w:val="20EE6483"/>
    <w:rsid w:val="21007C93"/>
    <w:rsid w:val="215C68AD"/>
    <w:rsid w:val="216D6944"/>
    <w:rsid w:val="21824602"/>
    <w:rsid w:val="21DD5011"/>
    <w:rsid w:val="221F4550"/>
    <w:rsid w:val="224F1894"/>
    <w:rsid w:val="2285435D"/>
    <w:rsid w:val="228626C7"/>
    <w:rsid w:val="229E67CA"/>
    <w:rsid w:val="22C54400"/>
    <w:rsid w:val="22E73BCC"/>
    <w:rsid w:val="231307B6"/>
    <w:rsid w:val="231E022F"/>
    <w:rsid w:val="236B5512"/>
    <w:rsid w:val="23E24424"/>
    <w:rsid w:val="23E31613"/>
    <w:rsid w:val="24172CD6"/>
    <w:rsid w:val="24644B9E"/>
    <w:rsid w:val="24653902"/>
    <w:rsid w:val="24674CA6"/>
    <w:rsid w:val="24974A1E"/>
    <w:rsid w:val="25913D7C"/>
    <w:rsid w:val="2600314F"/>
    <w:rsid w:val="261E2D08"/>
    <w:rsid w:val="26434B87"/>
    <w:rsid w:val="26683637"/>
    <w:rsid w:val="266D447F"/>
    <w:rsid w:val="2670658E"/>
    <w:rsid w:val="26867E17"/>
    <w:rsid w:val="26E90256"/>
    <w:rsid w:val="2707501F"/>
    <w:rsid w:val="27115432"/>
    <w:rsid w:val="272643C5"/>
    <w:rsid w:val="2730007B"/>
    <w:rsid w:val="27642D13"/>
    <w:rsid w:val="27952750"/>
    <w:rsid w:val="27AD6F95"/>
    <w:rsid w:val="27C14D54"/>
    <w:rsid w:val="27C30CAB"/>
    <w:rsid w:val="27FD70EC"/>
    <w:rsid w:val="27FE64E2"/>
    <w:rsid w:val="281562DB"/>
    <w:rsid w:val="283E3FC5"/>
    <w:rsid w:val="289F613A"/>
    <w:rsid w:val="28BD5C61"/>
    <w:rsid w:val="28EF5418"/>
    <w:rsid w:val="291713AF"/>
    <w:rsid w:val="291B6334"/>
    <w:rsid w:val="292D3EC6"/>
    <w:rsid w:val="29422D50"/>
    <w:rsid w:val="2970413B"/>
    <w:rsid w:val="29CF4311"/>
    <w:rsid w:val="2A0A071F"/>
    <w:rsid w:val="2A905DC2"/>
    <w:rsid w:val="2A917D73"/>
    <w:rsid w:val="2A960C6E"/>
    <w:rsid w:val="2AAA683A"/>
    <w:rsid w:val="2AE73FAF"/>
    <w:rsid w:val="2B1159EB"/>
    <w:rsid w:val="2B175466"/>
    <w:rsid w:val="2B722476"/>
    <w:rsid w:val="2B95756E"/>
    <w:rsid w:val="2BC058B7"/>
    <w:rsid w:val="2BD16262"/>
    <w:rsid w:val="2C2D5D59"/>
    <w:rsid w:val="2C646F21"/>
    <w:rsid w:val="2C710F8A"/>
    <w:rsid w:val="2C7B5337"/>
    <w:rsid w:val="2DA055C1"/>
    <w:rsid w:val="2DF042B5"/>
    <w:rsid w:val="2E03588B"/>
    <w:rsid w:val="2EB91E81"/>
    <w:rsid w:val="2EE36C73"/>
    <w:rsid w:val="2F664149"/>
    <w:rsid w:val="2FF23AB7"/>
    <w:rsid w:val="30085A89"/>
    <w:rsid w:val="30385B0C"/>
    <w:rsid w:val="306C4B40"/>
    <w:rsid w:val="313055E6"/>
    <w:rsid w:val="3175665C"/>
    <w:rsid w:val="317B0841"/>
    <w:rsid w:val="31847BF4"/>
    <w:rsid w:val="31A50F78"/>
    <w:rsid w:val="31C44710"/>
    <w:rsid w:val="31DE16DF"/>
    <w:rsid w:val="31E32059"/>
    <w:rsid w:val="31F154AF"/>
    <w:rsid w:val="31FA4551"/>
    <w:rsid w:val="32121FFD"/>
    <w:rsid w:val="321A2F2E"/>
    <w:rsid w:val="32416FD8"/>
    <w:rsid w:val="32616DB8"/>
    <w:rsid w:val="328E7E0A"/>
    <w:rsid w:val="32B915B3"/>
    <w:rsid w:val="32BB44A0"/>
    <w:rsid w:val="32BF42CE"/>
    <w:rsid w:val="32E74A4B"/>
    <w:rsid w:val="32E8197C"/>
    <w:rsid w:val="32F70E5F"/>
    <w:rsid w:val="33130C29"/>
    <w:rsid w:val="33163DB2"/>
    <w:rsid w:val="33276F10"/>
    <w:rsid w:val="33406906"/>
    <w:rsid w:val="33774058"/>
    <w:rsid w:val="33B615CF"/>
    <w:rsid w:val="33C83B76"/>
    <w:rsid w:val="33D741E5"/>
    <w:rsid w:val="34001E97"/>
    <w:rsid w:val="340C555C"/>
    <w:rsid w:val="34325C25"/>
    <w:rsid w:val="344F1ED9"/>
    <w:rsid w:val="346B2C4B"/>
    <w:rsid w:val="34782E6C"/>
    <w:rsid w:val="34831882"/>
    <w:rsid w:val="34897199"/>
    <w:rsid w:val="3497638C"/>
    <w:rsid w:val="34F4424C"/>
    <w:rsid w:val="353852AA"/>
    <w:rsid w:val="353C42DC"/>
    <w:rsid w:val="3550125C"/>
    <w:rsid w:val="35913C82"/>
    <w:rsid w:val="35D424A9"/>
    <w:rsid w:val="36187D60"/>
    <w:rsid w:val="366E13E6"/>
    <w:rsid w:val="368B14CA"/>
    <w:rsid w:val="368B23CF"/>
    <w:rsid w:val="36B64888"/>
    <w:rsid w:val="36C85C7C"/>
    <w:rsid w:val="36C914E5"/>
    <w:rsid w:val="37042B77"/>
    <w:rsid w:val="37117919"/>
    <w:rsid w:val="371A299C"/>
    <w:rsid w:val="3743060C"/>
    <w:rsid w:val="37662A1B"/>
    <w:rsid w:val="37A92DDE"/>
    <w:rsid w:val="382A2A41"/>
    <w:rsid w:val="384A7D27"/>
    <w:rsid w:val="390A0022"/>
    <w:rsid w:val="39BC1ED6"/>
    <w:rsid w:val="39E135D3"/>
    <w:rsid w:val="39E80BA5"/>
    <w:rsid w:val="3A3E0F95"/>
    <w:rsid w:val="3A52627F"/>
    <w:rsid w:val="3A601422"/>
    <w:rsid w:val="3A6D56BE"/>
    <w:rsid w:val="3A8C105A"/>
    <w:rsid w:val="3B1C7317"/>
    <w:rsid w:val="3B247BB6"/>
    <w:rsid w:val="3B7B4CCA"/>
    <w:rsid w:val="3B8D4F29"/>
    <w:rsid w:val="3B9217F3"/>
    <w:rsid w:val="3BD06BAA"/>
    <w:rsid w:val="3C1B2692"/>
    <w:rsid w:val="3C1E7174"/>
    <w:rsid w:val="3C4374C4"/>
    <w:rsid w:val="3CA24DA3"/>
    <w:rsid w:val="3CBF70ED"/>
    <w:rsid w:val="3CD112FD"/>
    <w:rsid w:val="3D180042"/>
    <w:rsid w:val="3D431EEA"/>
    <w:rsid w:val="3D580EDF"/>
    <w:rsid w:val="3D8C7A0C"/>
    <w:rsid w:val="3E045B51"/>
    <w:rsid w:val="3E713A0E"/>
    <w:rsid w:val="3E9A01F4"/>
    <w:rsid w:val="3F153490"/>
    <w:rsid w:val="3F2D2C86"/>
    <w:rsid w:val="3F5B256A"/>
    <w:rsid w:val="3FA60AD9"/>
    <w:rsid w:val="3FC348ED"/>
    <w:rsid w:val="3FDE6583"/>
    <w:rsid w:val="400E7372"/>
    <w:rsid w:val="4015134C"/>
    <w:rsid w:val="405C0C1A"/>
    <w:rsid w:val="408D700B"/>
    <w:rsid w:val="40A5126A"/>
    <w:rsid w:val="40CD2B03"/>
    <w:rsid w:val="40EA7FAC"/>
    <w:rsid w:val="414E210C"/>
    <w:rsid w:val="41874A60"/>
    <w:rsid w:val="41952552"/>
    <w:rsid w:val="425E6C6B"/>
    <w:rsid w:val="426C0075"/>
    <w:rsid w:val="42B84975"/>
    <w:rsid w:val="42CB4E20"/>
    <w:rsid w:val="42CE4911"/>
    <w:rsid w:val="4309171A"/>
    <w:rsid w:val="431D0ECB"/>
    <w:rsid w:val="43A4556C"/>
    <w:rsid w:val="43C24C78"/>
    <w:rsid w:val="43C95642"/>
    <w:rsid w:val="442B2731"/>
    <w:rsid w:val="443450CF"/>
    <w:rsid w:val="445061D1"/>
    <w:rsid w:val="44670B79"/>
    <w:rsid w:val="4484797D"/>
    <w:rsid w:val="44F75E36"/>
    <w:rsid w:val="44FE350F"/>
    <w:rsid w:val="44FE6E53"/>
    <w:rsid w:val="450150F4"/>
    <w:rsid w:val="45075F2E"/>
    <w:rsid w:val="454B3B29"/>
    <w:rsid w:val="45994615"/>
    <w:rsid w:val="45BA5B9D"/>
    <w:rsid w:val="45D73ADC"/>
    <w:rsid w:val="45F4309F"/>
    <w:rsid w:val="46224967"/>
    <w:rsid w:val="46256582"/>
    <w:rsid w:val="46311089"/>
    <w:rsid w:val="463A061E"/>
    <w:rsid w:val="465B4E7C"/>
    <w:rsid w:val="46924142"/>
    <w:rsid w:val="46A32EA7"/>
    <w:rsid w:val="46DD120F"/>
    <w:rsid w:val="471A543A"/>
    <w:rsid w:val="47B036F0"/>
    <w:rsid w:val="47CF6CAB"/>
    <w:rsid w:val="47D956C4"/>
    <w:rsid w:val="48036670"/>
    <w:rsid w:val="489F7F75"/>
    <w:rsid w:val="48A8679C"/>
    <w:rsid w:val="49004208"/>
    <w:rsid w:val="493C2A5F"/>
    <w:rsid w:val="4978018F"/>
    <w:rsid w:val="49DC0CBB"/>
    <w:rsid w:val="4A154D23"/>
    <w:rsid w:val="4A6304F5"/>
    <w:rsid w:val="4A6A3C8C"/>
    <w:rsid w:val="4AAD32A4"/>
    <w:rsid w:val="4AD74C6C"/>
    <w:rsid w:val="4AE31A5C"/>
    <w:rsid w:val="4AE42F23"/>
    <w:rsid w:val="4B0C26FF"/>
    <w:rsid w:val="4B174B71"/>
    <w:rsid w:val="4B2718C9"/>
    <w:rsid w:val="4B66236B"/>
    <w:rsid w:val="4B731C59"/>
    <w:rsid w:val="4B9679C0"/>
    <w:rsid w:val="4B987499"/>
    <w:rsid w:val="4BAE4551"/>
    <w:rsid w:val="4BFD6AA0"/>
    <w:rsid w:val="4C3473A6"/>
    <w:rsid w:val="4C526272"/>
    <w:rsid w:val="4C9B331A"/>
    <w:rsid w:val="4CA613E0"/>
    <w:rsid w:val="4CB644F0"/>
    <w:rsid w:val="4CF94E5C"/>
    <w:rsid w:val="4D081591"/>
    <w:rsid w:val="4D2C2228"/>
    <w:rsid w:val="4D3006A2"/>
    <w:rsid w:val="4D4E1345"/>
    <w:rsid w:val="4D501648"/>
    <w:rsid w:val="4D74681E"/>
    <w:rsid w:val="4D8844F9"/>
    <w:rsid w:val="4D9C7AE5"/>
    <w:rsid w:val="4DB84F52"/>
    <w:rsid w:val="4DBE707A"/>
    <w:rsid w:val="4DF6053A"/>
    <w:rsid w:val="4E0F0BF4"/>
    <w:rsid w:val="4E1051CD"/>
    <w:rsid w:val="4E392A6B"/>
    <w:rsid w:val="4E5528C1"/>
    <w:rsid w:val="4E745160"/>
    <w:rsid w:val="4EAF55F6"/>
    <w:rsid w:val="4EC131CF"/>
    <w:rsid w:val="4EC24E6D"/>
    <w:rsid w:val="4F1C4C2D"/>
    <w:rsid w:val="4F5109ED"/>
    <w:rsid w:val="4F9E469C"/>
    <w:rsid w:val="4FA703CD"/>
    <w:rsid w:val="4FC76A74"/>
    <w:rsid w:val="4FE73720"/>
    <w:rsid w:val="502A673A"/>
    <w:rsid w:val="50320707"/>
    <w:rsid w:val="5073752C"/>
    <w:rsid w:val="507F29C7"/>
    <w:rsid w:val="50A75B6F"/>
    <w:rsid w:val="50B77C63"/>
    <w:rsid w:val="51025864"/>
    <w:rsid w:val="511E67D8"/>
    <w:rsid w:val="51A7039B"/>
    <w:rsid w:val="51B32B04"/>
    <w:rsid w:val="520F15D6"/>
    <w:rsid w:val="525318C6"/>
    <w:rsid w:val="52706372"/>
    <w:rsid w:val="528A588B"/>
    <w:rsid w:val="52907686"/>
    <w:rsid w:val="52912927"/>
    <w:rsid w:val="52E857BB"/>
    <w:rsid w:val="52E94A8B"/>
    <w:rsid w:val="531D7A62"/>
    <w:rsid w:val="53202E0C"/>
    <w:rsid w:val="533B1116"/>
    <w:rsid w:val="535854E5"/>
    <w:rsid w:val="536C00EA"/>
    <w:rsid w:val="53776EB3"/>
    <w:rsid w:val="538417A5"/>
    <w:rsid w:val="540F603D"/>
    <w:rsid w:val="542F3752"/>
    <w:rsid w:val="54581717"/>
    <w:rsid w:val="545B22E3"/>
    <w:rsid w:val="546750A4"/>
    <w:rsid w:val="54726C93"/>
    <w:rsid w:val="54B61992"/>
    <w:rsid w:val="54B95290"/>
    <w:rsid w:val="54BB2945"/>
    <w:rsid w:val="54D63D38"/>
    <w:rsid w:val="54F87E97"/>
    <w:rsid w:val="5536079B"/>
    <w:rsid w:val="5537507B"/>
    <w:rsid w:val="55376345"/>
    <w:rsid w:val="554358F3"/>
    <w:rsid w:val="55766C6D"/>
    <w:rsid w:val="5651048E"/>
    <w:rsid w:val="56674086"/>
    <w:rsid w:val="567A0776"/>
    <w:rsid w:val="56EB51A7"/>
    <w:rsid w:val="56F2029F"/>
    <w:rsid w:val="56FC29CC"/>
    <w:rsid w:val="5700455F"/>
    <w:rsid w:val="576E7A0A"/>
    <w:rsid w:val="5777712B"/>
    <w:rsid w:val="577F2862"/>
    <w:rsid w:val="57955458"/>
    <w:rsid w:val="579A2DB1"/>
    <w:rsid w:val="579D5890"/>
    <w:rsid w:val="57DA4A84"/>
    <w:rsid w:val="58037FF6"/>
    <w:rsid w:val="583D3CD0"/>
    <w:rsid w:val="58E578B7"/>
    <w:rsid w:val="59047E99"/>
    <w:rsid w:val="5927542E"/>
    <w:rsid w:val="59461D84"/>
    <w:rsid w:val="596D4ACE"/>
    <w:rsid w:val="59A332C0"/>
    <w:rsid w:val="59BE5287"/>
    <w:rsid w:val="59DF1F91"/>
    <w:rsid w:val="59F34E28"/>
    <w:rsid w:val="59F34F31"/>
    <w:rsid w:val="5A0855B9"/>
    <w:rsid w:val="5ABD59A5"/>
    <w:rsid w:val="5AEC714A"/>
    <w:rsid w:val="5B0533C9"/>
    <w:rsid w:val="5B3D45DF"/>
    <w:rsid w:val="5B650568"/>
    <w:rsid w:val="5B6B0AF7"/>
    <w:rsid w:val="5BB162F5"/>
    <w:rsid w:val="5BB60E9B"/>
    <w:rsid w:val="5C1C4402"/>
    <w:rsid w:val="5C49015F"/>
    <w:rsid w:val="5C604FF4"/>
    <w:rsid w:val="5C920EC8"/>
    <w:rsid w:val="5CA932F9"/>
    <w:rsid w:val="5D042BF1"/>
    <w:rsid w:val="5D042FB1"/>
    <w:rsid w:val="5D424B62"/>
    <w:rsid w:val="5D600B2F"/>
    <w:rsid w:val="5DE9651C"/>
    <w:rsid w:val="5DF33767"/>
    <w:rsid w:val="5DFB6F82"/>
    <w:rsid w:val="5DFE3EA4"/>
    <w:rsid w:val="5E004554"/>
    <w:rsid w:val="5E1A1DB3"/>
    <w:rsid w:val="5E1B3656"/>
    <w:rsid w:val="5E4C7278"/>
    <w:rsid w:val="5E7D126D"/>
    <w:rsid w:val="5ED326C3"/>
    <w:rsid w:val="5EEC1442"/>
    <w:rsid w:val="5F024E1A"/>
    <w:rsid w:val="5F1F4788"/>
    <w:rsid w:val="5F2A3AD4"/>
    <w:rsid w:val="5F467EC6"/>
    <w:rsid w:val="5F4B08CE"/>
    <w:rsid w:val="5FCE453C"/>
    <w:rsid w:val="5FCF559B"/>
    <w:rsid w:val="5FEF393F"/>
    <w:rsid w:val="60176715"/>
    <w:rsid w:val="6027612A"/>
    <w:rsid w:val="60377A1E"/>
    <w:rsid w:val="603E7619"/>
    <w:rsid w:val="60606866"/>
    <w:rsid w:val="60A15BF4"/>
    <w:rsid w:val="60B92304"/>
    <w:rsid w:val="60EC2613"/>
    <w:rsid w:val="60F94B99"/>
    <w:rsid w:val="61587D6F"/>
    <w:rsid w:val="61831D8B"/>
    <w:rsid w:val="61A731B5"/>
    <w:rsid w:val="621A794E"/>
    <w:rsid w:val="62B0281E"/>
    <w:rsid w:val="62B73A84"/>
    <w:rsid w:val="62BF60C3"/>
    <w:rsid w:val="63091321"/>
    <w:rsid w:val="63144A9E"/>
    <w:rsid w:val="631D6B7A"/>
    <w:rsid w:val="632672E4"/>
    <w:rsid w:val="637A285C"/>
    <w:rsid w:val="63D90DB6"/>
    <w:rsid w:val="63F21828"/>
    <w:rsid w:val="640031F1"/>
    <w:rsid w:val="64281C7B"/>
    <w:rsid w:val="642E169C"/>
    <w:rsid w:val="649F07E2"/>
    <w:rsid w:val="64F4606B"/>
    <w:rsid w:val="64F93374"/>
    <w:rsid w:val="650E6F7C"/>
    <w:rsid w:val="65254173"/>
    <w:rsid w:val="65405B73"/>
    <w:rsid w:val="65474383"/>
    <w:rsid w:val="65A96182"/>
    <w:rsid w:val="65B75A14"/>
    <w:rsid w:val="66055BA0"/>
    <w:rsid w:val="66424DD0"/>
    <w:rsid w:val="66572ABA"/>
    <w:rsid w:val="66C07984"/>
    <w:rsid w:val="66E225B5"/>
    <w:rsid w:val="6746563B"/>
    <w:rsid w:val="6748611A"/>
    <w:rsid w:val="67691546"/>
    <w:rsid w:val="676C0E23"/>
    <w:rsid w:val="67F656BF"/>
    <w:rsid w:val="67F7564B"/>
    <w:rsid w:val="67FD19FA"/>
    <w:rsid w:val="684D1CB0"/>
    <w:rsid w:val="686C0DF7"/>
    <w:rsid w:val="68716FB6"/>
    <w:rsid w:val="687D0392"/>
    <w:rsid w:val="68CA0A8B"/>
    <w:rsid w:val="68CD2A06"/>
    <w:rsid w:val="68E20770"/>
    <w:rsid w:val="68F0507D"/>
    <w:rsid w:val="6960463B"/>
    <w:rsid w:val="69C064B2"/>
    <w:rsid w:val="69CB2A59"/>
    <w:rsid w:val="6A00280B"/>
    <w:rsid w:val="6A060CC9"/>
    <w:rsid w:val="6A315D7A"/>
    <w:rsid w:val="6A665DF1"/>
    <w:rsid w:val="6A667059"/>
    <w:rsid w:val="6AA54AE5"/>
    <w:rsid w:val="6AB75B07"/>
    <w:rsid w:val="6AF956D8"/>
    <w:rsid w:val="6B0C1915"/>
    <w:rsid w:val="6B693CAE"/>
    <w:rsid w:val="6BE566A3"/>
    <w:rsid w:val="6BF725A2"/>
    <w:rsid w:val="6C05499B"/>
    <w:rsid w:val="6C273AB7"/>
    <w:rsid w:val="6C3A254B"/>
    <w:rsid w:val="6C4C6403"/>
    <w:rsid w:val="6C716240"/>
    <w:rsid w:val="6CB26F14"/>
    <w:rsid w:val="6CB81E48"/>
    <w:rsid w:val="6CCC10A0"/>
    <w:rsid w:val="6D0D6466"/>
    <w:rsid w:val="6D1073B0"/>
    <w:rsid w:val="6D4F3A89"/>
    <w:rsid w:val="6D7E290C"/>
    <w:rsid w:val="6D9257C2"/>
    <w:rsid w:val="6DA3193C"/>
    <w:rsid w:val="6DC654B4"/>
    <w:rsid w:val="6DD44917"/>
    <w:rsid w:val="6E121912"/>
    <w:rsid w:val="6E162B44"/>
    <w:rsid w:val="6E243747"/>
    <w:rsid w:val="6E263BAD"/>
    <w:rsid w:val="6E40311F"/>
    <w:rsid w:val="6E5E015C"/>
    <w:rsid w:val="6E9665E5"/>
    <w:rsid w:val="6E9B3017"/>
    <w:rsid w:val="6EE104B3"/>
    <w:rsid w:val="6F0A0A88"/>
    <w:rsid w:val="6FB30AAA"/>
    <w:rsid w:val="6FF04E1F"/>
    <w:rsid w:val="70117A67"/>
    <w:rsid w:val="702F613F"/>
    <w:rsid w:val="70635E9A"/>
    <w:rsid w:val="707C0982"/>
    <w:rsid w:val="70A44468"/>
    <w:rsid w:val="70D2011B"/>
    <w:rsid w:val="70EF1C64"/>
    <w:rsid w:val="71251292"/>
    <w:rsid w:val="71386683"/>
    <w:rsid w:val="71E944B6"/>
    <w:rsid w:val="72007E08"/>
    <w:rsid w:val="720A6FB7"/>
    <w:rsid w:val="72145307"/>
    <w:rsid w:val="72883B4F"/>
    <w:rsid w:val="72B82D9A"/>
    <w:rsid w:val="72C64264"/>
    <w:rsid w:val="72D557BF"/>
    <w:rsid w:val="72DC6056"/>
    <w:rsid w:val="734F591D"/>
    <w:rsid w:val="73B614BD"/>
    <w:rsid w:val="73E033D8"/>
    <w:rsid w:val="7425710E"/>
    <w:rsid w:val="7437545C"/>
    <w:rsid w:val="743B1F1D"/>
    <w:rsid w:val="74482683"/>
    <w:rsid w:val="744D0761"/>
    <w:rsid w:val="748B4094"/>
    <w:rsid w:val="74CA14A1"/>
    <w:rsid w:val="74DD2C73"/>
    <w:rsid w:val="753746BA"/>
    <w:rsid w:val="756C19BE"/>
    <w:rsid w:val="757318DF"/>
    <w:rsid w:val="75834610"/>
    <w:rsid w:val="759E0A48"/>
    <w:rsid w:val="75B52DA8"/>
    <w:rsid w:val="75DF6F5A"/>
    <w:rsid w:val="761F62A7"/>
    <w:rsid w:val="763F3DF8"/>
    <w:rsid w:val="76790B72"/>
    <w:rsid w:val="7693481C"/>
    <w:rsid w:val="76A354CD"/>
    <w:rsid w:val="76A52857"/>
    <w:rsid w:val="76CD21B2"/>
    <w:rsid w:val="76D96E05"/>
    <w:rsid w:val="76E25CB9"/>
    <w:rsid w:val="771C17AE"/>
    <w:rsid w:val="771D176E"/>
    <w:rsid w:val="773660B9"/>
    <w:rsid w:val="77AC464A"/>
    <w:rsid w:val="77DB026D"/>
    <w:rsid w:val="78142E70"/>
    <w:rsid w:val="783115BA"/>
    <w:rsid w:val="78A1009E"/>
    <w:rsid w:val="78B16ED8"/>
    <w:rsid w:val="78C934A6"/>
    <w:rsid w:val="78E647FC"/>
    <w:rsid w:val="794C496E"/>
    <w:rsid w:val="79B6195F"/>
    <w:rsid w:val="79CA1460"/>
    <w:rsid w:val="79FC3419"/>
    <w:rsid w:val="7A1A16DF"/>
    <w:rsid w:val="7A254E7A"/>
    <w:rsid w:val="7AB25219"/>
    <w:rsid w:val="7B105183"/>
    <w:rsid w:val="7B277C6A"/>
    <w:rsid w:val="7B7E089F"/>
    <w:rsid w:val="7B97649D"/>
    <w:rsid w:val="7BA420A7"/>
    <w:rsid w:val="7BAB26D7"/>
    <w:rsid w:val="7BF03DFE"/>
    <w:rsid w:val="7BFF730D"/>
    <w:rsid w:val="7C02222C"/>
    <w:rsid w:val="7C057A2E"/>
    <w:rsid w:val="7C43369E"/>
    <w:rsid w:val="7C5E2198"/>
    <w:rsid w:val="7CA038CF"/>
    <w:rsid w:val="7CA15F37"/>
    <w:rsid w:val="7CA777EF"/>
    <w:rsid w:val="7CDF4E2A"/>
    <w:rsid w:val="7D0A03D0"/>
    <w:rsid w:val="7D111148"/>
    <w:rsid w:val="7D602183"/>
    <w:rsid w:val="7D952517"/>
    <w:rsid w:val="7DB20677"/>
    <w:rsid w:val="7DE409D9"/>
    <w:rsid w:val="7DF9709B"/>
    <w:rsid w:val="7E1D2950"/>
    <w:rsid w:val="7E613626"/>
    <w:rsid w:val="7E6B1664"/>
    <w:rsid w:val="7E722FFA"/>
    <w:rsid w:val="7EA87462"/>
    <w:rsid w:val="7EDEEF9C"/>
    <w:rsid w:val="7EE230D9"/>
    <w:rsid w:val="7F065397"/>
    <w:rsid w:val="7F29239E"/>
    <w:rsid w:val="7F3E3C5B"/>
    <w:rsid w:val="7F4C5036"/>
    <w:rsid w:val="7F516FC3"/>
    <w:rsid w:val="7F604567"/>
    <w:rsid w:val="7F61738A"/>
    <w:rsid w:val="7F907247"/>
    <w:rsid w:val="7F995A29"/>
    <w:rsid w:val="7FC75086"/>
    <w:rsid w:val="7FCF551E"/>
    <w:rsid w:val="7FE44847"/>
    <w:rsid w:val="7FFB3FE6"/>
    <w:rsid w:val="7FFC0787"/>
    <w:rsid w:val="AC577E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0" w:name="Note Heading"/>
    <w:lsdException w:uiPriority="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9"/>
    <w:autoRedefine/>
    <w:qFormat/>
    <w:uiPriority w:val="0"/>
    <w:pPr>
      <w:keepNext/>
      <w:keepLines/>
      <w:spacing w:line="360" w:lineRule="auto"/>
      <w:outlineLvl w:val="0"/>
    </w:pPr>
    <w:rPr>
      <w:rFonts w:eastAsia="黑体"/>
      <w:b/>
      <w:bCs/>
      <w:kern w:val="44"/>
      <w:sz w:val="32"/>
      <w:szCs w:val="44"/>
    </w:rPr>
  </w:style>
  <w:style w:type="paragraph" w:styleId="3">
    <w:name w:val="heading 2"/>
    <w:basedOn w:val="1"/>
    <w:next w:val="1"/>
    <w:link w:val="107"/>
    <w:autoRedefine/>
    <w:qFormat/>
    <w:uiPriority w:val="0"/>
    <w:pPr>
      <w:keepNext/>
      <w:keepLines/>
      <w:spacing w:before="60" w:after="60" w:line="413" w:lineRule="auto"/>
      <w:outlineLvl w:val="1"/>
    </w:pPr>
    <w:rPr>
      <w:rFonts w:ascii="Arial" w:hAnsi="Arial" w:eastAsia="黑体"/>
      <w:b/>
      <w:bCs/>
      <w:szCs w:val="32"/>
    </w:rPr>
  </w:style>
  <w:style w:type="paragraph" w:styleId="4">
    <w:name w:val="heading 3"/>
    <w:basedOn w:val="1"/>
    <w:next w:val="1"/>
    <w:link w:val="86"/>
    <w:autoRedefine/>
    <w:qFormat/>
    <w:uiPriority w:val="0"/>
    <w:pPr>
      <w:keepNext/>
      <w:keepLines/>
      <w:spacing w:line="360" w:lineRule="auto"/>
      <w:outlineLvl w:val="2"/>
    </w:pPr>
    <w:rPr>
      <w:rFonts w:eastAsia="黑体"/>
      <w:b/>
      <w:bCs/>
      <w:szCs w:val="32"/>
    </w:rPr>
  </w:style>
  <w:style w:type="paragraph" w:styleId="5">
    <w:name w:val="heading 4"/>
    <w:basedOn w:val="1"/>
    <w:next w:val="1"/>
    <w:link w:val="108"/>
    <w:autoRedefine/>
    <w:qFormat/>
    <w:uiPriority w:val="0"/>
    <w:pPr>
      <w:keepNext/>
      <w:keepLines/>
      <w:spacing w:line="360" w:lineRule="auto"/>
      <w:outlineLvl w:val="3"/>
    </w:pPr>
    <w:rPr>
      <w:rFonts w:ascii="Arial" w:hAnsi="Arial"/>
      <w:b/>
      <w:bCs/>
      <w:szCs w:val="28"/>
    </w:rPr>
  </w:style>
  <w:style w:type="paragraph" w:styleId="6">
    <w:name w:val="heading 5"/>
    <w:basedOn w:val="1"/>
    <w:next w:val="1"/>
    <w:link w:val="57"/>
    <w:autoRedefine/>
    <w:qFormat/>
    <w:uiPriority w:val="0"/>
    <w:pPr>
      <w:keepNext/>
      <w:keepLines/>
      <w:spacing w:before="280" w:after="290" w:line="376" w:lineRule="auto"/>
      <w:outlineLvl w:val="4"/>
    </w:pPr>
    <w:rPr>
      <w:b/>
      <w:bCs/>
      <w:sz w:val="28"/>
      <w:szCs w:val="28"/>
    </w:rPr>
  </w:style>
  <w:style w:type="paragraph" w:styleId="7">
    <w:name w:val="heading 6"/>
    <w:basedOn w:val="1"/>
    <w:next w:val="1"/>
    <w:link w:val="164"/>
    <w:autoRedefine/>
    <w:qFormat/>
    <w:uiPriority w:val="0"/>
    <w:pPr>
      <w:keepNext/>
      <w:keepLines/>
      <w:spacing w:before="240" w:after="64" w:line="317" w:lineRule="auto"/>
      <w:outlineLvl w:val="5"/>
    </w:pPr>
    <w:rPr>
      <w:rFonts w:ascii="Cambria" w:hAnsi="Cambria"/>
      <w:b/>
      <w:bCs/>
      <w:sz w:val="24"/>
    </w:rPr>
  </w:style>
  <w:style w:type="paragraph" w:styleId="8">
    <w:name w:val="heading 7"/>
    <w:basedOn w:val="1"/>
    <w:next w:val="1"/>
    <w:link w:val="165"/>
    <w:autoRedefine/>
    <w:qFormat/>
    <w:uiPriority w:val="0"/>
    <w:pPr>
      <w:keepNext/>
      <w:keepLines/>
      <w:spacing w:before="240" w:after="64" w:line="317" w:lineRule="auto"/>
      <w:outlineLvl w:val="6"/>
    </w:pPr>
    <w:rPr>
      <w:rFonts w:ascii="Calibri" w:hAnsi="Calibri"/>
      <w:b/>
      <w:bCs/>
      <w:sz w:val="24"/>
    </w:rPr>
  </w:style>
  <w:style w:type="paragraph" w:styleId="9">
    <w:name w:val="heading 8"/>
    <w:basedOn w:val="1"/>
    <w:next w:val="1"/>
    <w:link w:val="166"/>
    <w:autoRedefine/>
    <w:qFormat/>
    <w:uiPriority w:val="0"/>
    <w:pPr>
      <w:keepNext/>
      <w:keepLines/>
      <w:spacing w:before="240" w:after="64" w:line="317" w:lineRule="auto"/>
      <w:outlineLvl w:val="7"/>
    </w:pPr>
    <w:rPr>
      <w:rFonts w:ascii="Cambria" w:hAnsi="Cambria"/>
      <w:sz w:val="24"/>
    </w:rPr>
  </w:style>
  <w:style w:type="paragraph" w:styleId="10">
    <w:name w:val="heading 9"/>
    <w:basedOn w:val="1"/>
    <w:next w:val="1"/>
    <w:link w:val="167"/>
    <w:autoRedefine/>
    <w:qFormat/>
    <w:uiPriority w:val="0"/>
    <w:pPr>
      <w:keepNext/>
      <w:keepLines/>
      <w:spacing w:before="240" w:after="64" w:line="317" w:lineRule="auto"/>
      <w:outlineLvl w:val="8"/>
    </w:pPr>
    <w:rPr>
      <w:rFonts w:ascii="Cambria" w:hAnsi="Cambria"/>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rPr>
      <w:rFonts w:ascii="Calibri" w:hAnsi="Calibri"/>
      <w:szCs w:val="22"/>
    </w:rPr>
  </w:style>
  <w:style w:type="paragraph" w:styleId="12">
    <w:name w:val="Normal Indent"/>
    <w:basedOn w:val="1"/>
    <w:next w:val="1"/>
    <w:autoRedefine/>
    <w:qFormat/>
    <w:uiPriority w:val="0"/>
    <w:pPr>
      <w:widowControl/>
      <w:ind w:firstLine="420"/>
      <w:jc w:val="left"/>
    </w:pPr>
    <w:rPr>
      <w:sz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77"/>
    <w:autoRedefine/>
    <w:qFormat/>
    <w:uiPriority w:val="0"/>
    <w:pPr>
      <w:shd w:val="clear" w:color="auto" w:fill="000080"/>
    </w:pPr>
    <w:rPr>
      <w:shd w:val="clear" w:color="auto" w:fill="000080"/>
    </w:rPr>
  </w:style>
  <w:style w:type="paragraph" w:styleId="15">
    <w:name w:val="annotation text"/>
    <w:basedOn w:val="1"/>
    <w:link w:val="67"/>
    <w:autoRedefine/>
    <w:qFormat/>
    <w:uiPriority w:val="0"/>
    <w:pPr>
      <w:jc w:val="left"/>
    </w:pPr>
  </w:style>
  <w:style w:type="paragraph" w:styleId="16">
    <w:name w:val="Body Text 3"/>
    <w:basedOn w:val="1"/>
    <w:link w:val="170"/>
    <w:autoRedefine/>
    <w:qFormat/>
    <w:uiPriority w:val="0"/>
    <w:pPr>
      <w:spacing w:after="120"/>
    </w:pPr>
    <w:rPr>
      <w:sz w:val="16"/>
      <w:szCs w:val="16"/>
    </w:rPr>
  </w:style>
  <w:style w:type="paragraph" w:styleId="17">
    <w:name w:val="Body Text"/>
    <w:basedOn w:val="1"/>
    <w:link w:val="114"/>
    <w:autoRedefine/>
    <w:qFormat/>
    <w:uiPriority w:val="0"/>
    <w:pPr>
      <w:adjustRightInd w:val="0"/>
      <w:spacing w:after="60" w:line="360" w:lineRule="atLeast"/>
      <w:ind w:left="72" w:leftChars="30" w:right="30" w:rightChars="30"/>
      <w:jc w:val="center"/>
      <w:textAlignment w:val="baseline"/>
    </w:pPr>
    <w:rPr>
      <w:szCs w:val="22"/>
    </w:rPr>
  </w:style>
  <w:style w:type="paragraph" w:styleId="18">
    <w:name w:val="Body Text Indent"/>
    <w:basedOn w:val="1"/>
    <w:next w:val="19"/>
    <w:link w:val="120"/>
    <w:autoRedefine/>
    <w:qFormat/>
    <w:uiPriority w:val="0"/>
    <w:pPr>
      <w:spacing w:before="240" w:line="360" w:lineRule="auto"/>
      <w:ind w:firstLine="552" w:firstLineChars="263"/>
    </w:pPr>
    <w:rPr>
      <w:rFonts w:ascii="宋体" w:hAnsi="宋体"/>
      <w:szCs w:val="20"/>
    </w:rPr>
  </w:style>
  <w:style w:type="paragraph" w:styleId="19">
    <w:name w:val="Normal (Web)"/>
    <w:basedOn w:val="1"/>
    <w:next w:val="1"/>
    <w:autoRedefine/>
    <w:qFormat/>
    <w:uiPriority w:val="0"/>
    <w:pPr>
      <w:widowControl/>
      <w:spacing w:before="100" w:beforeAutospacing="1" w:after="100" w:afterAutospacing="1"/>
      <w:jc w:val="left"/>
    </w:pPr>
    <w:rPr>
      <w:rFonts w:ascii="宋体" w:hAnsi="宋体" w:cs="宋体"/>
      <w:kern w:val="0"/>
      <w:sz w:val="24"/>
    </w:rPr>
  </w:style>
  <w:style w:type="paragraph" w:styleId="20">
    <w:name w:val="index 4"/>
    <w:basedOn w:val="1"/>
    <w:next w:val="1"/>
    <w:autoRedefine/>
    <w:qFormat/>
    <w:uiPriority w:val="0"/>
    <w:pPr>
      <w:ind w:left="600" w:leftChars="600"/>
    </w:pPr>
  </w:style>
  <w:style w:type="paragraph" w:styleId="21">
    <w:name w:val="toc 5"/>
    <w:basedOn w:val="1"/>
    <w:next w:val="1"/>
    <w:autoRedefine/>
    <w:qFormat/>
    <w:uiPriority w:val="0"/>
    <w:pPr>
      <w:ind w:left="1680" w:leftChars="800"/>
    </w:pPr>
    <w:rPr>
      <w:rFonts w:ascii="Calibri" w:hAnsi="Calibri"/>
      <w:szCs w:val="22"/>
    </w:rPr>
  </w:style>
  <w:style w:type="paragraph" w:styleId="22">
    <w:name w:val="toc 3"/>
    <w:basedOn w:val="1"/>
    <w:next w:val="1"/>
    <w:autoRedefine/>
    <w:qFormat/>
    <w:uiPriority w:val="0"/>
    <w:pPr>
      <w:ind w:left="840" w:leftChars="400"/>
    </w:pPr>
  </w:style>
  <w:style w:type="paragraph" w:styleId="23">
    <w:name w:val="Plain Text"/>
    <w:basedOn w:val="1"/>
    <w:link w:val="68"/>
    <w:autoRedefine/>
    <w:qFormat/>
    <w:uiPriority w:val="0"/>
    <w:rPr>
      <w:rFonts w:ascii="宋体" w:hAnsi="Courier New"/>
    </w:rPr>
  </w:style>
  <w:style w:type="paragraph" w:styleId="24">
    <w:name w:val="toc 8"/>
    <w:basedOn w:val="1"/>
    <w:next w:val="1"/>
    <w:autoRedefine/>
    <w:qFormat/>
    <w:uiPriority w:val="0"/>
    <w:pPr>
      <w:ind w:left="2940" w:leftChars="1400"/>
    </w:pPr>
    <w:rPr>
      <w:rFonts w:ascii="Calibri" w:hAnsi="Calibri"/>
      <w:szCs w:val="22"/>
    </w:rPr>
  </w:style>
  <w:style w:type="paragraph" w:styleId="25">
    <w:name w:val="Date"/>
    <w:basedOn w:val="1"/>
    <w:next w:val="1"/>
    <w:link w:val="56"/>
    <w:autoRedefine/>
    <w:qFormat/>
    <w:uiPriority w:val="0"/>
    <w:pPr>
      <w:ind w:left="100" w:leftChars="2500"/>
    </w:pPr>
  </w:style>
  <w:style w:type="paragraph" w:styleId="26">
    <w:name w:val="Body Text Indent 2"/>
    <w:basedOn w:val="1"/>
    <w:link w:val="127"/>
    <w:autoRedefine/>
    <w:qFormat/>
    <w:uiPriority w:val="0"/>
    <w:pPr>
      <w:spacing w:after="120" w:line="480" w:lineRule="auto"/>
      <w:ind w:left="420" w:leftChars="200"/>
    </w:pPr>
  </w:style>
  <w:style w:type="paragraph" w:styleId="27">
    <w:name w:val="Balloon Text"/>
    <w:basedOn w:val="1"/>
    <w:link w:val="65"/>
    <w:autoRedefine/>
    <w:qFormat/>
    <w:uiPriority w:val="0"/>
    <w:rPr>
      <w:sz w:val="18"/>
      <w:szCs w:val="18"/>
    </w:rPr>
  </w:style>
  <w:style w:type="paragraph" w:styleId="28">
    <w:name w:val="footer"/>
    <w:basedOn w:val="1"/>
    <w:link w:val="58"/>
    <w:autoRedefine/>
    <w:qFormat/>
    <w:uiPriority w:val="0"/>
    <w:pPr>
      <w:tabs>
        <w:tab w:val="center" w:pos="4153"/>
        <w:tab w:val="right" w:pos="8306"/>
      </w:tabs>
      <w:snapToGrid w:val="0"/>
      <w:jc w:val="left"/>
    </w:pPr>
    <w:rPr>
      <w:sz w:val="18"/>
      <w:szCs w:val="18"/>
    </w:rPr>
  </w:style>
  <w:style w:type="paragraph" w:styleId="29">
    <w:name w:val="header"/>
    <w:basedOn w:val="1"/>
    <w:link w:val="116"/>
    <w:autoRedefine/>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0"/>
    <w:pPr>
      <w:spacing w:before="60" w:line="400" w:lineRule="exact"/>
    </w:pPr>
    <w:rPr>
      <w:rFonts w:eastAsia="黑体"/>
    </w:rPr>
  </w:style>
  <w:style w:type="paragraph" w:styleId="31">
    <w:name w:val="toc 4"/>
    <w:basedOn w:val="1"/>
    <w:next w:val="1"/>
    <w:autoRedefine/>
    <w:qFormat/>
    <w:uiPriority w:val="0"/>
    <w:pPr>
      <w:ind w:left="1260" w:leftChars="600"/>
    </w:pPr>
  </w:style>
  <w:style w:type="paragraph" w:styleId="32">
    <w:name w:val="Subtitle"/>
    <w:basedOn w:val="1"/>
    <w:next w:val="1"/>
    <w:link w:val="168"/>
    <w:autoRedefine/>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90"/>
    <w:autoRedefine/>
    <w:qFormat/>
    <w:uiPriority w:val="0"/>
    <w:pPr>
      <w:adjustRightInd w:val="0"/>
      <w:spacing w:line="312" w:lineRule="atLeast"/>
      <w:jc w:val="left"/>
      <w:textAlignment w:val="baseline"/>
    </w:pPr>
    <w:rPr>
      <w:kern w:val="0"/>
      <w:sz w:val="18"/>
      <w:szCs w:val="20"/>
    </w:rPr>
  </w:style>
  <w:style w:type="paragraph" w:styleId="34">
    <w:name w:val="toc 6"/>
    <w:basedOn w:val="1"/>
    <w:next w:val="1"/>
    <w:autoRedefine/>
    <w:qFormat/>
    <w:uiPriority w:val="0"/>
    <w:pPr>
      <w:ind w:left="2100" w:leftChars="1000"/>
    </w:pPr>
    <w:rPr>
      <w:rFonts w:ascii="Calibri" w:hAnsi="Calibri"/>
      <w:szCs w:val="22"/>
    </w:rPr>
  </w:style>
  <w:style w:type="paragraph" w:styleId="35">
    <w:name w:val="Body Text Indent 3"/>
    <w:basedOn w:val="1"/>
    <w:link w:val="174"/>
    <w:autoRedefine/>
    <w:qFormat/>
    <w:uiPriority w:val="0"/>
    <w:pPr>
      <w:spacing w:after="120"/>
      <w:ind w:left="420" w:leftChars="200"/>
    </w:pPr>
    <w:rPr>
      <w:sz w:val="16"/>
      <w:szCs w:val="16"/>
    </w:rPr>
  </w:style>
  <w:style w:type="paragraph" w:styleId="36">
    <w:name w:val="toc 2"/>
    <w:basedOn w:val="1"/>
    <w:next w:val="1"/>
    <w:autoRedefine/>
    <w:qFormat/>
    <w:uiPriority w:val="0"/>
    <w:pPr>
      <w:ind w:left="420" w:leftChars="200"/>
    </w:pPr>
    <w:rPr>
      <w:rFonts w:ascii="Calibri" w:hAnsi="Calibri"/>
      <w:szCs w:val="22"/>
    </w:rPr>
  </w:style>
  <w:style w:type="paragraph" w:styleId="37">
    <w:name w:val="toc 9"/>
    <w:basedOn w:val="1"/>
    <w:next w:val="1"/>
    <w:autoRedefine/>
    <w:qFormat/>
    <w:uiPriority w:val="0"/>
    <w:pPr>
      <w:ind w:left="3360" w:leftChars="1600"/>
    </w:pPr>
    <w:rPr>
      <w:rFonts w:ascii="Calibri" w:hAnsi="Calibri"/>
      <w:szCs w:val="22"/>
    </w:rPr>
  </w:style>
  <w:style w:type="paragraph" w:styleId="38">
    <w:name w:val="index 1"/>
    <w:basedOn w:val="1"/>
    <w:next w:val="1"/>
    <w:autoRedefine/>
    <w:qFormat/>
    <w:uiPriority w:val="0"/>
    <w:pPr>
      <w:spacing w:line="220" w:lineRule="exact"/>
      <w:jc w:val="center"/>
    </w:pPr>
    <w:rPr>
      <w:rFonts w:ascii="仿宋_GB2312" w:eastAsia="仿宋_GB2312"/>
      <w:szCs w:val="21"/>
    </w:rPr>
  </w:style>
  <w:style w:type="paragraph" w:styleId="39">
    <w:name w:val="Title"/>
    <w:basedOn w:val="1"/>
    <w:next w:val="1"/>
    <w:link w:val="126"/>
    <w:autoRedefine/>
    <w:qFormat/>
    <w:uiPriority w:val="0"/>
    <w:pPr>
      <w:spacing w:before="240" w:after="60"/>
      <w:jc w:val="center"/>
      <w:outlineLvl w:val="0"/>
    </w:pPr>
    <w:rPr>
      <w:rFonts w:ascii="Cambria" w:hAnsi="Cambria"/>
      <w:b/>
      <w:bCs/>
      <w:sz w:val="32"/>
      <w:szCs w:val="32"/>
    </w:rPr>
  </w:style>
  <w:style w:type="paragraph" w:styleId="40">
    <w:name w:val="annotation subject"/>
    <w:basedOn w:val="15"/>
    <w:next w:val="15"/>
    <w:link w:val="64"/>
    <w:autoRedefine/>
    <w:qFormat/>
    <w:uiPriority w:val="0"/>
    <w:rPr>
      <w:b/>
      <w:bCs/>
    </w:rPr>
  </w:style>
  <w:style w:type="paragraph" w:styleId="41">
    <w:name w:val="Body Text First Indent"/>
    <w:basedOn w:val="17"/>
    <w:link w:val="172"/>
    <w:autoRedefine/>
    <w:qFormat/>
    <w:uiPriority w:val="0"/>
    <w:pPr>
      <w:spacing w:line="312" w:lineRule="auto"/>
      <w:ind w:firstLine="420"/>
    </w:pPr>
  </w:style>
  <w:style w:type="paragraph" w:styleId="42">
    <w:name w:val="Body Text First Indent 2"/>
    <w:basedOn w:val="18"/>
    <w:link w:val="194"/>
    <w:autoRedefine/>
    <w:qFormat/>
    <w:uiPriority w:val="99"/>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autoRedefine/>
    <w:qFormat/>
    <w:uiPriority w:val="0"/>
    <w:rPr>
      <w:b/>
      <w:bCs/>
    </w:rPr>
  </w:style>
  <w:style w:type="character" w:styleId="47">
    <w:name w:val="page number"/>
    <w:basedOn w:val="45"/>
    <w:autoRedefine/>
    <w:qFormat/>
    <w:uiPriority w:val="0"/>
  </w:style>
  <w:style w:type="character" w:styleId="48">
    <w:name w:val="FollowedHyperlink"/>
    <w:autoRedefine/>
    <w:qFormat/>
    <w:uiPriority w:val="99"/>
    <w:rPr>
      <w:color w:val="DD8905"/>
      <w:u w:val="none"/>
    </w:rPr>
  </w:style>
  <w:style w:type="character" w:styleId="49">
    <w:name w:val="Emphasis"/>
    <w:autoRedefine/>
    <w:qFormat/>
    <w:uiPriority w:val="0"/>
    <w:rPr>
      <w:i/>
      <w:iCs/>
    </w:rPr>
  </w:style>
  <w:style w:type="character" w:styleId="50">
    <w:name w:val="Hyperlink"/>
    <w:autoRedefine/>
    <w:qFormat/>
    <w:uiPriority w:val="0"/>
    <w:rPr>
      <w:color w:val="000000"/>
      <w:u w:val="none"/>
    </w:rPr>
  </w:style>
  <w:style w:type="character" w:styleId="51">
    <w:name w:val="annotation reference"/>
    <w:autoRedefine/>
    <w:qFormat/>
    <w:uiPriority w:val="0"/>
    <w:rPr>
      <w:sz w:val="21"/>
      <w:szCs w:val="21"/>
    </w:rPr>
  </w:style>
  <w:style w:type="character" w:styleId="52">
    <w:name w:val="footnote reference"/>
    <w:basedOn w:val="45"/>
    <w:autoRedefine/>
    <w:qFormat/>
    <w:uiPriority w:val="0"/>
    <w:rPr>
      <w:vertAlign w:val="superscript"/>
    </w:rPr>
  </w:style>
  <w:style w:type="paragraph" w:customStyle="1" w:styleId="53">
    <w:name w:val="正文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54">
    <w:name w:val="Char Char91"/>
    <w:autoRedefine/>
    <w:qFormat/>
    <w:uiPriority w:val="0"/>
    <w:rPr>
      <w:rFonts w:eastAsia="宋体"/>
      <w:b/>
      <w:bCs/>
      <w:kern w:val="44"/>
      <w:sz w:val="32"/>
      <w:szCs w:val="44"/>
      <w:lang w:val="en-US" w:eastAsia="zh-CN" w:bidi="ar-SA"/>
    </w:rPr>
  </w:style>
  <w:style w:type="character" w:customStyle="1" w:styleId="55">
    <w:name w:val="纯文本 Char1"/>
    <w:autoRedefine/>
    <w:qFormat/>
    <w:uiPriority w:val="0"/>
    <w:rPr>
      <w:rFonts w:ascii="宋体" w:hAnsi="Courier New" w:eastAsia="宋体" w:cs="Courier New"/>
      <w:szCs w:val="21"/>
    </w:rPr>
  </w:style>
  <w:style w:type="character" w:customStyle="1" w:styleId="56">
    <w:name w:val="日期 Char"/>
    <w:link w:val="25"/>
    <w:autoRedefine/>
    <w:qFormat/>
    <w:uiPriority w:val="0"/>
    <w:rPr>
      <w:kern w:val="2"/>
      <w:sz w:val="21"/>
      <w:szCs w:val="24"/>
      <w:lang w:bidi="ar-SA"/>
    </w:rPr>
  </w:style>
  <w:style w:type="character" w:customStyle="1" w:styleId="57">
    <w:name w:val="标题 5 Char"/>
    <w:link w:val="6"/>
    <w:autoRedefine/>
    <w:qFormat/>
    <w:uiPriority w:val="0"/>
    <w:rPr>
      <w:rFonts w:eastAsia="宋体"/>
      <w:b/>
      <w:bCs/>
      <w:kern w:val="2"/>
      <w:sz w:val="28"/>
      <w:szCs w:val="28"/>
      <w:lang w:val="en-US" w:eastAsia="zh-CN" w:bidi="ar-SA"/>
    </w:rPr>
  </w:style>
  <w:style w:type="character" w:customStyle="1" w:styleId="58">
    <w:name w:val="页脚 Char"/>
    <w:link w:val="28"/>
    <w:autoRedefine/>
    <w:qFormat/>
    <w:uiPriority w:val="0"/>
    <w:rPr>
      <w:kern w:val="2"/>
      <w:sz w:val="18"/>
      <w:szCs w:val="18"/>
      <w:lang w:bidi="ar-SA"/>
    </w:rPr>
  </w:style>
  <w:style w:type="character" w:customStyle="1" w:styleId="59">
    <w:name w:val="批注框文本 Char1"/>
    <w:autoRedefine/>
    <w:qFormat/>
    <w:uiPriority w:val="0"/>
    <w:rPr>
      <w:rFonts w:ascii="Times New Roman" w:hAnsi="Times New Roman" w:eastAsia="宋体" w:cs="Times New Roman"/>
      <w:sz w:val="18"/>
      <w:szCs w:val="18"/>
    </w:rPr>
  </w:style>
  <w:style w:type="character" w:customStyle="1" w:styleId="60">
    <w:name w:val="Plain Text Char"/>
    <w:autoRedefine/>
    <w:qFormat/>
    <w:uiPriority w:val="0"/>
    <w:rPr>
      <w:rFonts w:ascii="宋体" w:hAnsi="Courier New" w:eastAsia="宋体"/>
      <w:sz w:val="24"/>
      <w:lang w:bidi="ar-SA"/>
    </w:rPr>
  </w:style>
  <w:style w:type="character" w:customStyle="1" w:styleId="61">
    <w:name w:val="Body Text Indent Char"/>
    <w:autoRedefine/>
    <w:qFormat/>
    <w:uiPriority w:val="0"/>
    <w:rPr>
      <w:rFonts w:ascii="宋体" w:hAnsi="宋体" w:eastAsia="宋体"/>
      <w:kern w:val="2"/>
      <w:sz w:val="21"/>
      <w:lang w:val="en-US" w:eastAsia="zh-CN" w:bidi="ar-SA"/>
    </w:rPr>
  </w:style>
  <w:style w:type="character" w:customStyle="1" w:styleId="62">
    <w:name w:val="批注文字 Char1"/>
    <w:autoRedefine/>
    <w:qFormat/>
    <w:uiPriority w:val="0"/>
    <w:rPr>
      <w:rFonts w:ascii="Times New Roman" w:hAnsi="Times New Roman" w:eastAsia="宋体" w:cs="Times New Roman"/>
      <w:szCs w:val="24"/>
    </w:rPr>
  </w:style>
  <w:style w:type="character" w:customStyle="1" w:styleId="63">
    <w:name w:val="Body Text Indent 2 Char"/>
    <w:autoRedefine/>
    <w:qFormat/>
    <w:uiPriority w:val="0"/>
    <w:rPr>
      <w:rFonts w:eastAsia="宋体"/>
      <w:kern w:val="2"/>
      <w:sz w:val="21"/>
      <w:szCs w:val="24"/>
      <w:lang w:val="en-US" w:eastAsia="zh-CN" w:bidi="ar-SA"/>
    </w:rPr>
  </w:style>
  <w:style w:type="character" w:customStyle="1" w:styleId="64">
    <w:name w:val="批注主题 Char"/>
    <w:link w:val="40"/>
    <w:autoRedefine/>
    <w:qFormat/>
    <w:uiPriority w:val="0"/>
    <w:rPr>
      <w:b/>
      <w:bCs/>
      <w:kern w:val="2"/>
      <w:sz w:val="21"/>
      <w:szCs w:val="24"/>
      <w:lang w:bidi="ar-SA"/>
    </w:rPr>
  </w:style>
  <w:style w:type="character" w:customStyle="1" w:styleId="65">
    <w:name w:val="批注框文本 Char"/>
    <w:link w:val="27"/>
    <w:autoRedefine/>
    <w:qFormat/>
    <w:uiPriority w:val="0"/>
    <w:rPr>
      <w:kern w:val="2"/>
      <w:sz w:val="18"/>
      <w:szCs w:val="18"/>
      <w:lang w:bidi="ar-SA"/>
    </w:rPr>
  </w:style>
  <w:style w:type="character" w:customStyle="1" w:styleId="66">
    <w:name w:val="Char Char23"/>
    <w:autoRedefine/>
    <w:qFormat/>
    <w:uiPriority w:val="0"/>
    <w:rPr>
      <w:rFonts w:eastAsia="宋体"/>
      <w:b/>
      <w:bCs/>
      <w:kern w:val="44"/>
      <w:sz w:val="32"/>
      <w:szCs w:val="44"/>
      <w:lang w:val="en-US" w:eastAsia="zh-CN" w:bidi="ar-SA"/>
    </w:rPr>
  </w:style>
  <w:style w:type="character" w:customStyle="1" w:styleId="67">
    <w:name w:val="批注文字 Char2"/>
    <w:link w:val="15"/>
    <w:autoRedefine/>
    <w:qFormat/>
    <w:uiPriority w:val="99"/>
    <w:rPr>
      <w:rFonts w:eastAsia="宋体"/>
      <w:kern w:val="2"/>
      <w:sz w:val="21"/>
      <w:szCs w:val="24"/>
      <w:lang w:val="en-US" w:eastAsia="zh-CN" w:bidi="ar-SA"/>
    </w:rPr>
  </w:style>
  <w:style w:type="character" w:customStyle="1" w:styleId="68">
    <w:name w:val="纯文本 Char"/>
    <w:link w:val="23"/>
    <w:autoRedefine/>
    <w:qFormat/>
    <w:uiPriority w:val="0"/>
    <w:rPr>
      <w:rFonts w:ascii="宋体" w:hAnsi="Courier New" w:eastAsia="宋体"/>
      <w:kern w:val="2"/>
      <w:sz w:val="21"/>
      <w:szCs w:val="24"/>
      <w:lang w:val="en-US" w:eastAsia="zh-CN" w:bidi="ar-SA"/>
    </w:rPr>
  </w:style>
  <w:style w:type="character" w:customStyle="1" w:styleId="69">
    <w:name w:val="Heading 4 Char"/>
    <w:autoRedefine/>
    <w:qFormat/>
    <w:uiPriority w:val="0"/>
    <w:rPr>
      <w:rFonts w:ascii="Arial" w:hAnsi="Arial" w:eastAsia="宋体"/>
      <w:b/>
      <w:bCs/>
      <w:kern w:val="2"/>
      <w:sz w:val="21"/>
      <w:szCs w:val="28"/>
      <w:lang w:val="en-US" w:eastAsia="zh-CN" w:bidi="ar-SA"/>
    </w:rPr>
  </w:style>
  <w:style w:type="character" w:customStyle="1" w:styleId="70">
    <w:name w:val="书籍标题1"/>
    <w:autoRedefine/>
    <w:qFormat/>
    <w:uiPriority w:val="0"/>
    <w:rPr>
      <w:b/>
      <w:bCs/>
      <w:smallCaps/>
      <w:spacing w:val="5"/>
    </w:rPr>
  </w:style>
  <w:style w:type="character" w:customStyle="1" w:styleId="71">
    <w:name w:val="Heading 3 Char"/>
    <w:autoRedefine/>
    <w:qFormat/>
    <w:uiPriority w:val="0"/>
    <w:rPr>
      <w:rFonts w:cs="Times New Roman"/>
      <w:b/>
      <w:bCs/>
      <w:kern w:val="2"/>
      <w:sz w:val="32"/>
      <w:szCs w:val="32"/>
    </w:rPr>
  </w:style>
  <w:style w:type="character" w:customStyle="1" w:styleId="72">
    <w:name w:val="明显强调1"/>
    <w:autoRedefine/>
    <w:qFormat/>
    <w:uiPriority w:val="0"/>
    <w:rPr>
      <w:b/>
      <w:bCs/>
      <w:i/>
      <w:iCs/>
      <w:color w:val="4F81BD"/>
    </w:rPr>
  </w:style>
  <w:style w:type="character" w:customStyle="1" w:styleId="73">
    <w:name w:val="标题4 Char Char"/>
    <w:link w:val="74"/>
    <w:autoRedefine/>
    <w:qFormat/>
    <w:uiPriority w:val="0"/>
    <w:rPr>
      <w:rFonts w:ascii="Arial" w:hAnsi="Arial"/>
      <w:b/>
      <w:bCs/>
      <w:sz w:val="24"/>
      <w:szCs w:val="32"/>
      <w:lang w:bidi="ar-SA"/>
    </w:rPr>
  </w:style>
  <w:style w:type="paragraph" w:customStyle="1" w:styleId="74">
    <w:name w:val="标题4"/>
    <w:basedOn w:val="3"/>
    <w:next w:val="20"/>
    <w:link w:val="73"/>
    <w:autoRedefine/>
    <w:qFormat/>
    <w:uiPriority w:val="0"/>
    <w:rPr>
      <w:rFonts w:eastAsia="宋体"/>
      <w:kern w:val="0"/>
      <w:sz w:val="24"/>
    </w:rPr>
  </w:style>
  <w:style w:type="character" w:customStyle="1" w:styleId="75">
    <w:name w:val="正文文本 Char1"/>
    <w:autoRedefine/>
    <w:qFormat/>
    <w:uiPriority w:val="0"/>
    <w:rPr>
      <w:kern w:val="2"/>
      <w:sz w:val="21"/>
      <w:szCs w:val="22"/>
    </w:rPr>
  </w:style>
  <w:style w:type="character" w:customStyle="1" w:styleId="76">
    <w:name w:val="Footnote Text Char"/>
    <w:autoRedefine/>
    <w:qFormat/>
    <w:uiPriority w:val="0"/>
    <w:rPr>
      <w:rFonts w:eastAsia="宋体"/>
      <w:sz w:val="18"/>
      <w:lang w:val="en-US" w:eastAsia="zh-CN" w:bidi="ar-SA"/>
    </w:rPr>
  </w:style>
  <w:style w:type="character" w:customStyle="1" w:styleId="77">
    <w:name w:val="文档结构图 Char"/>
    <w:link w:val="14"/>
    <w:autoRedefine/>
    <w:qFormat/>
    <w:uiPriority w:val="0"/>
    <w:rPr>
      <w:kern w:val="2"/>
      <w:sz w:val="21"/>
      <w:szCs w:val="24"/>
      <w:shd w:val="clear" w:color="auto" w:fill="000080"/>
      <w:lang w:bidi="ar-SA"/>
    </w:rPr>
  </w:style>
  <w:style w:type="character" w:customStyle="1" w:styleId="78">
    <w:name w:val="Comment Subject Char"/>
    <w:autoRedefine/>
    <w:qFormat/>
    <w:uiPriority w:val="0"/>
    <w:rPr>
      <w:b/>
      <w:sz w:val="24"/>
      <w:lang w:bidi="ar-SA"/>
    </w:rPr>
  </w:style>
  <w:style w:type="character" w:customStyle="1" w:styleId="79">
    <w:name w:val="明显引用 Char1"/>
    <w:autoRedefine/>
    <w:qFormat/>
    <w:uiPriority w:val="30"/>
    <w:rPr>
      <w:rFonts w:ascii="Times New Roman" w:hAnsi="Times New Roman" w:eastAsia="宋体" w:cs="Times New Roman"/>
      <w:b/>
      <w:bCs/>
      <w:i/>
      <w:iCs/>
      <w:color w:val="4F81BD"/>
      <w:szCs w:val="24"/>
    </w:rPr>
  </w:style>
  <w:style w:type="character" w:customStyle="1" w:styleId="80">
    <w:name w:val="Char Char18"/>
    <w:autoRedefine/>
    <w:qFormat/>
    <w:uiPriority w:val="0"/>
    <w:rPr>
      <w:rFonts w:ascii="Times New Roman" w:hAnsi="Times New Roman" w:eastAsia="宋体" w:cs="Times New Roman"/>
      <w:b/>
      <w:bCs/>
      <w:sz w:val="28"/>
      <w:szCs w:val="28"/>
    </w:rPr>
  </w:style>
  <w:style w:type="character" w:customStyle="1" w:styleId="81">
    <w:name w:val="明显参考1"/>
    <w:autoRedefine/>
    <w:qFormat/>
    <w:uiPriority w:val="0"/>
    <w:rPr>
      <w:b/>
      <w:bCs/>
      <w:smallCaps/>
      <w:color w:val="C0504D"/>
      <w:spacing w:val="5"/>
      <w:u w:val="single"/>
    </w:rPr>
  </w:style>
  <w:style w:type="character" w:customStyle="1" w:styleId="82">
    <w:name w:val="超链接_0"/>
    <w:autoRedefine/>
    <w:qFormat/>
    <w:uiPriority w:val="99"/>
    <w:rPr>
      <w:rFonts w:ascii="Calibri" w:hAnsi="Calibri" w:cs="Times New Roman"/>
      <w:color w:val="0000FF"/>
      <w:u w:val="single"/>
    </w:rPr>
  </w:style>
  <w:style w:type="character" w:customStyle="1" w:styleId="83">
    <w:name w:val="Title Char"/>
    <w:autoRedefine/>
    <w:qFormat/>
    <w:uiPriority w:val="0"/>
    <w:rPr>
      <w:rFonts w:ascii="Cambria" w:hAnsi="Cambria"/>
      <w:b/>
      <w:sz w:val="32"/>
      <w:lang w:bidi="ar-SA"/>
    </w:rPr>
  </w:style>
  <w:style w:type="character" w:customStyle="1" w:styleId="84">
    <w:name w:val="Balloon Text Char"/>
    <w:autoRedefine/>
    <w:qFormat/>
    <w:uiPriority w:val="0"/>
    <w:rPr>
      <w:sz w:val="18"/>
      <w:lang w:bidi="ar-SA"/>
    </w:rPr>
  </w:style>
  <w:style w:type="character" w:customStyle="1" w:styleId="85">
    <w:name w:val="Char Char20"/>
    <w:autoRedefine/>
    <w:qFormat/>
    <w:uiPriority w:val="0"/>
    <w:rPr>
      <w:rFonts w:ascii="Times New Roman" w:hAnsi="Times New Roman" w:eastAsia="宋体" w:cs="Times New Roman"/>
      <w:b/>
      <w:bCs/>
      <w:sz w:val="24"/>
      <w:szCs w:val="32"/>
    </w:rPr>
  </w:style>
  <w:style w:type="character" w:customStyle="1" w:styleId="86">
    <w:name w:val="标题 3 Char"/>
    <w:link w:val="4"/>
    <w:autoRedefine/>
    <w:qFormat/>
    <w:uiPriority w:val="0"/>
    <w:rPr>
      <w:rFonts w:eastAsia="黑体"/>
      <w:b/>
      <w:bCs/>
      <w:kern w:val="2"/>
      <w:sz w:val="21"/>
      <w:szCs w:val="32"/>
      <w:lang w:bidi="ar-SA"/>
    </w:rPr>
  </w:style>
  <w:style w:type="character" w:customStyle="1" w:styleId="87">
    <w:name w:val="Header Char"/>
    <w:autoRedefine/>
    <w:qFormat/>
    <w:uiPriority w:val="0"/>
    <w:rPr>
      <w:rFonts w:eastAsia="宋体"/>
      <w:kern w:val="2"/>
      <w:sz w:val="18"/>
      <w:szCs w:val="18"/>
      <w:lang w:val="en-US" w:eastAsia="zh-CN" w:bidi="ar-SA"/>
    </w:rPr>
  </w:style>
  <w:style w:type="character" w:customStyle="1" w:styleId="88">
    <w:name w:val="文档结构图 Char1"/>
    <w:autoRedefine/>
    <w:qFormat/>
    <w:uiPriority w:val="0"/>
    <w:rPr>
      <w:rFonts w:ascii="宋体" w:hAnsi="Times New Roman" w:eastAsia="宋体" w:cs="Times New Roman"/>
      <w:sz w:val="18"/>
      <w:szCs w:val="18"/>
    </w:rPr>
  </w:style>
  <w:style w:type="character" w:customStyle="1" w:styleId="89">
    <w:name w:val="标题 1 Char"/>
    <w:link w:val="2"/>
    <w:autoRedefine/>
    <w:qFormat/>
    <w:uiPriority w:val="0"/>
    <w:rPr>
      <w:rFonts w:eastAsia="黑体"/>
      <w:b/>
      <w:bCs/>
      <w:kern w:val="44"/>
      <w:sz w:val="32"/>
      <w:szCs w:val="44"/>
      <w:lang w:bidi="ar-SA"/>
    </w:rPr>
  </w:style>
  <w:style w:type="character" w:customStyle="1" w:styleId="90">
    <w:name w:val="脚注文本 Char"/>
    <w:link w:val="33"/>
    <w:autoRedefine/>
    <w:qFormat/>
    <w:uiPriority w:val="0"/>
    <w:rPr>
      <w:sz w:val="18"/>
      <w:lang w:bidi="ar-SA"/>
    </w:rPr>
  </w:style>
  <w:style w:type="character" w:customStyle="1" w:styleId="91">
    <w:name w:val="Heading 5 Char"/>
    <w:autoRedefine/>
    <w:qFormat/>
    <w:uiPriority w:val="0"/>
    <w:rPr>
      <w:rFonts w:eastAsia="宋体"/>
      <w:b/>
      <w:bCs/>
      <w:kern w:val="2"/>
      <w:sz w:val="28"/>
      <w:szCs w:val="28"/>
      <w:lang w:val="en-US" w:eastAsia="zh-CN" w:bidi="ar-SA"/>
    </w:rPr>
  </w:style>
  <w:style w:type="character" w:customStyle="1" w:styleId="92">
    <w:name w:val="Heading 1 Char"/>
    <w:autoRedefine/>
    <w:qFormat/>
    <w:uiPriority w:val="0"/>
    <w:rPr>
      <w:rFonts w:eastAsia="宋体"/>
      <w:b/>
      <w:bCs/>
      <w:kern w:val="44"/>
      <w:sz w:val="32"/>
      <w:szCs w:val="44"/>
      <w:lang w:val="en-US" w:eastAsia="zh-CN" w:bidi="ar-SA"/>
    </w:rPr>
  </w:style>
  <w:style w:type="character" w:customStyle="1" w:styleId="93">
    <w:name w:val="引用 Char"/>
    <w:link w:val="94"/>
    <w:autoRedefine/>
    <w:qFormat/>
    <w:uiPriority w:val="0"/>
    <w:rPr>
      <w:i/>
      <w:iCs/>
      <w:color w:val="000000"/>
      <w:lang w:bidi="ar-SA"/>
    </w:rPr>
  </w:style>
  <w:style w:type="paragraph" w:styleId="94">
    <w:name w:val="Quote"/>
    <w:basedOn w:val="1"/>
    <w:next w:val="1"/>
    <w:link w:val="93"/>
    <w:autoRedefine/>
    <w:qFormat/>
    <w:uiPriority w:val="0"/>
    <w:rPr>
      <w:i/>
      <w:iCs/>
      <w:color w:val="000000"/>
      <w:kern w:val="0"/>
      <w:sz w:val="20"/>
      <w:szCs w:val="20"/>
    </w:rPr>
  </w:style>
  <w:style w:type="character" w:customStyle="1" w:styleId="95">
    <w:name w:val="Char Char22"/>
    <w:autoRedefine/>
    <w:qFormat/>
    <w:uiPriority w:val="0"/>
    <w:rPr>
      <w:rFonts w:ascii="Times New Roman" w:hAnsi="Times New Roman" w:eastAsia="宋体" w:cs="Times New Roman"/>
      <w:b/>
      <w:bCs/>
      <w:kern w:val="44"/>
      <w:sz w:val="32"/>
      <w:szCs w:val="44"/>
    </w:rPr>
  </w:style>
  <w:style w:type="character" w:customStyle="1" w:styleId="96">
    <w:name w:val="Heading 3 Char1"/>
    <w:autoRedefine/>
    <w:qFormat/>
    <w:uiPriority w:val="0"/>
    <w:rPr>
      <w:rFonts w:eastAsia="宋体"/>
      <w:b/>
      <w:bCs/>
      <w:kern w:val="2"/>
      <w:sz w:val="24"/>
      <w:szCs w:val="32"/>
      <w:lang w:val="en-US" w:eastAsia="zh-CN" w:bidi="ar-SA"/>
    </w:rPr>
  </w:style>
  <w:style w:type="character" w:customStyle="1" w:styleId="97">
    <w:name w:val="明显引用 Char"/>
    <w:link w:val="98"/>
    <w:autoRedefine/>
    <w:qFormat/>
    <w:uiPriority w:val="0"/>
    <w:rPr>
      <w:b/>
      <w:bCs/>
      <w:i/>
      <w:iCs/>
      <w:color w:val="4F81BD"/>
      <w:lang w:bidi="ar-SA"/>
    </w:rPr>
  </w:style>
  <w:style w:type="paragraph" w:styleId="98">
    <w:name w:val="Intense Quote"/>
    <w:basedOn w:val="1"/>
    <w:next w:val="1"/>
    <w:link w:val="97"/>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99">
    <w:name w:val="标题5 Char Char"/>
    <w:link w:val="100"/>
    <w:autoRedefine/>
    <w:qFormat/>
    <w:uiPriority w:val="0"/>
    <w:rPr>
      <w:rFonts w:ascii="Arial" w:hAnsi="Arial"/>
      <w:b/>
      <w:bCs/>
      <w:sz w:val="24"/>
      <w:szCs w:val="32"/>
      <w:lang w:bidi="ar-SA"/>
    </w:rPr>
  </w:style>
  <w:style w:type="paragraph" w:customStyle="1" w:styleId="100">
    <w:name w:val="标题5"/>
    <w:basedOn w:val="4"/>
    <w:link w:val="99"/>
    <w:autoRedefine/>
    <w:qFormat/>
    <w:uiPriority w:val="0"/>
    <w:pPr>
      <w:spacing w:before="260" w:after="260" w:line="413" w:lineRule="auto"/>
    </w:pPr>
    <w:rPr>
      <w:rFonts w:ascii="Arial" w:hAnsi="Arial" w:eastAsia="宋体"/>
      <w:kern w:val="0"/>
      <w:sz w:val="24"/>
    </w:rPr>
  </w:style>
  <w:style w:type="character" w:customStyle="1" w:styleId="101">
    <w:name w:val="Char Char181"/>
    <w:autoRedefine/>
    <w:qFormat/>
    <w:uiPriority w:val="0"/>
    <w:rPr>
      <w:b/>
      <w:bCs/>
      <w:kern w:val="44"/>
      <w:sz w:val="44"/>
      <w:szCs w:val="44"/>
    </w:rPr>
  </w:style>
  <w:style w:type="character" w:customStyle="1" w:styleId="102">
    <w:name w:val="Char Char9"/>
    <w:autoRedefine/>
    <w:qFormat/>
    <w:uiPriority w:val="0"/>
    <w:rPr>
      <w:rFonts w:eastAsia="宋体"/>
      <w:b/>
      <w:bCs/>
      <w:kern w:val="44"/>
      <w:sz w:val="32"/>
      <w:szCs w:val="44"/>
      <w:lang w:val="en-US" w:eastAsia="zh-CN" w:bidi="ar-SA"/>
    </w:rPr>
  </w:style>
  <w:style w:type="character" w:customStyle="1" w:styleId="103">
    <w:name w:val="Char Char19"/>
    <w:autoRedefine/>
    <w:qFormat/>
    <w:uiPriority w:val="0"/>
    <w:rPr>
      <w:rFonts w:ascii="Arial" w:hAnsi="Arial" w:eastAsia="宋体" w:cs="Times New Roman"/>
      <w:b/>
      <w:bCs/>
      <w:szCs w:val="28"/>
    </w:rPr>
  </w:style>
  <w:style w:type="character" w:customStyle="1" w:styleId="104">
    <w:name w:val="标题 Char1"/>
    <w:autoRedefine/>
    <w:qFormat/>
    <w:uiPriority w:val="10"/>
    <w:rPr>
      <w:rFonts w:ascii="Cambria" w:hAnsi="Cambria" w:eastAsia="宋体" w:cs="Times New Roman"/>
      <w:b/>
      <w:bCs/>
      <w:sz w:val="32"/>
      <w:szCs w:val="32"/>
    </w:rPr>
  </w:style>
  <w:style w:type="character" w:customStyle="1" w:styleId="105">
    <w:name w:val="Document Map Char"/>
    <w:autoRedefine/>
    <w:qFormat/>
    <w:uiPriority w:val="0"/>
    <w:rPr>
      <w:rFonts w:eastAsia="宋体"/>
      <w:kern w:val="2"/>
      <w:sz w:val="21"/>
      <w:szCs w:val="24"/>
      <w:lang w:val="en-US" w:eastAsia="zh-CN" w:bidi="ar-SA"/>
    </w:rPr>
  </w:style>
  <w:style w:type="character" w:customStyle="1" w:styleId="106">
    <w:name w:val="标题 Char2"/>
    <w:autoRedefine/>
    <w:qFormat/>
    <w:uiPriority w:val="0"/>
    <w:rPr>
      <w:rFonts w:ascii="Cambria" w:hAnsi="Cambria" w:eastAsia="宋体" w:cs="Times New Roman"/>
      <w:b/>
      <w:bCs/>
      <w:sz w:val="32"/>
      <w:szCs w:val="32"/>
    </w:rPr>
  </w:style>
  <w:style w:type="character" w:customStyle="1" w:styleId="107">
    <w:name w:val="标题 2 Char"/>
    <w:link w:val="3"/>
    <w:autoRedefine/>
    <w:qFormat/>
    <w:uiPriority w:val="0"/>
    <w:rPr>
      <w:rFonts w:ascii="Arial" w:hAnsi="Arial" w:eastAsia="黑体"/>
      <w:b/>
      <w:bCs/>
      <w:kern w:val="2"/>
      <w:sz w:val="21"/>
      <w:szCs w:val="32"/>
      <w:lang w:bidi="ar-SA"/>
    </w:rPr>
  </w:style>
  <w:style w:type="character" w:customStyle="1" w:styleId="108">
    <w:name w:val="标题 4 Char"/>
    <w:link w:val="5"/>
    <w:autoRedefine/>
    <w:qFormat/>
    <w:uiPriority w:val="0"/>
    <w:rPr>
      <w:rFonts w:ascii="Arial" w:hAnsi="Arial" w:eastAsia="宋体"/>
      <w:b/>
      <w:bCs/>
      <w:kern w:val="2"/>
      <w:sz w:val="21"/>
      <w:szCs w:val="28"/>
      <w:lang w:val="en-US" w:eastAsia="zh-CN" w:bidi="ar-SA"/>
    </w:rPr>
  </w:style>
  <w:style w:type="character" w:customStyle="1" w:styleId="109">
    <w:name w:val="批注文字 Char"/>
    <w:autoRedefine/>
    <w:qFormat/>
    <w:uiPriority w:val="0"/>
    <w:rPr>
      <w:kern w:val="2"/>
      <w:sz w:val="21"/>
      <w:szCs w:val="24"/>
    </w:rPr>
  </w:style>
  <w:style w:type="character" w:customStyle="1" w:styleId="110">
    <w:name w:val="Comment Text Char1"/>
    <w:autoRedefine/>
    <w:qFormat/>
    <w:uiPriority w:val="0"/>
    <w:rPr>
      <w:sz w:val="24"/>
      <w:lang w:bidi="ar-SA"/>
    </w:rPr>
  </w:style>
  <w:style w:type="character" w:customStyle="1" w:styleId="111">
    <w:name w:val="批注主题 Char1"/>
    <w:autoRedefine/>
    <w:qFormat/>
    <w:uiPriority w:val="0"/>
    <w:rPr>
      <w:rFonts w:ascii="Times New Roman" w:hAnsi="Times New Roman" w:eastAsia="宋体" w:cs="Times New Roman"/>
      <w:b/>
      <w:bCs/>
      <w:szCs w:val="24"/>
    </w:rPr>
  </w:style>
  <w:style w:type="character" w:customStyle="1" w:styleId="112">
    <w:name w:val="批注文字 Char Char"/>
    <w:autoRedefine/>
    <w:qFormat/>
    <w:uiPriority w:val="0"/>
    <w:rPr>
      <w:rFonts w:ascii="宋体" w:hAnsi="Times New Roman" w:eastAsia="宋体" w:cs="Times New Roman"/>
      <w:sz w:val="28"/>
      <w:szCs w:val="20"/>
    </w:rPr>
  </w:style>
  <w:style w:type="character" w:customStyle="1" w:styleId="113">
    <w:name w:val="Footer Char"/>
    <w:autoRedefine/>
    <w:qFormat/>
    <w:uiPriority w:val="0"/>
    <w:rPr>
      <w:rFonts w:eastAsia="宋体"/>
      <w:kern w:val="2"/>
      <w:sz w:val="18"/>
      <w:szCs w:val="18"/>
      <w:lang w:val="en-US" w:eastAsia="zh-CN" w:bidi="ar-SA"/>
    </w:rPr>
  </w:style>
  <w:style w:type="character" w:customStyle="1" w:styleId="114">
    <w:name w:val="正文文本 Char"/>
    <w:link w:val="17"/>
    <w:autoRedefine/>
    <w:qFormat/>
    <w:uiPriority w:val="0"/>
    <w:rPr>
      <w:rFonts w:eastAsia="宋体"/>
      <w:kern w:val="2"/>
      <w:sz w:val="21"/>
      <w:szCs w:val="22"/>
      <w:lang w:val="en-US" w:eastAsia="zh-CN" w:bidi="ar-SA"/>
    </w:rPr>
  </w:style>
  <w:style w:type="character" w:customStyle="1" w:styleId="115">
    <w:name w:val="Char Char6"/>
    <w:autoRedefine/>
    <w:qFormat/>
    <w:uiPriority w:val="0"/>
    <w:rPr>
      <w:rFonts w:eastAsia="宋体"/>
      <w:b/>
      <w:bCs/>
      <w:kern w:val="44"/>
      <w:sz w:val="32"/>
      <w:szCs w:val="44"/>
      <w:lang w:val="en-US" w:eastAsia="zh-CN" w:bidi="ar-SA"/>
    </w:rPr>
  </w:style>
  <w:style w:type="character" w:customStyle="1" w:styleId="116">
    <w:name w:val="页眉 Char"/>
    <w:link w:val="29"/>
    <w:autoRedefine/>
    <w:qFormat/>
    <w:uiPriority w:val="0"/>
    <w:rPr>
      <w:kern w:val="2"/>
      <w:sz w:val="18"/>
      <w:szCs w:val="18"/>
      <w:lang w:bidi="ar-SA"/>
    </w:rPr>
  </w:style>
  <w:style w:type="character" w:customStyle="1" w:styleId="117">
    <w:name w:val="日期 Char1"/>
    <w:autoRedefine/>
    <w:qFormat/>
    <w:uiPriority w:val="0"/>
    <w:rPr>
      <w:rFonts w:ascii="Times New Roman" w:hAnsi="Times New Roman" w:eastAsia="宋体" w:cs="Times New Roman"/>
      <w:szCs w:val="24"/>
    </w:rPr>
  </w:style>
  <w:style w:type="character" w:customStyle="1" w:styleId="118">
    <w:name w:val="不明显强调1"/>
    <w:autoRedefine/>
    <w:qFormat/>
    <w:uiPriority w:val="0"/>
    <w:rPr>
      <w:i/>
      <w:iCs/>
      <w:color w:val="808080"/>
    </w:rPr>
  </w:style>
  <w:style w:type="character" w:customStyle="1" w:styleId="119">
    <w:name w:val="不明显参考1"/>
    <w:autoRedefine/>
    <w:qFormat/>
    <w:uiPriority w:val="0"/>
    <w:rPr>
      <w:smallCaps/>
      <w:color w:val="C0504D"/>
      <w:u w:val="single"/>
    </w:rPr>
  </w:style>
  <w:style w:type="character" w:customStyle="1" w:styleId="120">
    <w:name w:val="正文文本缩进 Char"/>
    <w:link w:val="18"/>
    <w:autoRedefine/>
    <w:qFormat/>
    <w:uiPriority w:val="0"/>
    <w:rPr>
      <w:rFonts w:ascii="宋体" w:hAnsi="宋体"/>
      <w:kern w:val="2"/>
      <w:sz w:val="21"/>
      <w:lang w:bidi="ar-SA"/>
    </w:rPr>
  </w:style>
  <w:style w:type="character" w:customStyle="1" w:styleId="121">
    <w:name w:val="Char Char21"/>
    <w:autoRedefine/>
    <w:qFormat/>
    <w:uiPriority w:val="0"/>
    <w:rPr>
      <w:rFonts w:ascii="Arial" w:hAnsi="Arial" w:eastAsia="黑体" w:cs="Times New Roman"/>
      <w:b/>
      <w:bCs/>
      <w:sz w:val="32"/>
      <w:szCs w:val="32"/>
    </w:rPr>
  </w:style>
  <w:style w:type="character" w:customStyle="1" w:styleId="122">
    <w:name w:val="Heading 2 Char"/>
    <w:autoRedefine/>
    <w:qFormat/>
    <w:uiPriority w:val="0"/>
    <w:rPr>
      <w:rFonts w:ascii="Arial" w:hAnsi="Arial" w:eastAsia="黑体"/>
      <w:b/>
      <w:bCs/>
      <w:kern w:val="2"/>
      <w:sz w:val="32"/>
      <w:szCs w:val="32"/>
      <w:lang w:val="en-US" w:eastAsia="zh-CN" w:bidi="ar-SA"/>
    </w:rPr>
  </w:style>
  <w:style w:type="character" w:customStyle="1" w:styleId="123">
    <w:name w:val="Comment Text Char"/>
    <w:autoRedefine/>
    <w:qFormat/>
    <w:uiPriority w:val="0"/>
    <w:rPr>
      <w:rFonts w:cs="Times New Roman"/>
      <w:sz w:val="24"/>
      <w:szCs w:val="24"/>
    </w:rPr>
  </w:style>
  <w:style w:type="character" w:customStyle="1" w:styleId="124">
    <w:name w:val="引用 Char1"/>
    <w:autoRedefine/>
    <w:qFormat/>
    <w:uiPriority w:val="29"/>
    <w:rPr>
      <w:rFonts w:ascii="Times New Roman" w:hAnsi="Times New Roman" w:eastAsia="宋体" w:cs="Times New Roman"/>
      <w:i/>
      <w:iCs/>
      <w:color w:val="000000"/>
      <w:szCs w:val="24"/>
    </w:rPr>
  </w:style>
  <w:style w:type="character" w:customStyle="1" w:styleId="125">
    <w:name w:val="Date Char"/>
    <w:autoRedefine/>
    <w:qFormat/>
    <w:uiPriority w:val="0"/>
    <w:rPr>
      <w:rFonts w:eastAsia="宋体"/>
      <w:kern w:val="2"/>
      <w:sz w:val="21"/>
      <w:szCs w:val="24"/>
      <w:lang w:val="en-US" w:eastAsia="zh-CN" w:bidi="ar-SA"/>
    </w:rPr>
  </w:style>
  <w:style w:type="character" w:customStyle="1" w:styleId="126">
    <w:name w:val="标题 Char"/>
    <w:link w:val="39"/>
    <w:autoRedefine/>
    <w:qFormat/>
    <w:uiPriority w:val="0"/>
    <w:rPr>
      <w:rFonts w:ascii="Cambria" w:hAnsi="Cambria"/>
      <w:b/>
      <w:bCs/>
      <w:kern w:val="2"/>
      <w:sz w:val="32"/>
      <w:szCs w:val="32"/>
      <w:lang w:bidi="ar-SA"/>
    </w:rPr>
  </w:style>
  <w:style w:type="character" w:customStyle="1" w:styleId="127">
    <w:name w:val="正文文本缩进 2 Char"/>
    <w:link w:val="26"/>
    <w:autoRedefine/>
    <w:qFormat/>
    <w:uiPriority w:val="0"/>
    <w:rPr>
      <w:kern w:val="2"/>
      <w:sz w:val="21"/>
      <w:szCs w:val="24"/>
      <w:lang w:bidi="ar-SA"/>
    </w:rPr>
  </w:style>
  <w:style w:type="character" w:customStyle="1" w:styleId="128">
    <w:name w:val="textcontents"/>
    <w:autoRedefine/>
    <w:qFormat/>
    <w:uiPriority w:val="0"/>
    <w:rPr>
      <w:rFonts w:cs="Times New Roman"/>
    </w:rPr>
  </w:style>
  <w:style w:type="character" w:customStyle="1" w:styleId="129">
    <w:name w:val="Char Char24"/>
    <w:autoRedefine/>
    <w:qFormat/>
    <w:uiPriority w:val="0"/>
    <w:rPr>
      <w:rFonts w:eastAsia="宋体"/>
      <w:b/>
      <w:bCs/>
      <w:kern w:val="44"/>
      <w:sz w:val="32"/>
      <w:szCs w:val="44"/>
      <w:lang w:val="en-US" w:eastAsia="zh-CN" w:bidi="ar-SA"/>
    </w:rPr>
  </w:style>
  <w:style w:type="paragraph" w:customStyle="1" w:styleId="130">
    <w:name w:val="标题_0"/>
    <w:basedOn w:val="131"/>
    <w:autoRedefine/>
    <w:qFormat/>
    <w:uiPriority w:val="0"/>
    <w:pPr>
      <w:spacing w:before="120" w:after="120" w:line="360" w:lineRule="auto"/>
      <w:jc w:val="center"/>
      <w:outlineLvl w:val="0"/>
    </w:pPr>
    <w:rPr>
      <w:rFonts w:ascii="黑体" w:hAnsi="Arial" w:eastAsia="黑体"/>
      <w:b/>
      <w:bCs/>
      <w:kern w:val="2"/>
      <w:sz w:val="32"/>
      <w:szCs w:val="32"/>
    </w:rPr>
  </w:style>
  <w:style w:type="paragraph" w:customStyle="1" w:styleId="131">
    <w:name w:val="正文_1"/>
    <w:autoRedefine/>
    <w:qFormat/>
    <w:uiPriority w:val="0"/>
    <w:rPr>
      <w:rFonts w:ascii="Times New Roman" w:hAnsi="Times New Roman" w:eastAsia="宋体" w:cs="Times New Roman"/>
      <w:sz w:val="21"/>
      <w:szCs w:val="22"/>
      <w:lang w:val="en-US" w:eastAsia="zh-CN" w:bidi="ar-SA"/>
    </w:rPr>
  </w:style>
  <w:style w:type="paragraph" w:customStyle="1" w:styleId="132">
    <w:name w:val="1"/>
    <w:basedOn w:val="1"/>
    <w:next w:val="1"/>
    <w:autoRedefine/>
    <w:qFormat/>
    <w:uiPriority w:val="0"/>
  </w:style>
  <w:style w:type="paragraph" w:customStyle="1" w:styleId="133">
    <w:name w:val="p0"/>
    <w:basedOn w:val="1"/>
    <w:autoRedefine/>
    <w:qFormat/>
    <w:uiPriority w:val="0"/>
    <w:pPr>
      <w:widowControl/>
    </w:pPr>
    <w:rPr>
      <w:rFonts w:ascii="Calibri" w:hAnsi="Calibri" w:cs="宋体"/>
      <w:kern w:val="0"/>
      <w:szCs w:val="21"/>
    </w:rPr>
  </w:style>
  <w:style w:type="paragraph" w:customStyle="1" w:styleId="134">
    <w:name w:val="样式 标题 3 + (中文) 黑体 小四 非加粗 段前: 7.8 磅 段后: 0 磅 行距: 固定值 20 磅"/>
    <w:basedOn w:val="4"/>
    <w:autoRedefine/>
    <w:qFormat/>
    <w:uiPriority w:val="0"/>
    <w:pPr>
      <w:spacing w:line="400" w:lineRule="exact"/>
    </w:pPr>
    <w:rPr>
      <w:rFonts w:cs="宋体"/>
      <w:b w:val="0"/>
      <w:bCs w:val="0"/>
      <w:szCs w:val="20"/>
    </w:rPr>
  </w:style>
  <w:style w:type="paragraph" w:customStyle="1" w:styleId="135">
    <w:name w:val="标题 3_0"/>
    <w:basedOn w:val="53"/>
    <w:next w:val="53"/>
    <w:autoRedefine/>
    <w:qFormat/>
    <w:uiPriority w:val="0"/>
    <w:pPr>
      <w:keepNext/>
      <w:keepLines/>
      <w:spacing w:before="260" w:after="260" w:line="413" w:lineRule="auto"/>
      <w:outlineLvl w:val="2"/>
    </w:pPr>
    <w:rPr>
      <w:rFonts w:ascii="Times New Roman" w:hAnsi="Times New Roman"/>
      <w:b/>
      <w:bCs/>
      <w:sz w:val="32"/>
      <w:szCs w:val="32"/>
    </w:rPr>
  </w:style>
  <w:style w:type="paragraph" w:customStyle="1" w:styleId="136">
    <w:name w:val="样式1"/>
    <w:basedOn w:val="1"/>
    <w:next w:val="5"/>
    <w:autoRedefine/>
    <w:qFormat/>
    <w:uiPriority w:val="0"/>
    <w:pPr>
      <w:spacing w:line="360" w:lineRule="auto"/>
      <w:ind w:firstLine="420" w:firstLineChars="200"/>
    </w:pPr>
    <w:rPr>
      <w:rFonts w:ascii="宋体" w:hAnsi="宋体"/>
      <w:szCs w:val="21"/>
    </w:rPr>
  </w:style>
  <w:style w:type="paragraph" w:customStyle="1" w:styleId="137">
    <w:name w:val="Char Char Char Char"/>
    <w:basedOn w:val="1"/>
    <w:autoRedefine/>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38">
    <w:name w:val="正文缩进_0"/>
    <w:basedOn w:val="131"/>
    <w:autoRedefine/>
    <w:qFormat/>
    <w:uiPriority w:val="0"/>
    <w:pPr>
      <w:widowControl w:val="0"/>
      <w:ind w:firstLine="420"/>
      <w:jc w:val="both"/>
    </w:pPr>
    <w:rPr>
      <w:kern w:val="2"/>
      <w:u w:val="single"/>
    </w:rPr>
  </w:style>
  <w:style w:type="paragraph" w:customStyle="1" w:styleId="139">
    <w:name w:val="标题 4_0"/>
    <w:basedOn w:val="53"/>
    <w:next w:val="53"/>
    <w:autoRedefine/>
    <w:qFormat/>
    <w:uiPriority w:val="0"/>
    <w:pPr>
      <w:keepNext/>
      <w:keepLines/>
      <w:spacing w:before="280" w:after="290" w:line="372" w:lineRule="auto"/>
      <w:outlineLvl w:val="3"/>
    </w:pPr>
    <w:rPr>
      <w:rFonts w:ascii="Cambria" w:hAnsi="Cambria"/>
      <w:b/>
      <w:bCs/>
      <w:sz w:val="28"/>
      <w:szCs w:val="28"/>
    </w:rPr>
  </w:style>
  <w:style w:type="paragraph" w:customStyle="1" w:styleId="140">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41">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42">
    <w:name w:val="无间隔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44">
    <w:name w:val="TOC 标题1"/>
    <w:basedOn w:val="2"/>
    <w:next w:val="1"/>
    <w:autoRedefine/>
    <w:qFormat/>
    <w:uiPriority w:val="0"/>
    <w:pPr>
      <w:spacing w:before="340" w:after="330" w:line="576" w:lineRule="auto"/>
      <w:outlineLvl w:val="9"/>
    </w:pPr>
    <w:rPr>
      <w:rFonts w:ascii="Calibri" w:hAnsi="Calibri"/>
      <w:sz w:val="44"/>
    </w:rPr>
  </w:style>
  <w:style w:type="paragraph" w:customStyle="1" w:styleId="145">
    <w:name w:val="正文文本_0"/>
    <w:basedOn w:val="53"/>
    <w:autoRedefine/>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146">
    <w:name w:val="Char Char Char Char Char Char Char"/>
    <w:basedOn w:val="1"/>
    <w:autoRedefine/>
    <w:qFormat/>
    <w:uiPriority w:val="0"/>
    <w:pPr>
      <w:widowControl/>
      <w:spacing w:after="160" w:line="240" w:lineRule="exact"/>
      <w:jc w:val="left"/>
    </w:pPr>
  </w:style>
  <w:style w:type="paragraph" w:styleId="147">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8">
    <w:name w:val="列出段落1"/>
    <w:basedOn w:val="1"/>
    <w:autoRedefine/>
    <w:qFormat/>
    <w:uiPriority w:val="0"/>
    <w:pPr>
      <w:ind w:firstLine="420" w:firstLineChars="200"/>
    </w:pPr>
    <w:rPr>
      <w:rFonts w:ascii="Calibri" w:hAnsi="Calibri"/>
      <w:szCs w:val="22"/>
    </w:rPr>
  </w:style>
  <w:style w:type="paragraph" w:customStyle="1" w:styleId="149">
    <w:name w:val="_Style 37"/>
    <w:basedOn w:val="1"/>
    <w:next w:val="1"/>
    <w:autoRedefine/>
    <w:qFormat/>
    <w:uiPriority w:val="0"/>
  </w:style>
  <w:style w:type="paragraph" w:customStyle="1" w:styleId="150">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kern w:val="0"/>
      <w:sz w:val="28"/>
      <w:szCs w:val="20"/>
    </w:rPr>
  </w:style>
  <w:style w:type="paragraph" w:customStyle="1" w:styleId="151">
    <w:name w:val="2-2ji"/>
    <w:basedOn w:val="3"/>
    <w:autoRedefine/>
    <w:qFormat/>
    <w:uiPriority w:val="0"/>
    <w:pPr>
      <w:spacing w:before="0" w:after="0" w:line="360" w:lineRule="auto"/>
      <w:jc w:val="center"/>
    </w:pPr>
    <w:rPr>
      <w:rFonts w:ascii="宋体" w:hAnsi="宋体" w:eastAsia="宋体"/>
      <w:sz w:val="36"/>
      <w:szCs w:val="24"/>
    </w:rPr>
  </w:style>
  <w:style w:type="paragraph" w:customStyle="1" w:styleId="152">
    <w:name w:val="Char"/>
    <w:basedOn w:val="1"/>
    <w:autoRedefine/>
    <w:qFormat/>
    <w:uiPriority w:val="0"/>
    <w:pPr>
      <w:widowControl/>
      <w:spacing w:after="160" w:line="240" w:lineRule="exact"/>
      <w:jc w:val="left"/>
    </w:pPr>
  </w:style>
  <w:style w:type="paragraph" w:customStyle="1" w:styleId="153">
    <w:name w:val="Char1"/>
    <w:basedOn w:val="1"/>
    <w:autoRedefine/>
    <w:qFormat/>
    <w:uiPriority w:val="0"/>
    <w:pPr>
      <w:widowControl/>
      <w:spacing w:after="160" w:line="240" w:lineRule="exact"/>
      <w:jc w:val="left"/>
    </w:pPr>
  </w:style>
  <w:style w:type="paragraph" w:customStyle="1" w:styleId="154">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styleId="155">
    <w:name w:val="List Paragraph"/>
    <w:basedOn w:val="1"/>
    <w:autoRedefine/>
    <w:qFormat/>
    <w:uiPriority w:val="0"/>
    <w:pPr>
      <w:ind w:firstLine="420" w:firstLineChars="200"/>
    </w:pPr>
    <w:rPr>
      <w:rFonts w:ascii="Calibri" w:hAnsi="Calibri"/>
      <w:szCs w:val="22"/>
    </w:rPr>
  </w:style>
  <w:style w:type="paragraph" w:customStyle="1" w:styleId="156">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157">
    <w:name w:val="TOC 标题_0"/>
    <w:basedOn w:val="158"/>
    <w:next w:val="53"/>
    <w:autoRedefine/>
    <w:qFormat/>
    <w:uiPriority w:val="0"/>
    <w:pPr>
      <w:outlineLvl w:val="9"/>
    </w:pPr>
    <w:rPr>
      <w:rFonts w:ascii="Calibri" w:hAnsi="Calibri"/>
    </w:rPr>
  </w:style>
  <w:style w:type="paragraph" w:customStyle="1" w:styleId="158">
    <w:name w:val="标题 1_0"/>
    <w:basedOn w:val="53"/>
    <w:next w:val="53"/>
    <w:autoRedefine/>
    <w:qFormat/>
    <w:uiPriority w:val="0"/>
    <w:pPr>
      <w:keepNext/>
      <w:keepLines/>
      <w:spacing w:before="340" w:after="330" w:line="576" w:lineRule="auto"/>
      <w:outlineLvl w:val="0"/>
    </w:pPr>
    <w:rPr>
      <w:rFonts w:ascii="Times New Roman" w:hAnsi="Times New Roman"/>
      <w:b/>
      <w:bCs/>
      <w:kern w:val="44"/>
      <w:sz w:val="44"/>
      <w:szCs w:val="44"/>
    </w:rPr>
  </w:style>
  <w:style w:type="character" w:customStyle="1" w:styleId="159">
    <w:name w:val="标题 2 Char1"/>
    <w:autoRedefine/>
    <w:qFormat/>
    <w:uiPriority w:val="0"/>
    <w:rPr>
      <w:rFonts w:ascii="Arial" w:hAnsi="Arial" w:eastAsia="黑体" w:cs="Calibri"/>
      <w:b/>
      <w:kern w:val="0"/>
      <w:sz w:val="32"/>
      <w:szCs w:val="20"/>
    </w:rPr>
  </w:style>
  <w:style w:type="character" w:customStyle="1" w:styleId="160">
    <w:name w:val="标题 1 Char1"/>
    <w:autoRedefine/>
    <w:qFormat/>
    <w:uiPriority w:val="0"/>
    <w:rPr>
      <w:rFonts w:ascii="Calibri" w:hAnsi="Calibri" w:eastAsia="宋体" w:cs="Arial"/>
      <w:b/>
      <w:kern w:val="44"/>
      <w:sz w:val="44"/>
      <w:szCs w:val="20"/>
    </w:rPr>
  </w:style>
  <w:style w:type="character" w:customStyle="1" w:styleId="161">
    <w:name w:val="标题 3 Char1"/>
    <w:autoRedefine/>
    <w:qFormat/>
    <w:uiPriority w:val="0"/>
    <w:rPr>
      <w:rFonts w:ascii="Calibri" w:hAnsi="Calibri" w:eastAsia="宋体" w:cs="Arial"/>
      <w:b/>
      <w:kern w:val="0"/>
      <w:sz w:val="32"/>
      <w:szCs w:val="20"/>
    </w:rPr>
  </w:style>
  <w:style w:type="character" w:customStyle="1" w:styleId="162">
    <w:name w:val="样式 Char"/>
    <w:link w:val="163"/>
    <w:autoRedefine/>
    <w:qFormat/>
    <w:locked/>
    <w:uiPriority w:val="0"/>
    <w:rPr>
      <w:rFonts w:ascii="宋体" w:hAnsi="宋体" w:cs="宋体"/>
      <w:sz w:val="24"/>
      <w:szCs w:val="24"/>
    </w:rPr>
  </w:style>
  <w:style w:type="paragraph" w:customStyle="1" w:styleId="163">
    <w:name w:val="样式"/>
    <w:link w:val="162"/>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164">
    <w:name w:val="标题 6 Char"/>
    <w:link w:val="7"/>
    <w:autoRedefine/>
    <w:qFormat/>
    <w:uiPriority w:val="0"/>
    <w:rPr>
      <w:rFonts w:ascii="Cambria" w:hAnsi="Cambria"/>
      <w:b/>
      <w:bCs/>
      <w:kern w:val="2"/>
      <w:sz w:val="24"/>
      <w:szCs w:val="24"/>
    </w:rPr>
  </w:style>
  <w:style w:type="character" w:customStyle="1" w:styleId="165">
    <w:name w:val="标题 7 Char"/>
    <w:link w:val="8"/>
    <w:autoRedefine/>
    <w:qFormat/>
    <w:uiPriority w:val="0"/>
    <w:rPr>
      <w:rFonts w:ascii="Calibri" w:hAnsi="Calibri"/>
      <w:b/>
      <w:bCs/>
      <w:kern w:val="2"/>
      <w:sz w:val="24"/>
      <w:szCs w:val="24"/>
    </w:rPr>
  </w:style>
  <w:style w:type="character" w:customStyle="1" w:styleId="166">
    <w:name w:val="标题 8 Char"/>
    <w:link w:val="9"/>
    <w:autoRedefine/>
    <w:qFormat/>
    <w:uiPriority w:val="0"/>
    <w:rPr>
      <w:rFonts w:ascii="Cambria" w:hAnsi="Cambria"/>
      <w:kern w:val="2"/>
      <w:sz w:val="24"/>
      <w:szCs w:val="24"/>
    </w:rPr>
  </w:style>
  <w:style w:type="character" w:customStyle="1" w:styleId="167">
    <w:name w:val="标题 9 Char"/>
    <w:link w:val="10"/>
    <w:autoRedefine/>
    <w:qFormat/>
    <w:uiPriority w:val="0"/>
    <w:rPr>
      <w:rFonts w:ascii="Cambria" w:hAnsi="Cambria"/>
      <w:kern w:val="2"/>
      <w:sz w:val="21"/>
      <w:szCs w:val="21"/>
    </w:rPr>
  </w:style>
  <w:style w:type="character" w:customStyle="1" w:styleId="168">
    <w:name w:val="副标题 Char"/>
    <w:link w:val="32"/>
    <w:autoRedefine/>
    <w:qFormat/>
    <w:uiPriority w:val="0"/>
    <w:rPr>
      <w:rFonts w:ascii="Cambria" w:hAnsi="Cambria"/>
      <w:b/>
      <w:bCs/>
      <w:kern w:val="28"/>
      <w:sz w:val="32"/>
      <w:szCs w:val="32"/>
    </w:rPr>
  </w:style>
  <w:style w:type="character" w:customStyle="1" w:styleId="169">
    <w:name w:val="副标题 Char1"/>
    <w:autoRedefine/>
    <w:qFormat/>
    <w:uiPriority w:val="11"/>
    <w:rPr>
      <w:rFonts w:hint="default" w:ascii="Cambria" w:hAnsi="Cambria" w:cs="Times New Roman"/>
      <w:b/>
      <w:bCs/>
      <w:kern w:val="28"/>
      <w:sz w:val="32"/>
      <w:szCs w:val="32"/>
    </w:rPr>
  </w:style>
  <w:style w:type="character" w:customStyle="1" w:styleId="170">
    <w:name w:val="正文文本 3 Char"/>
    <w:basedOn w:val="45"/>
    <w:link w:val="16"/>
    <w:autoRedefine/>
    <w:qFormat/>
    <w:uiPriority w:val="0"/>
    <w:rPr>
      <w:kern w:val="2"/>
      <w:sz w:val="16"/>
      <w:szCs w:val="16"/>
    </w:rPr>
  </w:style>
  <w:style w:type="character" w:customStyle="1" w:styleId="171">
    <w:name w:val="font161"/>
    <w:basedOn w:val="45"/>
    <w:autoRedefine/>
    <w:qFormat/>
    <w:uiPriority w:val="0"/>
    <w:rPr>
      <w:b/>
      <w:bCs/>
      <w:sz w:val="32"/>
      <w:szCs w:val="32"/>
    </w:rPr>
  </w:style>
  <w:style w:type="character" w:customStyle="1" w:styleId="172">
    <w:name w:val="正文首行缩进 Char"/>
    <w:basedOn w:val="114"/>
    <w:link w:val="41"/>
    <w:autoRedefine/>
    <w:qFormat/>
    <w:uiPriority w:val="0"/>
    <w:rPr>
      <w:rFonts w:eastAsia="宋体"/>
      <w:kern w:val="2"/>
      <w:sz w:val="21"/>
      <w:szCs w:val="24"/>
      <w:lang w:val="en-US" w:eastAsia="zh-CN" w:bidi="ar-SA"/>
    </w:rPr>
  </w:style>
  <w:style w:type="character" w:customStyle="1" w:styleId="173">
    <w:name w:val="正文首行缩进 Char1"/>
    <w:basedOn w:val="114"/>
    <w:autoRedefine/>
    <w:qFormat/>
    <w:uiPriority w:val="0"/>
    <w:rPr>
      <w:rFonts w:eastAsia="宋体"/>
      <w:kern w:val="2"/>
      <w:sz w:val="21"/>
      <w:szCs w:val="24"/>
      <w:lang w:val="en-US" w:eastAsia="zh-CN" w:bidi="ar-SA"/>
    </w:rPr>
  </w:style>
  <w:style w:type="character" w:customStyle="1" w:styleId="174">
    <w:name w:val="正文文本缩进 3 Char"/>
    <w:basedOn w:val="45"/>
    <w:link w:val="35"/>
    <w:autoRedefine/>
    <w:qFormat/>
    <w:uiPriority w:val="0"/>
    <w:rPr>
      <w:kern w:val="2"/>
      <w:sz w:val="16"/>
      <w:szCs w:val="16"/>
    </w:rPr>
  </w:style>
  <w:style w:type="paragraph" w:customStyle="1" w:styleId="175">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76">
    <w:name w:val="表格文字"/>
    <w:basedOn w:val="1"/>
    <w:autoRedefine/>
    <w:qFormat/>
    <w:uiPriority w:val="0"/>
    <w:pPr>
      <w:adjustRightInd w:val="0"/>
      <w:spacing w:line="420" w:lineRule="atLeast"/>
      <w:jc w:val="left"/>
      <w:textAlignment w:val="baseline"/>
    </w:pPr>
    <w:rPr>
      <w:kern w:val="0"/>
      <w:szCs w:val="20"/>
    </w:rPr>
  </w:style>
  <w:style w:type="paragraph" w:customStyle="1" w:styleId="177">
    <w:name w:val="样式 标题 1 + 黑体 三号 非加粗 居中 段前: 6 磅 段后: 6 磅 行距: 固定值 20 磅"/>
    <w:basedOn w:val="2"/>
    <w:autoRedefine/>
    <w:qFormat/>
    <w:uiPriority w:val="0"/>
    <w:pPr>
      <w:spacing w:before="120" w:after="120" w:line="400" w:lineRule="exact"/>
      <w:jc w:val="center"/>
    </w:pPr>
    <w:rPr>
      <w:rFonts w:ascii="黑体" w:hAnsi="黑体" w:cs="宋体"/>
      <w:b w:val="0"/>
      <w:bCs w:val="0"/>
      <w:szCs w:val="20"/>
    </w:rPr>
  </w:style>
  <w:style w:type="paragraph" w:customStyle="1" w:styleId="178">
    <w:name w:val="修订11"/>
    <w:autoRedefine/>
    <w:qFormat/>
    <w:uiPriority w:val="0"/>
    <w:rPr>
      <w:rFonts w:ascii="Times New Roman" w:hAnsi="Times New Roman" w:eastAsia="宋体" w:cs="Times New Roman"/>
      <w:kern w:val="2"/>
      <w:sz w:val="21"/>
      <w:szCs w:val="24"/>
      <w:lang w:val="en-US" w:eastAsia="zh-CN" w:bidi="ar-SA"/>
    </w:rPr>
  </w:style>
  <w:style w:type="paragraph" w:customStyle="1" w:styleId="179">
    <w:name w:val="表格"/>
    <w:basedOn w:val="1"/>
    <w:autoRedefine/>
    <w:qFormat/>
    <w:uiPriority w:val="0"/>
    <w:pPr>
      <w:jc w:val="center"/>
      <w:textAlignment w:val="center"/>
    </w:pPr>
    <w:rPr>
      <w:rFonts w:ascii="华文细黑" w:hAnsi="华文细黑"/>
      <w:kern w:val="0"/>
      <w:szCs w:val="20"/>
    </w:rPr>
  </w:style>
  <w:style w:type="paragraph" w:customStyle="1" w:styleId="180">
    <w:name w:val="样式2"/>
    <w:basedOn w:val="4"/>
    <w:autoRedefine/>
    <w:qFormat/>
    <w:uiPriority w:val="0"/>
    <w:pPr>
      <w:spacing w:before="260" w:after="260" w:line="415" w:lineRule="auto"/>
      <w:ind w:firstLine="137" w:firstLineChars="49"/>
    </w:pPr>
    <w:rPr>
      <w:rFonts w:ascii="黑体" w:hAnsi="宋体"/>
      <w:b w:val="0"/>
      <w:i/>
      <w:sz w:val="28"/>
      <w:szCs w:val="28"/>
    </w:rPr>
  </w:style>
  <w:style w:type="paragraph" w:customStyle="1" w:styleId="181">
    <w:name w:val="标题 21"/>
    <w:basedOn w:val="1"/>
    <w:autoRedefine/>
    <w:qFormat/>
    <w:uiPriority w:val="1"/>
    <w:pPr>
      <w:spacing w:line="269" w:lineRule="exact"/>
      <w:ind w:left="628" w:hanging="477"/>
      <w:outlineLvl w:val="2"/>
    </w:pPr>
    <w:rPr>
      <w:b/>
      <w:bCs/>
      <w:szCs w:val="21"/>
    </w:rPr>
  </w:style>
  <w:style w:type="paragraph" w:customStyle="1" w:styleId="182">
    <w:name w:val="Main Title"/>
    <w:next w:val="1"/>
    <w:autoRedefine/>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 w:type="paragraph" w:customStyle="1" w:styleId="183">
    <w:name w:val="附件标题1"/>
    <w:next w:val="1"/>
    <w:autoRedefine/>
    <w:qFormat/>
    <w:uiPriority w:val="0"/>
    <w:pPr>
      <w:numPr>
        <w:ilvl w:val="0"/>
        <w:numId w:val="1"/>
      </w:numPr>
      <w:tabs>
        <w:tab w:val="left" w:pos="567"/>
      </w:tabs>
      <w:adjustRightInd w:val="0"/>
      <w:snapToGrid w:val="0"/>
      <w:spacing w:after="120" w:afterLines="50" w:line="312" w:lineRule="auto"/>
    </w:pPr>
    <w:rPr>
      <w:rFonts w:ascii="黑体" w:hAnsi="黑体" w:eastAsia="黑体" w:cs="Times New Roman"/>
      <w:b/>
      <w:kern w:val="2"/>
      <w:sz w:val="24"/>
      <w:szCs w:val="24"/>
      <w:lang w:val="en-US" w:eastAsia="zh-CN" w:bidi="ar-SA"/>
    </w:rPr>
  </w:style>
  <w:style w:type="paragraph" w:customStyle="1" w:styleId="184">
    <w:name w:val="TOC 标题2"/>
    <w:basedOn w:val="2"/>
    <w:next w:val="1"/>
    <w:autoRedefine/>
    <w:qFormat/>
    <w:uiPriority w:val="0"/>
    <w:pPr>
      <w:spacing w:before="260" w:after="260" w:line="413" w:lineRule="auto"/>
    </w:pPr>
    <w:rPr>
      <w:rFonts w:ascii="宋体" w:hAnsi="宋体" w:eastAsia="宋体"/>
      <w:sz w:val="36"/>
      <w:lang w:val="zh-CN"/>
    </w:rPr>
  </w:style>
  <w:style w:type="paragraph" w:customStyle="1" w:styleId="185">
    <w:name w:val="协议书标题2"/>
    <w:basedOn w:val="3"/>
    <w:next w:val="1"/>
    <w:autoRedefine/>
    <w:qFormat/>
    <w:uiPriority w:val="0"/>
    <w:pPr>
      <w:keepNext w:val="0"/>
      <w:keepLines w:val="0"/>
      <w:numPr>
        <w:ilvl w:val="0"/>
        <w:numId w:val="2"/>
      </w:numPr>
      <w:tabs>
        <w:tab w:val="left" w:pos="567"/>
      </w:tabs>
      <w:spacing w:line="360" w:lineRule="auto"/>
      <w:ind w:firstLine="0"/>
      <w:jc w:val="left"/>
    </w:pPr>
    <w:rPr>
      <w:rFonts w:ascii="宋体" w:hAnsi="宋体" w:eastAsia="宋体"/>
      <w:sz w:val="24"/>
    </w:rPr>
  </w:style>
  <w:style w:type="paragraph" w:customStyle="1" w:styleId="186">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187">
    <w:name w:val="通用标题2"/>
    <w:basedOn w:val="3"/>
    <w:next w:val="1"/>
    <w:autoRedefine/>
    <w:qFormat/>
    <w:uiPriority w:val="0"/>
    <w:pPr>
      <w:keepNext w:val="0"/>
      <w:keepLines w:val="0"/>
      <w:numPr>
        <w:ilvl w:val="0"/>
        <w:numId w:val="3"/>
      </w:numPr>
      <w:tabs>
        <w:tab w:val="left" w:pos="993"/>
      </w:tabs>
      <w:spacing w:line="360" w:lineRule="auto"/>
    </w:pPr>
    <w:rPr>
      <w:rFonts w:ascii="黑体" w:hAnsi="黑体"/>
    </w:rPr>
  </w:style>
  <w:style w:type="paragraph" w:customStyle="1" w:styleId="188">
    <w:name w:val="通用标题3"/>
    <w:next w:val="1"/>
    <w:autoRedefine/>
    <w:qFormat/>
    <w:uiPriority w:val="0"/>
    <w:pPr>
      <w:widowControl w:val="0"/>
      <w:numPr>
        <w:ilvl w:val="1"/>
        <w:numId w:val="4"/>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189">
    <w:name w:val="通用标题4"/>
    <w:next w:val="1"/>
    <w:autoRedefine/>
    <w:qFormat/>
    <w:uiPriority w:val="0"/>
    <w:pPr>
      <w:numPr>
        <w:ilvl w:val="2"/>
        <w:numId w:val="4"/>
      </w:numPr>
      <w:tabs>
        <w:tab w:val="left" w:pos="851"/>
      </w:tabs>
      <w:adjustRightInd w:val="0"/>
      <w:snapToGrid w:val="0"/>
      <w:spacing w:after="120" w:afterLines="50" w:line="360" w:lineRule="auto"/>
      <w:jc w:val="both"/>
      <w:outlineLvl w:val="3"/>
    </w:pPr>
    <w:rPr>
      <w:rFonts w:ascii="宋体" w:hAnsi="宋体" w:eastAsia="宋体" w:cs="Times New Roman"/>
      <w:kern w:val="2"/>
      <w:sz w:val="24"/>
      <w:szCs w:val="21"/>
      <w:lang w:val="en-US" w:eastAsia="zh-CN" w:bidi="ar-SA"/>
    </w:rPr>
  </w:style>
  <w:style w:type="paragraph" w:customStyle="1" w:styleId="190">
    <w:name w:val="通用标题5"/>
    <w:autoRedefine/>
    <w:qFormat/>
    <w:uiPriority w:val="0"/>
    <w:pPr>
      <w:widowControl w:val="0"/>
      <w:numPr>
        <w:ilvl w:val="3"/>
        <w:numId w:val="4"/>
      </w:numPr>
      <w:tabs>
        <w:tab w:val="left" w:pos="1134"/>
      </w:tabs>
      <w:autoSpaceDE w:val="0"/>
      <w:autoSpaceDN w:val="0"/>
      <w:adjustRightInd w:val="0"/>
      <w:snapToGrid w:val="0"/>
      <w:spacing w:after="120" w:afterLines="50" w:line="360" w:lineRule="auto"/>
      <w:jc w:val="both"/>
    </w:pPr>
    <w:rPr>
      <w:rFonts w:ascii="宋体" w:hAnsi="宋体" w:eastAsia="宋体" w:cs="Times New Roman"/>
      <w:kern w:val="2"/>
      <w:sz w:val="24"/>
      <w:szCs w:val="21"/>
      <w:lang w:val="en-US" w:eastAsia="zh-CN" w:bidi="ar-SA"/>
    </w:rPr>
  </w:style>
  <w:style w:type="paragraph" w:customStyle="1" w:styleId="191">
    <w:name w:val="通用标题6"/>
    <w:basedOn w:val="1"/>
    <w:autoRedefine/>
    <w:qFormat/>
    <w:uiPriority w:val="0"/>
    <w:pPr>
      <w:numPr>
        <w:ilvl w:val="4"/>
        <w:numId w:val="5"/>
      </w:numPr>
      <w:tabs>
        <w:tab w:val="left" w:pos="993"/>
      </w:tabs>
      <w:ind w:firstLine="0"/>
    </w:pPr>
  </w:style>
  <w:style w:type="paragraph" w:customStyle="1" w:styleId="192">
    <w:name w:val="专用标题2"/>
    <w:basedOn w:val="3"/>
    <w:next w:val="1"/>
    <w:autoRedefine/>
    <w:qFormat/>
    <w:uiPriority w:val="0"/>
    <w:pPr>
      <w:keepNext w:val="0"/>
      <w:keepLines w:val="0"/>
      <w:tabs>
        <w:tab w:val="left" w:pos="993"/>
      </w:tabs>
      <w:spacing w:line="360" w:lineRule="auto"/>
    </w:pPr>
    <w:rPr>
      <w:rFonts w:ascii="宋体" w:hAnsi="宋体" w:eastAsia="宋体" w:cs="Times"/>
    </w:rPr>
  </w:style>
  <w:style w:type="paragraph" w:customStyle="1" w:styleId="193">
    <w:name w:val="附件标题"/>
    <w:basedOn w:val="3"/>
    <w:next w:val="1"/>
    <w:autoRedefine/>
    <w:qFormat/>
    <w:uiPriority w:val="0"/>
    <w:pPr>
      <w:numPr>
        <w:ilvl w:val="0"/>
        <w:numId w:val="6"/>
      </w:numPr>
      <w:tabs>
        <w:tab w:val="left" w:pos="1134"/>
      </w:tabs>
      <w:spacing w:line="360" w:lineRule="auto"/>
      <w:ind w:firstLine="0"/>
      <w:jc w:val="center"/>
    </w:pPr>
    <w:rPr>
      <w:rFonts w:ascii="黑体" w:hAnsi="黑体"/>
      <w:sz w:val="30"/>
      <w:szCs w:val="30"/>
    </w:rPr>
  </w:style>
  <w:style w:type="character" w:customStyle="1" w:styleId="194">
    <w:name w:val="正文首行缩进 2 Char"/>
    <w:basedOn w:val="120"/>
    <w:link w:val="42"/>
    <w:autoRedefine/>
    <w:qFormat/>
    <w:uiPriority w:val="99"/>
    <w:rPr>
      <w:rFonts w:ascii="宋体" w:hAnsi="宋体"/>
      <w:kern w:val="2"/>
      <w:sz w:val="21"/>
      <w:lang w:bidi="ar-SA"/>
    </w:rPr>
  </w:style>
  <w:style w:type="character" w:customStyle="1" w:styleId="195">
    <w:name w:val="引用 字符1"/>
    <w:basedOn w:val="45"/>
    <w:autoRedefine/>
    <w:qFormat/>
    <w:uiPriority w:val="29"/>
    <w:rPr>
      <w:rFonts w:ascii="Times New Roman" w:hAnsi="Times New Roman" w:eastAsia="宋体" w:cs="Times New Roman"/>
      <w:i/>
      <w:iCs/>
      <w:color w:val="404040" w:themeColor="text1" w:themeTint="BF"/>
      <w:szCs w:val="24"/>
      <w14:textFill>
        <w14:solidFill>
          <w14:schemeClr w14:val="tx1">
            <w14:lumMod w14:val="75000"/>
            <w14:lumOff w14:val="25000"/>
          </w14:schemeClr>
        </w14:solidFill>
      </w14:textFill>
    </w:rPr>
  </w:style>
  <w:style w:type="character" w:customStyle="1" w:styleId="196">
    <w:name w:val="明显引用 字符1"/>
    <w:basedOn w:val="45"/>
    <w:autoRedefine/>
    <w:qFormat/>
    <w:uiPriority w:val="30"/>
    <w:rPr>
      <w:rFonts w:ascii="Times New Roman" w:hAnsi="Times New Roman" w:eastAsia="宋体" w:cs="Times New Roman"/>
      <w:i/>
      <w:iCs/>
      <w:color w:val="4F81BD" w:themeColor="accent1"/>
      <w:szCs w:val="24"/>
      <w14:textFill>
        <w14:solidFill>
          <w14:schemeClr w14:val="accent1"/>
        </w14:solidFill>
      </w14:textFill>
    </w:rPr>
  </w:style>
  <w:style w:type="paragraph" w:customStyle="1" w:styleId="197">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198">
    <w:name w:val="引文目录1"/>
    <w:next w:val="1"/>
    <w:autoRedefine/>
    <w:qFormat/>
    <w:uiPriority w:val="0"/>
    <w:pPr>
      <w:widowControl w:val="0"/>
      <w:ind w:left="420" w:leftChars="200"/>
      <w:jc w:val="both"/>
    </w:pPr>
    <w:rPr>
      <w:rFonts w:ascii="Calibri" w:hAnsi="Calibri" w:eastAsia="宋体" w:cs="Times New Roman"/>
      <w:kern w:val="2"/>
      <w:sz w:val="32"/>
      <w:szCs w:val="32"/>
      <w:lang w:val="en-US" w:eastAsia="zh-CN" w:bidi="ar-SA"/>
    </w:rPr>
  </w:style>
  <w:style w:type="paragraph" w:customStyle="1" w:styleId="199">
    <w:name w:val="TOC Heading"/>
    <w:basedOn w:val="2"/>
    <w:next w:val="1"/>
    <w:autoRedefine/>
    <w:unhideWhenUsed/>
    <w:qFormat/>
    <w:uiPriority w:val="0"/>
    <w:pPr>
      <w:spacing w:before="340" w:after="330" w:line="578" w:lineRule="auto"/>
      <w:outlineLvl w:val="9"/>
    </w:pPr>
    <w:rPr>
      <w:rFonts w:eastAsia="宋体"/>
      <w:sz w:val="44"/>
    </w:rPr>
  </w:style>
  <w:style w:type="character" w:customStyle="1" w:styleId="200">
    <w:name w:val="Subtle Emphasis"/>
    <w:autoRedefine/>
    <w:qFormat/>
    <w:uiPriority w:val="0"/>
    <w:rPr>
      <w:i/>
      <w:iCs/>
      <w:color w:val="808080"/>
    </w:rPr>
  </w:style>
  <w:style w:type="character" w:customStyle="1" w:styleId="201">
    <w:name w:val="Intense Reference"/>
    <w:autoRedefine/>
    <w:qFormat/>
    <w:uiPriority w:val="0"/>
    <w:rPr>
      <w:b/>
      <w:bCs/>
      <w:smallCaps/>
      <w:color w:val="C0504D"/>
      <w:spacing w:val="5"/>
      <w:u w:val="single"/>
    </w:rPr>
  </w:style>
  <w:style w:type="character" w:customStyle="1" w:styleId="202">
    <w:name w:val="Book Title"/>
    <w:autoRedefine/>
    <w:qFormat/>
    <w:uiPriority w:val="0"/>
    <w:rPr>
      <w:b/>
      <w:bCs/>
      <w:smallCaps/>
      <w:spacing w:val="5"/>
    </w:rPr>
  </w:style>
  <w:style w:type="character" w:customStyle="1" w:styleId="203">
    <w:name w:val="Intense Emphasis"/>
    <w:autoRedefine/>
    <w:qFormat/>
    <w:uiPriority w:val="0"/>
    <w:rPr>
      <w:b/>
      <w:bCs/>
      <w:i/>
      <w:iCs/>
      <w:color w:val="4F81BD"/>
    </w:rPr>
  </w:style>
  <w:style w:type="character" w:customStyle="1" w:styleId="204">
    <w:name w:val="Subtle Reference"/>
    <w:autoRedefine/>
    <w:qFormat/>
    <w:uiPriority w:val="0"/>
    <w:rPr>
      <w:smallCaps/>
      <w:color w:val="C0504D"/>
      <w:u w:val="single"/>
    </w:rPr>
  </w:style>
  <w:style w:type="paragraph" w:customStyle="1" w:styleId="205">
    <w:name w:val="Revision"/>
    <w:autoRedefine/>
    <w:qFormat/>
    <w:uiPriority w:val="0"/>
    <w:rPr>
      <w:rFonts w:ascii="Times New Roman" w:hAnsi="Times New Roman" w:eastAsia="宋体" w:cs="Times New Roman"/>
      <w:kern w:val="2"/>
      <w:sz w:val="21"/>
      <w:szCs w:val="24"/>
      <w:lang w:val="en-US" w:eastAsia="zh-CN" w:bidi="ar-SA"/>
    </w:rPr>
  </w:style>
  <w:style w:type="paragraph" w:customStyle="1" w:styleId="206">
    <w:name w:val="table of authorities"/>
    <w:next w:val="1"/>
    <w:autoRedefine/>
    <w:qFormat/>
    <w:uiPriority w:val="0"/>
    <w:pPr>
      <w:widowControl w:val="0"/>
      <w:spacing w:before="0" w:beforeLines="0" w:after="0" w:afterLines="0"/>
      <w:ind w:left="420" w:leftChars="200" w:right="0"/>
      <w:jc w:val="both"/>
    </w:pPr>
    <w:rPr>
      <w:rFonts w:ascii="Calibri" w:hAnsi="Calibri" w:eastAsia="宋体" w:cs="Times New Roman"/>
      <w:kern w:val="2"/>
      <w:sz w:val="32"/>
      <w:szCs w:val="32"/>
      <w:lang w:val="en-US" w:eastAsia="zh-CN" w:bidi="ar-SA"/>
    </w:rPr>
  </w:style>
  <w:style w:type="paragraph" w:customStyle="1" w:styleId="207">
    <w:name w:val="_Style 6"/>
    <w:basedOn w:val="2"/>
    <w:next w:val="1"/>
    <w:autoRedefine/>
    <w:qFormat/>
    <w:uiPriority w:val="0"/>
    <w:pPr>
      <w:outlineLvl w:val="9"/>
    </w:pPr>
  </w:style>
  <w:style w:type="paragraph" w:customStyle="1" w:styleId="208">
    <w:name w:val="?y??"/>
    <w:autoRedefine/>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209">
    <w:name w:val="Table Text"/>
    <w:basedOn w:val="1"/>
    <w:autoRedefine/>
    <w:semiHidden/>
    <w:qFormat/>
    <w:uiPriority w:val="0"/>
    <w:rPr>
      <w:rFonts w:ascii="Arial" w:hAnsi="Arial" w:eastAsia="Arial" w:cs="Arial"/>
      <w:sz w:val="21"/>
      <w:szCs w:val="21"/>
      <w:lang w:val="en-US" w:eastAsia="en-US" w:bidi="ar-SA"/>
    </w:rPr>
  </w:style>
  <w:style w:type="table" w:customStyle="1" w:styleId="21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wmf"/><Relationship Id="rId21" Type="http://schemas.openxmlformats.org/officeDocument/2006/relationships/oleObject" Target="embeddings/oleObject5.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wmf"/><Relationship Id="rId17" Type="http://schemas.openxmlformats.org/officeDocument/2006/relationships/oleObject" Target="embeddings/oleObject3.bin"/><Relationship Id="rId16" Type="http://schemas.openxmlformats.org/officeDocument/2006/relationships/image" Target="media/image2.wmf"/><Relationship Id="rId15" Type="http://schemas.openxmlformats.org/officeDocument/2006/relationships/oleObject" Target="embeddings/oleObject2.bin"/><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318</Pages>
  <Words>125126</Words>
  <Characters>130950</Characters>
  <Lines>999</Lines>
  <Paragraphs>281</Paragraphs>
  <TotalTime>1</TotalTime>
  <ScaleCrop>false</ScaleCrop>
  <LinksUpToDate>false</LinksUpToDate>
  <CharactersWithSpaces>160788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2022-10-10T11:42:00Z</dcterms:created>
  <dc:creator>微软用户</dc:creator>
  <cp:lastModifiedBy>淡淡丶</cp:lastModifiedBy>
  <cp:lastPrinted>2021-08-27T02:25:00Z</cp:lastPrinted>
  <dcterms:modified xsi:type="dcterms:W3CDTF">2024-03-15T03:26:58Z</dcterms:modified>
  <dc:title>广西壮族自治区房屋建筑和市政工程施工电子招标文件范本（2015年版）</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88A667BE47F2445880B4E2C332A687C7_13</vt:lpwstr>
  </property>
</Properties>
</file>