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default" w:ascii="Nimbus Roman No9 L" w:hAnsi="Nimbus Roman No9 L" w:eastAsia="黑体" w:cs="Nimbus Roman No9 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已取消的工程监理企业资质证书换领对照表</w:t>
      </w:r>
    </w:p>
    <w:tbl>
      <w:tblPr>
        <w:tblStyle w:val="6"/>
        <w:tblpPr w:leftFromText="180" w:rightFromText="180" w:vertAnchor="text" w:horzAnchor="page" w:tblpX="2032" w:tblpY="423"/>
        <w:tblOverlap w:val="never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76"/>
        <w:gridCol w:w="2871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资质类别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现有资质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换领资质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专业资质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房屋建筑工程专业丙级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房屋建筑工程专业乙级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市政公用工程专业丙级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市政公用工程专业乙级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公路工程专业乙级、丙级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市政公用工程专业乙级或机电安装工程专业乙级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水利水电工程乙级、丙级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市政公用工程专业乙级或机电安装工程专业乙级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港口与航道工程专业乙级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市政公用工程专业乙级或机电安装工程专业乙级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农林工程专业乙级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市政公用工程专业乙级或机电安装工程专业乙级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事务所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事务所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vertAlign w:val="baseline"/>
                <w:lang w:eastAsia="zh-CN"/>
              </w:rPr>
              <w:t>房屋建筑工程专业乙级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spacing w:afterLines="0" w:line="560" w:lineRule="exact"/>
        <w:rPr>
          <w:rFonts w:ascii="Nimbus Roman No9 L" w:hAnsi="Nimbus Roman No9 L" w:cs="Nimbus Roman No9 L"/>
        </w:rPr>
      </w:pPr>
    </w:p>
    <w:p>
      <w:pPr>
        <w:spacing w:afterLines="0"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551C613F"/>
    <w:rsid w:val="551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2024-01-08T02:33:00Z</dcterms:created>
  <dc:creator>懒小猪</dc:creator>
  <cp:lastModifiedBy>懒小猪</cp:lastModifiedBy>
  <dcterms:modified xsi:type="dcterms:W3CDTF">2024-01-08T02:35:01Z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983F1B1574AF4A9090DAF366CE43FE1C_11</vt:lpwstr>
  </property>
</Properties>
</file>