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jc w:val="center"/>
        <w:rPr>
          <w:rFonts w:ascii="宋体" w:hAnsi="宋体" w:cs="宋体"/>
          <w:b/>
          <w:bCs/>
          <w:kern w:val="0"/>
          <w:sz w:val="48"/>
          <w:szCs w:val="48"/>
        </w:rPr>
      </w:pPr>
      <w:r>
        <w:rPr>
          <w:rFonts w:hint="eastAsia" w:ascii="宋体" w:hAnsi="宋体" w:cs="宋体"/>
          <w:b/>
          <w:bCs/>
          <w:kern w:val="0"/>
          <w:sz w:val="48"/>
          <w:szCs w:val="48"/>
        </w:rPr>
        <w:t>自治区财政项目支出绩效评价报告</w:t>
      </w: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32"/>
          <w:szCs w:val="32"/>
        </w:rPr>
      </w:pPr>
      <w:r>
        <w:rPr>
          <w:rFonts w:hint="eastAsia" w:ascii="宋体" w:hAnsi="宋体" w:cs="宋体"/>
          <w:kern w:val="0"/>
          <w:sz w:val="32"/>
          <w:szCs w:val="32"/>
        </w:rPr>
        <w:t>（202</w:t>
      </w:r>
      <w:r>
        <w:rPr>
          <w:rFonts w:hint="eastAsia" w:ascii="宋体" w:hAnsi="宋体" w:cs="宋体"/>
          <w:kern w:val="0"/>
          <w:sz w:val="32"/>
          <w:szCs w:val="32"/>
          <w:lang w:val="en-US" w:eastAsia="zh-CN"/>
        </w:rPr>
        <w:t>3</w:t>
      </w:r>
      <w:r>
        <w:rPr>
          <w:rFonts w:hint="eastAsia" w:ascii="宋体" w:hAnsi="宋体" w:cs="宋体"/>
          <w:kern w:val="0"/>
          <w:sz w:val="32"/>
          <w:szCs w:val="32"/>
        </w:rPr>
        <w:t>年度）</w:t>
      </w: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jc w:val="center"/>
        <w:rPr>
          <w:rFonts w:ascii="宋体" w:hAnsi="宋体" w:cs="宋体"/>
          <w:kern w:val="0"/>
          <w:sz w:val="28"/>
          <w:szCs w:val="28"/>
        </w:rPr>
      </w:pPr>
    </w:p>
    <w:p>
      <w:pPr>
        <w:spacing w:line="540" w:lineRule="exact"/>
        <w:rPr>
          <w:rFonts w:ascii="宋体" w:hAnsi="宋体" w:cs="宋体"/>
          <w:kern w:val="0"/>
          <w:sz w:val="28"/>
          <w:szCs w:val="28"/>
        </w:rPr>
      </w:pPr>
    </w:p>
    <w:p>
      <w:pPr>
        <w:spacing w:line="540" w:lineRule="exact"/>
        <w:rPr>
          <w:rFonts w:ascii="宋体" w:hAnsi="宋体" w:cs="宋体"/>
          <w:kern w:val="0"/>
          <w:sz w:val="28"/>
          <w:szCs w:val="28"/>
        </w:rPr>
      </w:pPr>
    </w:p>
    <w:p>
      <w:pPr>
        <w:spacing w:line="700" w:lineRule="exact"/>
        <w:ind w:firstLine="640" w:firstLineChars="200"/>
        <w:jc w:val="left"/>
        <w:rPr>
          <w:rFonts w:ascii="宋体" w:hAnsi="宋体" w:cs="宋体"/>
          <w:kern w:val="0"/>
          <w:sz w:val="32"/>
          <w:szCs w:val="32"/>
        </w:rPr>
      </w:pPr>
      <w:r>
        <w:rPr>
          <w:rFonts w:hint="eastAsia" w:ascii="宋体" w:hAnsi="宋体" w:cs="宋体"/>
          <w:kern w:val="0"/>
          <w:sz w:val="32"/>
          <w:szCs w:val="32"/>
        </w:rPr>
        <w:t>项目名称：教学活动经费</w:t>
      </w:r>
    </w:p>
    <w:p>
      <w:pPr>
        <w:spacing w:line="700" w:lineRule="exact"/>
        <w:ind w:firstLine="640" w:firstLineChars="200"/>
        <w:jc w:val="left"/>
        <w:rPr>
          <w:rFonts w:ascii="宋体" w:hAnsi="宋体" w:cs="宋体"/>
          <w:kern w:val="0"/>
          <w:sz w:val="32"/>
          <w:szCs w:val="32"/>
        </w:rPr>
      </w:pPr>
      <w:r>
        <w:rPr>
          <w:rFonts w:hint="eastAsia" w:ascii="宋体" w:hAnsi="宋体" w:cs="宋体"/>
          <w:kern w:val="0"/>
          <w:sz w:val="32"/>
          <w:szCs w:val="32"/>
        </w:rPr>
        <w:t>实施单位（公章）：新疆建设职业技术学院</w:t>
      </w:r>
    </w:p>
    <w:p>
      <w:pPr>
        <w:spacing w:line="700" w:lineRule="exact"/>
        <w:ind w:firstLine="640" w:firstLineChars="200"/>
        <w:jc w:val="left"/>
        <w:rPr>
          <w:rFonts w:ascii="宋体" w:hAnsi="宋体" w:cs="宋体"/>
          <w:kern w:val="0"/>
          <w:sz w:val="32"/>
          <w:szCs w:val="32"/>
        </w:rPr>
      </w:pPr>
      <w:r>
        <w:rPr>
          <w:rFonts w:hint="eastAsia" w:ascii="宋体" w:hAnsi="宋体" w:cs="宋体"/>
          <w:kern w:val="0"/>
          <w:sz w:val="32"/>
          <w:szCs w:val="32"/>
        </w:rPr>
        <w:t>自治区主管部门（公章）：</w:t>
      </w:r>
      <w:r>
        <w:rPr>
          <w:rFonts w:hint="eastAsia" w:ascii="宋体" w:hAnsi="宋体" w:cs="宋体"/>
          <w:kern w:val="0"/>
          <w:sz w:val="32"/>
          <w:szCs w:val="32"/>
          <w:lang w:eastAsia="zh-CN"/>
        </w:rPr>
        <w:t>自治区住房和城乡建设</w:t>
      </w:r>
      <w:r>
        <w:rPr>
          <w:rFonts w:hint="eastAsia" w:ascii="宋体" w:hAnsi="宋体" w:cs="宋体"/>
          <w:kern w:val="0"/>
          <w:sz w:val="32"/>
          <w:szCs w:val="32"/>
        </w:rPr>
        <w:t>厅</w:t>
      </w:r>
    </w:p>
    <w:p>
      <w:pPr>
        <w:spacing w:line="700" w:lineRule="exact"/>
        <w:ind w:firstLine="640" w:firstLineChars="200"/>
        <w:jc w:val="left"/>
        <w:rPr>
          <w:rFonts w:hint="default" w:ascii="宋体" w:hAnsi="宋体" w:eastAsia="宋体" w:cs="宋体"/>
          <w:kern w:val="0"/>
          <w:sz w:val="32"/>
          <w:szCs w:val="32"/>
          <w:lang w:val="en-US" w:eastAsia="zh-CN"/>
        </w:rPr>
      </w:pPr>
      <w:r>
        <w:rPr>
          <w:rFonts w:hint="eastAsia" w:ascii="宋体" w:hAnsi="宋体" w:cs="宋体"/>
          <w:kern w:val="0"/>
          <w:sz w:val="32"/>
          <w:szCs w:val="32"/>
        </w:rPr>
        <w:t>项目负责人（签章）：</w:t>
      </w:r>
      <w:r>
        <w:rPr>
          <w:rFonts w:hint="eastAsia" w:ascii="宋体" w:hAnsi="宋体" w:cs="宋体"/>
          <w:kern w:val="0"/>
          <w:sz w:val="32"/>
          <w:szCs w:val="32"/>
          <w:lang w:val="en-US" w:eastAsia="zh-CN"/>
        </w:rPr>
        <w:t>吴冶</w:t>
      </w:r>
    </w:p>
    <w:p>
      <w:pPr>
        <w:spacing w:line="700" w:lineRule="exact"/>
        <w:ind w:firstLine="640" w:firstLineChars="200"/>
        <w:jc w:val="left"/>
        <w:rPr>
          <w:rFonts w:ascii="宋体" w:hAnsi="宋体" w:cs="宋体"/>
          <w:kern w:val="0"/>
          <w:sz w:val="32"/>
          <w:szCs w:val="32"/>
        </w:rPr>
      </w:pPr>
      <w:r>
        <w:rPr>
          <w:rFonts w:hint="eastAsia" w:ascii="宋体" w:hAnsi="宋体" w:cs="宋体"/>
          <w:kern w:val="0"/>
          <w:sz w:val="32"/>
          <w:szCs w:val="32"/>
        </w:rPr>
        <w:t>填报时间：202</w:t>
      </w:r>
      <w:r>
        <w:rPr>
          <w:rFonts w:hint="eastAsia" w:ascii="宋体" w:hAnsi="宋体" w:cs="宋体"/>
          <w:kern w:val="0"/>
          <w:sz w:val="32"/>
          <w:szCs w:val="32"/>
          <w:lang w:val="en-US" w:eastAsia="zh-CN"/>
        </w:rPr>
        <w:t>4</w:t>
      </w:r>
      <w:r>
        <w:rPr>
          <w:rFonts w:hint="eastAsia" w:ascii="宋体" w:hAnsi="宋体" w:cs="宋体"/>
          <w:kern w:val="0"/>
          <w:sz w:val="32"/>
          <w:szCs w:val="32"/>
        </w:rPr>
        <w:t>年3月</w:t>
      </w:r>
      <w:r>
        <w:rPr>
          <w:rFonts w:hint="eastAsia" w:ascii="宋体" w:hAnsi="宋体" w:cs="宋体"/>
          <w:kern w:val="0"/>
          <w:sz w:val="32"/>
          <w:szCs w:val="32"/>
          <w:lang w:val="en-US" w:eastAsia="zh-CN"/>
        </w:rPr>
        <w:t>20</w:t>
      </w:r>
      <w:r>
        <w:rPr>
          <w:rFonts w:hint="eastAsia" w:ascii="宋体" w:hAnsi="宋体" w:cs="宋体"/>
          <w:kern w:val="0"/>
          <w:sz w:val="32"/>
          <w:szCs w:val="32"/>
        </w:rPr>
        <w:t>日</w:t>
      </w:r>
    </w:p>
    <w:p>
      <w:pPr>
        <w:spacing w:line="540" w:lineRule="exact"/>
        <w:jc w:val="center"/>
        <w:rPr>
          <w:rFonts w:ascii="宋体" w:hAnsi="宋体" w:cs="宋体"/>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spacing w:line="540" w:lineRule="exact"/>
        <w:rPr>
          <w:rFonts w:ascii="宋体" w:hAnsi="宋体" w:cs="宋体"/>
          <w:kern w:val="0"/>
          <w:sz w:val="28"/>
          <w:szCs w:val="28"/>
        </w:rPr>
      </w:pP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一、基本概况</w:t>
      </w:r>
    </w:p>
    <w:p>
      <w:pPr>
        <w:rPr>
          <w:rFonts w:ascii="宋体" w:hAnsi="宋体" w:cs="宋体"/>
          <w:sz w:val="28"/>
          <w:szCs w:val="28"/>
        </w:rPr>
      </w:pPr>
      <w:r>
        <w:rPr>
          <w:rFonts w:hint="eastAsia" w:ascii="宋体" w:hAnsi="宋体" w:cs="宋体"/>
          <w:sz w:val="28"/>
          <w:szCs w:val="28"/>
        </w:rPr>
        <w:t>（一）项目概况</w:t>
      </w:r>
    </w:p>
    <w:p>
      <w:pPr>
        <w:spacing w:line="560" w:lineRule="exact"/>
        <w:ind w:firstLine="280" w:firstLineChars="100"/>
        <w:rPr>
          <w:rFonts w:ascii="宋体" w:hAnsi="宋体" w:cs="宋体"/>
          <w:sz w:val="28"/>
          <w:szCs w:val="28"/>
        </w:rPr>
      </w:pPr>
      <w:r>
        <w:rPr>
          <w:rFonts w:hint="eastAsia" w:ascii="宋体" w:hAnsi="宋体" w:cs="宋体"/>
          <w:sz w:val="28"/>
          <w:szCs w:val="28"/>
        </w:rPr>
        <w:t>1、项目依据及项目背景</w:t>
      </w:r>
    </w:p>
    <w:p>
      <w:pPr>
        <w:spacing w:line="560" w:lineRule="exact"/>
        <w:ind w:firstLine="560" w:firstLineChars="200"/>
        <w:jc w:val="left"/>
        <w:rPr>
          <w:rFonts w:ascii="宋体" w:hAnsi="宋体" w:cs="宋体"/>
          <w:sz w:val="28"/>
          <w:szCs w:val="28"/>
          <w:lang w:bidi="ar"/>
        </w:rPr>
      </w:pPr>
      <w:r>
        <w:rPr>
          <w:rFonts w:hint="eastAsia" w:ascii="宋体" w:hAnsi="宋体" w:cs="宋体"/>
          <w:sz w:val="28"/>
          <w:szCs w:val="28"/>
          <w:lang w:bidi="ar"/>
        </w:rPr>
        <w:t>党的十九大提出“建立全面规范透明、标准科学、约束有力的预算制度，全面实施绩效管理”。中共中央、国务院《关于全面实施预算绩效管理的意见》（中发〔2018〕34号）指出“全面实施预算绩效管理是推进国家治理体系和治理能力现代化的内在要求，是深化财税改革、建立现代财政制度的重要内容，是优化财政资源配置、提升公共服务质量的关键举措”，提出应“加快建成全方位、全过程、全覆盖的预算绩效管理体系”。这说明全面实施预算绩效管理是我国政府深化改革、激发制度活力的重要抓手，是当前乃至今后一段时间内各级政府的核心工作之一。</w:t>
      </w:r>
    </w:p>
    <w:p>
      <w:pPr>
        <w:ind w:firstLine="560" w:firstLineChars="200"/>
        <w:rPr>
          <w:rFonts w:ascii="宋体" w:hAnsi="宋体" w:cs="宋体"/>
          <w:sz w:val="28"/>
          <w:szCs w:val="28"/>
          <w:lang w:bidi="ar"/>
        </w:rPr>
      </w:pPr>
      <w:r>
        <w:rPr>
          <w:rFonts w:hint="eastAsia" w:ascii="宋体" w:hAnsi="宋体" w:cs="宋体"/>
          <w:sz w:val="28"/>
          <w:szCs w:val="28"/>
        </w:rPr>
        <w:t>贯彻落实《自治区党委自治区人民政府关于全面实施预算绩效管理的实施意见》（新党发〔2018〕30号</w:t>
      </w:r>
      <w:r>
        <w:rPr>
          <w:rFonts w:hint="eastAsia" w:ascii="宋体" w:hAnsi="宋体" w:cs="宋体"/>
          <w:sz w:val="28"/>
          <w:szCs w:val="28"/>
          <w:lang w:eastAsia="zh-CN"/>
        </w:rPr>
        <w:t>）、</w:t>
      </w:r>
      <w:r>
        <w:rPr>
          <w:rFonts w:hint="eastAsia" w:ascii="宋体" w:hAnsi="宋体" w:cs="宋体"/>
          <w:sz w:val="28"/>
          <w:szCs w:val="28"/>
        </w:rPr>
        <w:t>《自治区全面实施预算绩效管理的工作方案》（新财预〔2018〕158号）工作要求，按照自治区党委、自治区人民政府安排部署，为推进建设学院全面实施预算绩效管理，进一步落实工作任务，压实工作责任，明确工作时限，</w:t>
      </w:r>
      <w:r>
        <w:rPr>
          <w:rFonts w:hint="eastAsia" w:ascii="宋体" w:hAnsi="宋体" w:cs="宋体"/>
          <w:sz w:val="28"/>
          <w:szCs w:val="28"/>
          <w:lang w:bidi="ar"/>
        </w:rPr>
        <w:t>本着提高建设学院财政统筹能力、加强部门和项目预算管理、强化财政预算约束、完善学院财力保障机制的目标，需按照全面实施预算绩效管理“全方位、全过程、全覆盖”的具体要求，落实相关主体责任，推进建设学院预算绩效管理体系建设和工作全面开展。</w:t>
      </w:r>
    </w:p>
    <w:p>
      <w:pPr>
        <w:numPr>
          <w:ilvl w:val="0"/>
          <w:numId w:val="1"/>
        </w:numPr>
        <w:rPr>
          <w:rFonts w:ascii="宋体" w:hAnsi="宋体" w:cs="宋体"/>
          <w:sz w:val="28"/>
          <w:szCs w:val="28"/>
        </w:rPr>
      </w:pPr>
      <w:r>
        <w:rPr>
          <w:rFonts w:hint="eastAsia" w:ascii="宋体" w:hAnsi="宋体" w:cs="宋体"/>
          <w:sz w:val="28"/>
          <w:szCs w:val="28"/>
        </w:rPr>
        <w:t>主要内容及实施情况</w:t>
      </w:r>
    </w:p>
    <w:p>
      <w:pPr>
        <w:spacing w:line="560" w:lineRule="exact"/>
        <w:ind w:firstLine="560" w:firstLineChars="200"/>
        <w:rPr>
          <w:rFonts w:ascii="宋体" w:hAnsi="宋体" w:cs="宋体"/>
          <w:sz w:val="28"/>
          <w:szCs w:val="28"/>
        </w:rPr>
      </w:pPr>
      <w:r>
        <w:rPr>
          <w:rFonts w:hint="eastAsia" w:ascii="宋体" w:hAnsi="宋体" w:cs="宋体"/>
          <w:sz w:val="28"/>
          <w:szCs w:val="28"/>
        </w:rPr>
        <w:t>教学活动经费项目的主要内容包括（1）改善办公环境，对教学楼及学生宿舍进行维修改造。（2）购置教学设备，满足教学需要。（3）开展学生思想政治教育及心理健康教育，开展各类课外教学活动</w:t>
      </w:r>
      <w:r>
        <w:rPr>
          <w:rFonts w:hint="eastAsia" w:ascii="宋体" w:hAnsi="宋体" w:cs="宋体"/>
          <w:sz w:val="28"/>
          <w:szCs w:val="28"/>
          <w:lang w:val="en-US" w:eastAsia="zh-CN"/>
        </w:rPr>
        <w:t>等</w:t>
      </w:r>
      <w:r>
        <w:rPr>
          <w:rFonts w:hint="eastAsia" w:ascii="宋体" w:hAnsi="宋体" w:cs="宋体"/>
          <w:sz w:val="28"/>
          <w:szCs w:val="28"/>
        </w:rPr>
        <w:t>。</w:t>
      </w:r>
    </w:p>
    <w:p>
      <w:pPr>
        <w:ind w:firstLine="560" w:firstLineChars="200"/>
        <w:rPr>
          <w:rFonts w:hint="eastAsia" w:ascii="宋体" w:hAnsi="宋体" w:cs="宋体"/>
          <w:sz w:val="28"/>
          <w:szCs w:val="28"/>
          <w:lang w:bidi="ar"/>
        </w:rPr>
      </w:pPr>
      <w:r>
        <w:rPr>
          <w:rFonts w:hint="eastAsia" w:ascii="宋体" w:hAnsi="宋体" w:cs="宋体"/>
          <w:sz w:val="28"/>
          <w:szCs w:val="28"/>
          <w:lang w:val="en-US" w:eastAsia="zh-CN" w:bidi="ar"/>
        </w:rPr>
        <w:t>在</w:t>
      </w:r>
      <w:r>
        <w:rPr>
          <w:rFonts w:hint="eastAsia" w:ascii="宋体" w:hAnsi="宋体" w:cs="宋体"/>
          <w:sz w:val="28"/>
          <w:szCs w:val="28"/>
          <w:lang w:bidi="ar"/>
        </w:rPr>
        <w:t>施工期间安全问题是头等大事，如现场安全用电问题，电焊易点燃易燃品问题及施工单位用燃气做饭，易出现失火现象，从楼层高处向外倾倒建筑垃圾，容易砸伤行人等隐患。学院高度重视并采取有效的措施加以防范，学院成立了专项工作组，由分管领导牵头负责,指定专人负责现场质量安全和进度监督，定期召开质量进度和安全工作碰头会，发现问题及时处理。</w:t>
      </w:r>
      <w:r>
        <w:rPr>
          <w:rFonts w:hint="eastAsia" w:ascii="宋体" w:hAnsi="宋体" w:cs="宋体"/>
          <w:sz w:val="28"/>
          <w:szCs w:val="28"/>
          <w:lang w:bidi="ar"/>
        </w:rPr>
        <w:br w:type="textWrapping"/>
      </w:r>
      <w:r>
        <w:rPr>
          <w:rFonts w:hint="eastAsia" w:ascii="宋体" w:hAnsi="宋体" w:cs="宋体"/>
          <w:sz w:val="28"/>
          <w:szCs w:val="28"/>
          <w:lang w:bidi="ar"/>
        </w:rPr>
        <w:t xml:space="preserve">    同时加强对施工队伍的安全管理，明确施工方安全责任，督促施工方履行应尽的基础安全设施建设，包括建立安全防护隔离网，设立警示标志等。施工企业要加强建筑安全生产管理，防范安全事故，加强进出校园施工车辆管理，施工车辆和人员出入校园，必须提前报备，需在指定通道通行，工程运输车辆在校园内按照规定道路和规定时间通行，施工方在主要路段和交叉路口派出专人进行管理，并及时清扫路面抛洒物,保障校园环境整洁。不得破坏校园道路及两侧花草树木，在校园路口及施工路段安放安全提示牌，施工车辆不得超载超速，遵守交通法规，保障校内车辆和行人安全通行。</w:t>
      </w:r>
    </w:p>
    <w:p>
      <w:pPr>
        <w:ind w:firstLine="560" w:firstLineChars="200"/>
        <w:rPr>
          <w:rFonts w:hint="default" w:eastAsia="宋体"/>
          <w:lang w:val="en-US" w:eastAsia="zh-CN"/>
        </w:rPr>
      </w:pPr>
      <w:r>
        <w:rPr>
          <w:rFonts w:hint="eastAsia" w:ascii="宋体" w:hAnsi="宋体" w:cs="宋体"/>
          <w:sz w:val="28"/>
          <w:szCs w:val="28"/>
          <w:lang w:val="en-US" w:eastAsia="zh-CN" w:bidi="ar"/>
        </w:rPr>
        <w:t>随着学院的日益发展，教学设备略显不足，陈旧设备需要更换，学院相关部门对教学设备进行了充分的清查、规划、做出相应的购置设备计划，进行采购。</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 3、资金投入和使用情况</w:t>
      </w:r>
    </w:p>
    <w:p>
      <w:pPr>
        <w:pStyle w:val="12"/>
        <w:numPr>
          <w:ilvl w:val="0"/>
          <w:numId w:val="2"/>
        </w:numPr>
        <w:tabs>
          <w:tab w:val="left" w:pos="6372"/>
        </w:tabs>
        <w:adjustRightInd w:val="0"/>
        <w:snapToGrid w:val="0"/>
        <w:spacing w:line="579" w:lineRule="exact"/>
        <w:ind w:left="420" w:leftChars="200"/>
        <w:rPr>
          <w:rFonts w:hAnsi="宋体" w:cs="宋体"/>
          <w:sz w:val="28"/>
          <w:szCs w:val="28"/>
        </w:rPr>
      </w:pPr>
      <w:r>
        <w:rPr>
          <w:rFonts w:hint="eastAsia" w:hAnsi="宋体" w:cs="宋体"/>
          <w:sz w:val="28"/>
          <w:szCs w:val="28"/>
        </w:rPr>
        <w:t>资金投入情况</w:t>
      </w:r>
    </w:p>
    <w:p>
      <w:pPr>
        <w:pStyle w:val="12"/>
        <w:tabs>
          <w:tab w:val="left" w:pos="6372"/>
        </w:tabs>
        <w:adjustRightInd w:val="0"/>
        <w:snapToGrid w:val="0"/>
        <w:spacing w:line="579" w:lineRule="exact"/>
        <w:rPr>
          <w:rFonts w:hAnsi="宋体" w:cs="宋体"/>
          <w:sz w:val="28"/>
          <w:szCs w:val="28"/>
        </w:rPr>
      </w:pPr>
      <w:r>
        <w:rPr>
          <w:rFonts w:hint="eastAsia" w:hAnsi="宋体" w:cs="宋体"/>
          <w:sz w:val="28"/>
          <w:szCs w:val="28"/>
        </w:rPr>
        <w:t xml:space="preserve">   202</w:t>
      </w:r>
      <w:r>
        <w:rPr>
          <w:rFonts w:hint="eastAsia" w:hAnsi="宋体" w:cs="宋体"/>
          <w:sz w:val="28"/>
          <w:szCs w:val="28"/>
          <w:lang w:val="en-US" w:eastAsia="zh-CN"/>
        </w:rPr>
        <w:t>3</w:t>
      </w:r>
      <w:r>
        <w:rPr>
          <w:rFonts w:hint="eastAsia" w:hAnsi="宋体" w:cs="宋体"/>
          <w:sz w:val="28"/>
          <w:szCs w:val="28"/>
        </w:rPr>
        <w:t>年建设学院教学活动经费项目，投入资金</w:t>
      </w:r>
      <w:r>
        <w:rPr>
          <w:rFonts w:hint="eastAsia" w:hAnsi="宋体" w:cs="宋体"/>
          <w:sz w:val="28"/>
          <w:szCs w:val="28"/>
          <w:lang w:val="en-US" w:eastAsia="zh-CN"/>
        </w:rPr>
        <w:t>580</w:t>
      </w:r>
      <w:r>
        <w:rPr>
          <w:rFonts w:hint="eastAsia" w:hAnsi="宋体" w:cs="宋体"/>
          <w:sz w:val="28"/>
          <w:szCs w:val="28"/>
        </w:rPr>
        <w:t>0万，资金来源于收取学生学费及开办短期培训等预算外收入。</w:t>
      </w:r>
    </w:p>
    <w:p>
      <w:pPr>
        <w:pStyle w:val="12"/>
        <w:numPr>
          <w:ilvl w:val="0"/>
          <w:numId w:val="2"/>
        </w:numPr>
        <w:tabs>
          <w:tab w:val="left" w:pos="6372"/>
        </w:tabs>
        <w:adjustRightInd w:val="0"/>
        <w:snapToGrid w:val="0"/>
        <w:spacing w:line="579" w:lineRule="exact"/>
        <w:ind w:left="420" w:leftChars="200"/>
        <w:rPr>
          <w:rFonts w:hAnsi="宋体" w:cs="宋体"/>
          <w:sz w:val="28"/>
          <w:szCs w:val="28"/>
        </w:rPr>
      </w:pPr>
      <w:r>
        <w:rPr>
          <w:rFonts w:hint="eastAsia" w:hAnsi="宋体" w:cs="宋体"/>
          <w:sz w:val="28"/>
          <w:szCs w:val="28"/>
        </w:rPr>
        <w:t>资金使用情况</w:t>
      </w:r>
    </w:p>
    <w:p>
      <w:pPr>
        <w:pStyle w:val="12"/>
        <w:tabs>
          <w:tab w:val="left" w:pos="6372"/>
        </w:tabs>
        <w:adjustRightInd w:val="0"/>
        <w:snapToGrid w:val="0"/>
        <w:spacing w:line="579" w:lineRule="exact"/>
        <w:ind w:left="420" w:leftChars="200"/>
        <w:rPr>
          <w:rFonts w:hAnsi="宋体" w:cs="宋体"/>
          <w:sz w:val="28"/>
          <w:szCs w:val="28"/>
        </w:rPr>
      </w:pPr>
      <w:r>
        <w:rPr>
          <w:rFonts w:hint="eastAsia" w:hAnsi="宋体" w:cs="宋体"/>
          <w:sz w:val="28"/>
          <w:szCs w:val="28"/>
        </w:rPr>
        <w:t xml:space="preserve">  202</w:t>
      </w:r>
      <w:r>
        <w:rPr>
          <w:rFonts w:hint="eastAsia" w:hAnsi="宋体" w:cs="宋体"/>
          <w:sz w:val="28"/>
          <w:szCs w:val="28"/>
          <w:lang w:val="en-US" w:eastAsia="zh-CN"/>
        </w:rPr>
        <w:t>3</w:t>
      </w:r>
      <w:r>
        <w:rPr>
          <w:rFonts w:hint="eastAsia" w:hAnsi="宋体" w:cs="宋体"/>
          <w:sz w:val="28"/>
          <w:szCs w:val="28"/>
        </w:rPr>
        <w:t>年下达教学活动经费项目经费</w:t>
      </w:r>
      <w:r>
        <w:rPr>
          <w:rFonts w:hint="eastAsia" w:hAnsi="宋体" w:cs="宋体"/>
          <w:sz w:val="28"/>
          <w:szCs w:val="28"/>
          <w:lang w:val="en-US" w:eastAsia="zh-CN"/>
        </w:rPr>
        <w:t>580</w:t>
      </w:r>
      <w:r>
        <w:rPr>
          <w:rFonts w:hint="eastAsia" w:hAnsi="宋体" w:cs="宋体"/>
          <w:sz w:val="28"/>
          <w:szCs w:val="28"/>
        </w:rPr>
        <w:t>0万元，全部为本单位预算外</w:t>
      </w:r>
      <w:r>
        <w:rPr>
          <w:rFonts w:hint="eastAsia" w:hAnsi="宋体" w:cs="宋体"/>
          <w:sz w:val="28"/>
          <w:szCs w:val="28"/>
          <w:lang w:val="en-US" w:eastAsia="zh-CN"/>
        </w:rPr>
        <w:t>创收</w:t>
      </w:r>
      <w:r>
        <w:rPr>
          <w:rFonts w:hint="eastAsia" w:hAnsi="宋体" w:cs="宋体"/>
          <w:sz w:val="28"/>
          <w:szCs w:val="28"/>
        </w:rPr>
        <w:t>资金，截至202</w:t>
      </w:r>
      <w:r>
        <w:rPr>
          <w:rFonts w:hint="eastAsia" w:hAnsi="宋体" w:cs="宋体"/>
          <w:sz w:val="28"/>
          <w:szCs w:val="28"/>
          <w:lang w:val="en-US" w:eastAsia="zh-CN"/>
        </w:rPr>
        <w:t>3</w:t>
      </w:r>
      <w:r>
        <w:rPr>
          <w:rFonts w:hint="eastAsia" w:hAnsi="宋体" w:cs="宋体"/>
          <w:sz w:val="28"/>
          <w:szCs w:val="28"/>
        </w:rPr>
        <w:t>年12底该项目实际支付</w:t>
      </w:r>
      <w:r>
        <w:rPr>
          <w:rFonts w:hint="eastAsia" w:hAnsi="宋体" w:cs="宋体"/>
          <w:sz w:val="28"/>
          <w:szCs w:val="28"/>
          <w:lang w:val="en-US" w:eastAsia="zh-CN"/>
        </w:rPr>
        <w:t>3325.08</w:t>
      </w:r>
      <w:r>
        <w:rPr>
          <w:rFonts w:hint="eastAsia" w:hAnsi="宋体" w:cs="宋体"/>
          <w:sz w:val="28"/>
          <w:szCs w:val="28"/>
        </w:rPr>
        <w:t>万元，支付完成率</w:t>
      </w:r>
      <w:r>
        <w:rPr>
          <w:rFonts w:hint="eastAsia" w:hAnsi="宋体" w:cs="宋体"/>
          <w:sz w:val="28"/>
          <w:szCs w:val="28"/>
          <w:lang w:val="en-US" w:eastAsia="zh-CN"/>
        </w:rPr>
        <w:t>57.33</w:t>
      </w:r>
      <w:r>
        <w:rPr>
          <w:rFonts w:hint="eastAsia" w:hAnsi="宋体" w:cs="宋体"/>
          <w:sz w:val="28"/>
          <w:szCs w:val="28"/>
        </w:rPr>
        <w:t>%。</w:t>
      </w:r>
    </w:p>
    <w:p>
      <w:pPr>
        <w:pStyle w:val="12"/>
        <w:numPr>
          <w:ilvl w:val="0"/>
          <w:numId w:val="3"/>
        </w:numPr>
        <w:tabs>
          <w:tab w:val="left" w:pos="6372"/>
        </w:tabs>
        <w:adjustRightInd w:val="0"/>
        <w:snapToGrid w:val="0"/>
        <w:spacing w:line="579" w:lineRule="exact"/>
        <w:rPr>
          <w:rFonts w:hAnsi="宋体" w:cs="宋体"/>
          <w:sz w:val="28"/>
          <w:szCs w:val="28"/>
        </w:rPr>
      </w:pPr>
      <w:r>
        <w:rPr>
          <w:rFonts w:hint="eastAsia" w:hAnsi="宋体" w:cs="宋体"/>
          <w:sz w:val="28"/>
          <w:szCs w:val="28"/>
        </w:rPr>
        <w:t>项目绩效目标。包括总体目标和阶段性目标。</w:t>
      </w:r>
    </w:p>
    <w:p>
      <w:pPr>
        <w:pStyle w:val="12"/>
        <w:numPr>
          <w:ilvl w:val="0"/>
          <w:numId w:val="4"/>
        </w:numPr>
        <w:tabs>
          <w:tab w:val="left" w:pos="6372"/>
        </w:tabs>
        <w:adjustRightInd w:val="0"/>
        <w:snapToGrid w:val="0"/>
        <w:spacing w:line="579" w:lineRule="exact"/>
        <w:ind w:left="420" w:leftChars="200" w:firstLine="280" w:firstLineChars="100"/>
        <w:rPr>
          <w:rFonts w:hAnsi="宋体" w:cs="宋体"/>
          <w:sz w:val="28"/>
          <w:szCs w:val="28"/>
        </w:rPr>
      </w:pPr>
      <w:r>
        <w:rPr>
          <w:rFonts w:hint="eastAsia" w:hAnsi="宋体" w:cs="宋体"/>
          <w:sz w:val="28"/>
          <w:szCs w:val="28"/>
        </w:rPr>
        <w:t>总目标</w:t>
      </w:r>
    </w:p>
    <w:p>
      <w:pPr>
        <w:spacing w:line="360" w:lineRule="auto"/>
        <w:ind w:firstLine="560" w:firstLineChars="200"/>
        <w:rPr>
          <w:rStyle w:val="18"/>
          <w:rFonts w:ascii="宋体" w:hAnsi="宋体" w:cs="宋体"/>
          <w:b w:val="0"/>
          <w:bCs w:val="0"/>
          <w:spacing w:val="-4"/>
          <w:sz w:val="28"/>
          <w:szCs w:val="28"/>
        </w:rPr>
      </w:pPr>
      <w:r>
        <w:rPr>
          <w:rFonts w:hint="eastAsia" w:ascii="宋体" w:hAnsi="宋体" w:cs="宋体"/>
          <w:sz w:val="28"/>
          <w:szCs w:val="28"/>
        </w:rPr>
        <w:t>为深入贯彻落实《中共中央国务院关于全面实施预算绩效管理的意见》，《自治区党委自治区人民政府关于全面实施预算绩效管理的实施意见》，自治区财政厅《自治区全面实施预算绩效管理的工作方案》的通知，为加快建成全方位、全过程、全覆盖的预算绩效管理体系，提高财政资源配置效率和使用效益，增强财政预算的执行力，学院设立了教学活动经费项目绩效总体目标：</w:t>
      </w:r>
      <w:r>
        <w:rPr>
          <w:rFonts w:hint="eastAsia" w:ascii="宋体" w:hAnsi="宋体" w:cs="宋体"/>
          <w:sz w:val="28"/>
          <w:szCs w:val="28"/>
        </w:rPr>
        <w:fldChar w:fldCharType="begin">
          <w:fldData xml:space="preserve">MgBGADEAMAAxADMAMwAzAEIARAAwAEUANAA4AEYAMgBBAEYARgBEADUAMABEAEQAOQBDAEYAQwAy
ADQANAA2AA==
</w:fldData>
        </w:fldChar>
      </w:r>
      <w:r>
        <w:rPr>
          <w:rFonts w:hint="eastAsia" w:ascii="宋体" w:hAnsi="宋体" w:cs="宋体"/>
          <w:sz w:val="28"/>
          <w:szCs w:val="28"/>
        </w:rPr>
        <w:instrText xml:space="preserve">Addin 项目绩效目标</w:instrText>
      </w:r>
      <w:r>
        <w:rPr>
          <w:rFonts w:hint="eastAsia" w:ascii="宋体" w:hAnsi="宋体" w:cs="宋体"/>
          <w:sz w:val="28"/>
          <w:szCs w:val="28"/>
        </w:rPr>
        <w:fldChar w:fldCharType="separate"/>
      </w:r>
      <w:r>
        <w:rPr>
          <w:rFonts w:hint="eastAsia" w:ascii="宋体" w:hAnsi="宋体" w:cs="宋体"/>
          <w:sz w:val="28"/>
          <w:szCs w:val="28"/>
        </w:rPr>
        <w:t>深化教学改革，促进产教融合，紧密结合高速发展的建筑技术，坚持落实“校企合作、工学结合、顶岗实习”人才培养模式，完善教学管理工作。</w:t>
      </w:r>
      <w:r>
        <w:rPr>
          <w:rFonts w:hint="eastAsia" w:ascii="宋体" w:hAnsi="宋体" w:cs="宋体"/>
          <w:sz w:val="28"/>
          <w:szCs w:val="28"/>
        </w:rPr>
        <w:fldChar w:fldCharType="end"/>
      </w:r>
    </w:p>
    <w:p>
      <w:pPr>
        <w:pStyle w:val="12"/>
        <w:numPr>
          <w:ilvl w:val="0"/>
          <w:numId w:val="4"/>
        </w:numPr>
        <w:tabs>
          <w:tab w:val="left" w:pos="6372"/>
        </w:tabs>
        <w:adjustRightInd w:val="0"/>
        <w:snapToGrid w:val="0"/>
        <w:spacing w:line="579" w:lineRule="exact"/>
        <w:ind w:left="420" w:leftChars="200" w:firstLine="280" w:firstLineChars="100"/>
        <w:rPr>
          <w:rFonts w:hAnsi="宋体" w:cs="宋体"/>
          <w:sz w:val="28"/>
          <w:szCs w:val="28"/>
        </w:rPr>
      </w:pPr>
      <w:r>
        <w:rPr>
          <w:rFonts w:hint="eastAsia" w:hAnsi="宋体" w:cs="宋体"/>
          <w:sz w:val="28"/>
          <w:szCs w:val="28"/>
        </w:rPr>
        <w:t>阶段性目标</w:t>
      </w:r>
    </w:p>
    <w:p>
      <w:pPr>
        <w:spacing w:line="360" w:lineRule="auto"/>
        <w:ind w:firstLine="560" w:firstLineChars="200"/>
        <w:rPr>
          <w:rFonts w:ascii="宋体" w:hAnsi="宋体" w:cs="宋体"/>
          <w:sz w:val="28"/>
          <w:szCs w:val="28"/>
        </w:rPr>
      </w:pPr>
      <w:r>
        <w:rPr>
          <w:rFonts w:hint="eastAsia" w:ascii="宋体" w:hAnsi="宋体" w:cs="宋体"/>
          <w:sz w:val="28"/>
          <w:szCs w:val="28"/>
        </w:rPr>
        <w:t>从根本上改善学院办学环境和办学条件问题，进一步优化教育结构，维护教育公平，促进教育持续健康发展。激励学生更加努力的学习，报答党和政府的关怀。</w:t>
      </w: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二、绩效评价工作开展情况</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（一）绩效评价目的、对象和范围</w:t>
      </w:r>
    </w:p>
    <w:p>
      <w:pPr>
        <w:spacing w:line="360" w:lineRule="auto"/>
        <w:ind w:firstLine="560" w:firstLineChars="200"/>
        <w:rPr>
          <w:rFonts w:ascii="宋体" w:hAnsi="宋体" w:cs="宋体"/>
          <w:sz w:val="28"/>
          <w:szCs w:val="28"/>
        </w:rPr>
      </w:pPr>
      <w:r>
        <w:rPr>
          <w:rFonts w:hint="eastAsia" w:ascii="宋体" w:hAnsi="宋体" w:cs="宋体"/>
          <w:sz w:val="28"/>
          <w:szCs w:val="28"/>
        </w:rPr>
        <w:t>目的：为全面实施预算绩效管理，建立科学、合理的项目支出绩效评价管理体系，提高财政资源配置效率和使用效益。改善学院办学环境和办学条件，使学生能够在舒适环境中学习，是构建社会主义和谐社会的重要举措；是实施科教兴国和人才强国战略，优化教育结构，促进教育公平和社会公正的有效手段；是切实履行公共财政职能，推进基本公共服务均等化的必然要求。</w:t>
      </w:r>
    </w:p>
    <w:p>
      <w:pPr>
        <w:spacing w:line="360" w:lineRule="auto"/>
        <w:ind w:firstLine="560" w:firstLineChars="200"/>
        <w:rPr>
          <w:rFonts w:ascii="宋体" w:hAnsi="宋体" w:cs="宋体"/>
          <w:sz w:val="28"/>
          <w:szCs w:val="28"/>
        </w:rPr>
      </w:pPr>
      <w:r>
        <w:rPr>
          <w:rFonts w:hint="eastAsia" w:ascii="宋体" w:hAnsi="宋体" w:cs="宋体"/>
          <w:sz w:val="28"/>
          <w:szCs w:val="28"/>
        </w:rPr>
        <w:t>对象：为保障项目正常进行，学院成立了相应的工作机构，制定了《新疆建设职业技术学院项目专项资金管理办法》，办法中规定了资金的使用和管理，项目承担单位应当按照专款专用的原则，严格执行项目任务合同书中的项目实施内容、资金规模、具体用途、列报科目等要求，对项目资金实行单独记账，独立核算，专项管理。严禁超预算或者无预算安排支出，严禁虚列支出、转移或者套取预算资金。项目资金不得用于支付各种罚款、捐款、赞助、投资等支出，不得用于偿还债务。</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范围：主要包括项目总体绩效目标、各项绩效指标完成情况以及预算执行情况。对未完成绩效目标或偏离绩效目标较大的项目要分析并说明原因，研究提出改进措施。财政和部门评价的内容主要包括：</w:t>
      </w:r>
      <w:r>
        <w:rPr>
          <w:rFonts w:hint="eastAsia" w:ascii="宋体" w:hAnsi="宋体" w:cs="宋体"/>
          <w:sz w:val="28"/>
          <w:szCs w:val="28"/>
          <w:lang w:val="en-US" w:eastAsia="zh-CN"/>
        </w:rPr>
        <w:t>绩效目标的设定情况，资金投入和使用情况、为实现绩效目标指定的制度、采取的措施等、绩效目标的实现程度和效果。</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（二）绩效评价原则、评价指标体系（附表说明）、评价方法、评价标准等</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1、绩效评价原则：绩效评价应当遵循以下基本原则：</w:t>
      </w:r>
      <w:r>
        <w:rPr>
          <w:rFonts w:hint="eastAsia" w:ascii="宋体" w:hAnsi="宋体" w:cs="宋体"/>
          <w:sz w:val="28"/>
          <w:szCs w:val="28"/>
          <w:lang w:val="en-US" w:eastAsia="zh-CN"/>
        </w:rPr>
        <w:t>相关性原则、重要性原则、可比性原则、系统性原则、经济性原则。</w:t>
      </w:r>
    </w:p>
    <w:p>
      <w:pPr>
        <w:spacing w:line="360" w:lineRule="auto"/>
        <w:ind w:firstLine="560" w:firstLineChars="200"/>
        <w:rPr>
          <w:rFonts w:ascii="宋体" w:hAnsi="宋体" w:cs="宋体"/>
          <w:sz w:val="28"/>
          <w:szCs w:val="28"/>
        </w:rPr>
      </w:pPr>
      <w:r>
        <w:rPr>
          <w:rFonts w:hint="eastAsia" w:ascii="宋体" w:hAnsi="宋体" w:cs="宋体"/>
          <w:sz w:val="28"/>
          <w:szCs w:val="28"/>
        </w:rPr>
        <w:t>2、评价指标体系：单位自评指标是指预算批复时确定的绩效指标，包括项目的产出数量、质量、时效、成本，以及经济效益、社会效益、生态效益、可持续影响、服务对象满意度等。</w:t>
      </w:r>
    </w:p>
    <w:p>
      <w:pPr>
        <w:spacing w:line="360" w:lineRule="auto"/>
        <w:ind w:firstLine="560" w:firstLineChars="200"/>
        <w:rPr>
          <w:rFonts w:ascii="宋体" w:hAnsi="宋体" w:cs="宋体"/>
          <w:sz w:val="28"/>
          <w:szCs w:val="28"/>
        </w:rPr>
      </w:pPr>
      <w:r>
        <w:rPr>
          <w:rFonts w:hint="eastAsia" w:ascii="宋体" w:hAnsi="宋体" w:cs="宋体"/>
          <w:sz w:val="28"/>
          <w:szCs w:val="28"/>
        </w:rPr>
        <w:t>单位自评指标的权重由各单位根据项目实际情况确定。原则上预算执行率和一级指标权重统一设置为: 预算执行率10%、产出指标50%、效益指标30%、服务对象满意度指标10%。如有特殊情况，一级指标权重可做适当调整。二、三级指标应当根据指标重要程度、项目实施阶段等因素综合确定，准确反映项目的产出和效益。</w:t>
      </w:r>
    </w:p>
    <w:p>
      <w:pPr>
        <w:spacing w:line="360" w:lineRule="auto"/>
        <w:ind w:firstLine="560" w:firstLineChars="200"/>
        <w:rPr>
          <w:rFonts w:ascii="宋体" w:hAnsi="宋体" w:cs="宋体"/>
          <w:sz w:val="28"/>
          <w:szCs w:val="28"/>
        </w:rPr>
      </w:pPr>
      <w:r>
        <w:rPr>
          <w:rFonts w:hint="eastAsia" w:ascii="宋体" w:hAnsi="宋体" w:cs="宋体"/>
          <w:sz w:val="28"/>
          <w:szCs w:val="28"/>
        </w:rPr>
        <w:t>学院绩效评价指标体系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1个二级指标。项目绩效评价指标体系详见下表：</w:t>
      </w:r>
    </w:p>
    <w:tbl>
      <w:tblPr>
        <w:tblStyle w:val="20"/>
        <w:tblW w:w="83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953"/>
        <w:gridCol w:w="1318"/>
        <w:gridCol w:w="4424"/>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851" w:type="dxa"/>
            <w:tcBorders>
              <w:tl2br w:val="nil"/>
              <w:tr2bl w:val="nil"/>
            </w:tcBorders>
            <w:shd w:val="clear" w:color="auto" w:fill="FFFFFF"/>
            <w:tcMar>
              <w:top w:w="10" w:type="dxa"/>
              <w:left w:w="10" w:type="dxa"/>
              <w:right w:w="10" w:type="dxa"/>
            </w:tcMar>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cs="宋体"/>
                <w:sz w:val="20"/>
                <w:szCs w:val="20"/>
                <w:lang w:val="en-US" w:eastAsia="zh-CN"/>
              </w:rPr>
              <w:t>一级指标</w:t>
            </w:r>
          </w:p>
        </w:tc>
        <w:tc>
          <w:tcPr>
            <w:tcW w:w="953" w:type="dxa"/>
            <w:tcBorders>
              <w:tl2br w:val="nil"/>
              <w:tr2bl w:val="nil"/>
            </w:tcBorders>
            <w:shd w:val="clear" w:color="auto" w:fill="FFFFFF"/>
            <w:tcMar>
              <w:top w:w="10" w:type="dxa"/>
              <w:left w:w="10" w:type="dxa"/>
              <w:right w:w="10" w:type="dxa"/>
            </w:tcMar>
            <w:vAlign w:val="center"/>
          </w:tcPr>
          <w:p>
            <w:pPr>
              <w:spacing w:line="360" w:lineRule="auto"/>
              <w:jc w:val="center"/>
              <w:rPr>
                <w:rFonts w:ascii="宋体" w:hAnsi="宋体" w:cs="宋体"/>
                <w:szCs w:val="21"/>
              </w:rPr>
            </w:pPr>
            <w:r>
              <w:rPr>
                <w:rFonts w:hint="eastAsia" w:ascii="宋体" w:hAnsi="宋体" w:cs="宋体"/>
                <w:szCs w:val="21"/>
              </w:rPr>
              <w:t>二级指标</w:t>
            </w:r>
          </w:p>
        </w:tc>
        <w:tc>
          <w:tcPr>
            <w:tcW w:w="1318" w:type="dxa"/>
            <w:tcBorders>
              <w:tl2br w:val="nil"/>
              <w:tr2bl w:val="nil"/>
            </w:tcBorders>
            <w:shd w:val="clear" w:color="auto" w:fill="FFFFFF"/>
            <w:tcMar>
              <w:top w:w="10" w:type="dxa"/>
              <w:left w:w="10" w:type="dxa"/>
              <w:right w:w="10" w:type="dxa"/>
            </w:tcMar>
            <w:vAlign w:val="center"/>
          </w:tcPr>
          <w:p>
            <w:pPr>
              <w:spacing w:line="360" w:lineRule="auto"/>
              <w:jc w:val="center"/>
              <w:rPr>
                <w:rFonts w:ascii="宋体" w:hAnsi="宋体" w:cs="宋体"/>
                <w:szCs w:val="21"/>
              </w:rPr>
            </w:pPr>
            <w:r>
              <w:rPr>
                <w:rFonts w:hint="eastAsia" w:ascii="宋体" w:hAnsi="宋体" w:cs="宋体"/>
                <w:szCs w:val="21"/>
              </w:rPr>
              <w:t>三级指标</w:t>
            </w:r>
          </w:p>
        </w:tc>
        <w:tc>
          <w:tcPr>
            <w:tcW w:w="4424" w:type="dxa"/>
            <w:tcBorders>
              <w:tl2br w:val="nil"/>
              <w:tr2bl w:val="nil"/>
            </w:tcBorders>
            <w:shd w:val="clear" w:color="auto" w:fill="FFFFFF"/>
            <w:tcMar>
              <w:top w:w="10" w:type="dxa"/>
              <w:left w:w="10" w:type="dxa"/>
              <w:right w:w="10" w:type="dxa"/>
            </w:tcMar>
            <w:vAlign w:val="center"/>
          </w:tcPr>
          <w:p>
            <w:pPr>
              <w:spacing w:line="360" w:lineRule="auto"/>
              <w:ind w:firstLine="1470" w:firstLineChars="700"/>
              <w:rPr>
                <w:rFonts w:ascii="宋体" w:hAnsi="宋体" w:cs="宋体"/>
                <w:szCs w:val="21"/>
              </w:rPr>
            </w:pPr>
            <w:r>
              <w:rPr>
                <w:rFonts w:hint="eastAsia" w:ascii="宋体" w:hAnsi="宋体" w:cs="宋体"/>
                <w:szCs w:val="21"/>
              </w:rPr>
              <w:t>指标解释</w:t>
            </w:r>
          </w:p>
        </w:tc>
        <w:tc>
          <w:tcPr>
            <w:tcW w:w="780" w:type="dxa"/>
            <w:tcBorders>
              <w:tl2br w:val="nil"/>
              <w:tr2bl w:val="nil"/>
            </w:tcBorders>
            <w:shd w:val="clear" w:color="auto" w:fill="FFFFFF"/>
            <w:tcMar>
              <w:top w:w="10" w:type="dxa"/>
              <w:left w:w="10" w:type="dxa"/>
              <w:right w:w="10" w:type="dxa"/>
            </w:tcMar>
            <w:vAlign w:val="center"/>
          </w:tcPr>
          <w:p>
            <w:pPr>
              <w:spacing w:line="360" w:lineRule="auto"/>
              <w:ind w:firstLine="210" w:firstLineChars="100"/>
              <w:rPr>
                <w:rFonts w:ascii="宋体" w:hAnsi="宋体" w:cs="宋体"/>
                <w:szCs w:val="21"/>
              </w:rPr>
            </w:pPr>
            <w:r>
              <w:rPr>
                <w:rFonts w:hint="eastAsia" w:ascii="宋体" w:hAnsi="宋体" w:cs="宋体"/>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restart"/>
            <w:tcBorders>
              <w:tl2br w:val="nil"/>
              <w:tr2bl w:val="nil"/>
            </w:tcBorders>
            <w:shd w:val="clear" w:color="auto" w:fill="FFFFFF"/>
            <w:tcMar>
              <w:top w:w="10" w:type="dxa"/>
              <w:left w:w="10" w:type="dxa"/>
              <w:right w:w="10" w:type="dxa"/>
            </w:tcMar>
            <w:vAlign w:val="center"/>
          </w:tcPr>
          <w:p>
            <w:pPr>
              <w:spacing w:line="360" w:lineRule="auto"/>
              <w:rPr>
                <w:rFonts w:ascii="宋体" w:hAnsi="宋体" w:cs="宋体"/>
                <w:szCs w:val="21"/>
              </w:rPr>
            </w:pPr>
            <w:r>
              <w:rPr>
                <w:rFonts w:hint="eastAsia" w:ascii="宋体" w:hAnsi="宋体" w:cs="宋体"/>
                <w:szCs w:val="21"/>
              </w:rPr>
              <w:t>决策（20）</w:t>
            </w: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rPr>
                <w:rFonts w:ascii="宋体" w:hAnsi="宋体" w:cs="宋体"/>
                <w:szCs w:val="21"/>
              </w:rPr>
            </w:pPr>
            <w:r>
              <w:rPr>
                <w:rFonts w:hint="eastAsia" w:ascii="宋体" w:hAnsi="宋体" w:cs="宋体"/>
                <w:szCs w:val="21"/>
              </w:rPr>
              <w:t>项目立项（10）　</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rPr>
                <w:rFonts w:ascii="宋体" w:hAnsi="宋体" w:cs="宋体"/>
                <w:szCs w:val="21"/>
              </w:rPr>
            </w:pPr>
            <w:r>
              <w:rPr>
                <w:rFonts w:hint="eastAsia" w:ascii="宋体" w:hAnsi="宋体" w:cs="宋体"/>
                <w:szCs w:val="21"/>
              </w:rPr>
              <w:t>立项依据充分性（5）</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项目立项是否符合法律法规、相关政策、发展规划以及部门职责，用以反映和考核项目立项依据情况。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rPr>
                <w:rFonts w:ascii="宋体" w:hAnsi="宋体" w:cs="宋体"/>
                <w:szCs w:val="21"/>
              </w:rPr>
            </w:pPr>
            <w:r>
              <w:rPr>
                <w:rFonts w:hint="eastAsia" w:ascii="宋体" w:hAnsi="宋体" w:cs="宋体"/>
                <w:szCs w:val="21"/>
              </w:rPr>
              <w:t>立项程序规范性（5）</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项目申请、设立过程是否符合相关要求，用以反映和考核项目立项的规范情况。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绩效目标</w:t>
            </w:r>
            <w:r>
              <w:rPr>
                <w:rFonts w:hint="eastAsia" w:ascii="宋体" w:hAnsi="宋体" w:cs="宋体"/>
                <w:szCs w:val="21"/>
              </w:rPr>
              <w:br w:type="textWrapping"/>
            </w:r>
            <w:r>
              <w:rPr>
                <w:rFonts w:hint="eastAsia" w:ascii="宋体" w:hAnsi="宋体" w:cs="宋体"/>
                <w:szCs w:val="21"/>
              </w:rPr>
              <w:t>（5）　　</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绩效目标合理性</w:t>
            </w:r>
            <w:r>
              <w:rPr>
                <w:rFonts w:hint="eastAsia" w:ascii="宋体" w:hAnsi="宋体" w:cs="宋体"/>
                <w:szCs w:val="21"/>
              </w:rPr>
              <w:br w:type="textWrapping"/>
            </w:r>
            <w:r>
              <w:rPr>
                <w:rFonts w:hint="eastAsia" w:ascii="宋体" w:hAnsi="宋体" w:cs="宋体"/>
                <w:szCs w:val="21"/>
              </w:rPr>
              <w:t>（2.5）</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项目所设定的绩效目标是否依据充分，是否符合客观实际，用以反映和考核项目绩效目标与项目实施的相符情况。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绩效指标明确性</w:t>
            </w:r>
            <w:r>
              <w:rPr>
                <w:rFonts w:hint="eastAsia" w:ascii="宋体" w:hAnsi="宋体" w:cs="宋体"/>
                <w:szCs w:val="21"/>
              </w:rPr>
              <w:br w:type="textWrapping"/>
            </w:r>
            <w:r>
              <w:rPr>
                <w:rFonts w:hint="eastAsia" w:ascii="宋体" w:hAnsi="宋体" w:cs="宋体"/>
                <w:szCs w:val="21"/>
              </w:rPr>
              <w:t>（2.5）</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依据绩效目标设定的绩效指标是否清晰、细化、可衡量等，用以反映和考核项目绩效目标的明细化情况。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资金投入</w:t>
            </w:r>
            <w:r>
              <w:rPr>
                <w:rFonts w:hint="eastAsia" w:ascii="宋体" w:hAnsi="宋体" w:cs="宋体"/>
                <w:szCs w:val="21"/>
              </w:rPr>
              <w:br w:type="textWrapping"/>
            </w:r>
            <w:r>
              <w:rPr>
                <w:rFonts w:hint="eastAsia" w:ascii="宋体" w:hAnsi="宋体" w:cs="宋体"/>
                <w:szCs w:val="21"/>
              </w:rPr>
              <w:t>（5）　　</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预算编制科学性</w:t>
            </w:r>
            <w:r>
              <w:rPr>
                <w:rFonts w:hint="eastAsia" w:ascii="宋体" w:hAnsi="宋体" w:cs="宋体"/>
                <w:szCs w:val="21"/>
              </w:rPr>
              <w:br w:type="textWrapping"/>
            </w:r>
            <w:r>
              <w:rPr>
                <w:rFonts w:hint="eastAsia" w:ascii="宋体" w:hAnsi="宋体" w:cs="宋体"/>
                <w:szCs w:val="21"/>
              </w:rPr>
              <w:t>（（2.5）</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项目预算编制是否经过科学论证、有明确标准，资金额度与年度目标是否相适应，用以反映和考核项目预算编制的科学性、合理性情况。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资金分配合理性</w:t>
            </w:r>
            <w:r>
              <w:rPr>
                <w:rFonts w:hint="eastAsia" w:ascii="宋体" w:hAnsi="宋体" w:cs="宋体"/>
                <w:szCs w:val="21"/>
              </w:rPr>
              <w:br w:type="textWrapping"/>
            </w:r>
            <w:r>
              <w:rPr>
                <w:rFonts w:hint="eastAsia" w:ascii="宋体" w:hAnsi="宋体" w:cs="宋体"/>
                <w:szCs w:val="21"/>
              </w:rPr>
              <w:t>（2.5）</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项目预算资金分配是否有测算依据，与补助单位或地方实际是否相适应，用以反映和考核项目预算资金分配的科学性、合理性情况。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过程（20）</w:t>
            </w: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资金管理（8）</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资金到位率（4）</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实际到位资金与预算资金的比率，用以反映和考核资金落实情况对项目实施的总体保障程度。</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预算执行率（4）</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项目预算资金是否按照计划执行，用以反映或考核项目预算执行情况。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资金管理（4）</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资金使用合规性（4）</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项目资金使用是否符合相关的财务管理制度规定，用以反映和考核项目资金的规范运行情况。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组织实施</w:t>
            </w:r>
            <w:r>
              <w:rPr>
                <w:rFonts w:hint="eastAsia" w:ascii="宋体" w:hAnsi="宋体" w:cs="宋体"/>
                <w:szCs w:val="21"/>
              </w:rPr>
              <w:br w:type="textWrapping"/>
            </w:r>
            <w:r>
              <w:rPr>
                <w:rFonts w:hint="eastAsia" w:ascii="宋体" w:hAnsi="宋体" w:cs="宋体"/>
                <w:szCs w:val="21"/>
              </w:rPr>
              <w:t>（8）</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管理制度健全性（4）</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项目实施单位的财务和业务管理制度是否健全，用以反映和考核财务和业务管理制度对项目顺利实施的保障情况。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制度执行有效性（4）</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项目实施是否符合相关管理规定，用以反映和考核相关管理制度的有效执行情况。</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产出（40）</w:t>
            </w: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产出数量（10）</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实际完成率</w:t>
            </w:r>
            <w:r>
              <w:rPr>
                <w:rFonts w:hint="eastAsia" w:ascii="宋体" w:hAnsi="宋体" w:cs="宋体"/>
                <w:szCs w:val="21"/>
              </w:rPr>
              <w:br w:type="textWrapping"/>
            </w:r>
            <w:r>
              <w:rPr>
                <w:rFonts w:hint="eastAsia" w:ascii="宋体" w:hAnsi="宋体" w:cs="宋体"/>
                <w:szCs w:val="21"/>
              </w:rPr>
              <w:t>（10）</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项目实施的实际产出数与计划产出数的比率，用以反映和考核项目产出数量目标的实现程度。</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产出质量（10）</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质量达标率</w:t>
            </w:r>
            <w:r>
              <w:rPr>
                <w:rFonts w:hint="eastAsia" w:ascii="宋体" w:hAnsi="宋体" w:cs="宋体"/>
                <w:szCs w:val="21"/>
              </w:rPr>
              <w:br w:type="textWrapping"/>
            </w:r>
            <w:r>
              <w:rPr>
                <w:rFonts w:hint="eastAsia" w:ascii="宋体" w:hAnsi="宋体" w:cs="宋体"/>
                <w:szCs w:val="21"/>
              </w:rPr>
              <w:t>（10）</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项目完成的质量达标产出数与实际产出数的比率，用以反映和考核项目产出质量目标的实现程度。</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0"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产出时效（10）</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完成及时性</w:t>
            </w:r>
            <w:r>
              <w:rPr>
                <w:rFonts w:hint="eastAsia" w:ascii="宋体" w:hAnsi="宋体" w:cs="宋体"/>
                <w:szCs w:val="21"/>
              </w:rPr>
              <w:br w:type="textWrapping"/>
            </w:r>
            <w:r>
              <w:rPr>
                <w:rFonts w:hint="eastAsia" w:ascii="宋体" w:hAnsi="宋体" w:cs="宋体"/>
                <w:szCs w:val="21"/>
              </w:rPr>
              <w:t>（10）</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项目实际完成时间与计划完成时间的比较，用以反映和考核项目产出时效目标的实现程度。</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产出成本（10）</w:t>
            </w:r>
          </w:p>
        </w:tc>
        <w:tc>
          <w:tcPr>
            <w:tcW w:w="1318"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成本节约率</w:t>
            </w:r>
            <w:r>
              <w:rPr>
                <w:rFonts w:hint="eastAsia" w:ascii="宋体" w:hAnsi="宋体" w:cs="宋体"/>
                <w:szCs w:val="21"/>
              </w:rPr>
              <w:br w:type="textWrapping"/>
            </w:r>
            <w:r>
              <w:rPr>
                <w:rFonts w:hint="eastAsia" w:ascii="宋体" w:hAnsi="宋体" w:cs="宋体"/>
                <w:szCs w:val="21"/>
              </w:rPr>
              <w:t>（10）</w:t>
            </w:r>
          </w:p>
        </w:tc>
        <w:tc>
          <w:tcPr>
            <w:tcW w:w="4424"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完成项目计划工作目标的实际节约成本与计划成本的比率，用以反映和考核项目的成本节约程度。</w:t>
            </w:r>
          </w:p>
        </w:tc>
        <w:tc>
          <w:tcPr>
            <w:tcW w:w="780"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4424"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780"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5" w:hRule="atLeast"/>
          <w:jc w:val="center"/>
        </w:trPr>
        <w:tc>
          <w:tcPr>
            <w:tcW w:w="851"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效益（20）</w:t>
            </w:r>
          </w:p>
        </w:tc>
        <w:tc>
          <w:tcPr>
            <w:tcW w:w="953" w:type="dxa"/>
            <w:vMerge w:val="restart"/>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项目效益　</w:t>
            </w:r>
            <w:r>
              <w:rPr>
                <w:rFonts w:hint="eastAsia" w:ascii="宋体" w:hAnsi="宋体" w:cs="宋体"/>
                <w:szCs w:val="21"/>
              </w:rPr>
              <w:br w:type="textWrapping"/>
            </w:r>
            <w:r>
              <w:rPr>
                <w:rFonts w:hint="eastAsia" w:ascii="宋体" w:hAnsi="宋体" w:cs="宋体"/>
                <w:szCs w:val="21"/>
              </w:rPr>
              <w:t>（20）</w:t>
            </w:r>
          </w:p>
        </w:tc>
        <w:tc>
          <w:tcPr>
            <w:tcW w:w="1318" w:type="dxa"/>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实施效益</w:t>
            </w:r>
            <w:r>
              <w:rPr>
                <w:rFonts w:hint="eastAsia" w:ascii="宋体" w:hAnsi="宋体" w:cs="宋体"/>
                <w:szCs w:val="21"/>
              </w:rPr>
              <w:br w:type="textWrapping"/>
            </w:r>
            <w:r>
              <w:rPr>
                <w:rFonts w:hint="eastAsia" w:ascii="宋体" w:hAnsi="宋体" w:cs="宋体"/>
                <w:szCs w:val="21"/>
              </w:rPr>
              <w:t>（15）</w:t>
            </w:r>
          </w:p>
        </w:tc>
        <w:tc>
          <w:tcPr>
            <w:tcW w:w="4424" w:type="dxa"/>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项目实施所产生的效益。</w:t>
            </w:r>
          </w:p>
        </w:tc>
        <w:tc>
          <w:tcPr>
            <w:tcW w:w="780" w:type="dxa"/>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jc w:val="center"/>
        </w:trPr>
        <w:tc>
          <w:tcPr>
            <w:tcW w:w="851"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953" w:type="dxa"/>
            <w:vMerge w:val="continue"/>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p>
        </w:tc>
        <w:tc>
          <w:tcPr>
            <w:tcW w:w="1318" w:type="dxa"/>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满意度</w:t>
            </w:r>
            <w:r>
              <w:rPr>
                <w:rFonts w:hint="eastAsia" w:ascii="宋体" w:hAnsi="宋体" w:cs="宋体"/>
                <w:szCs w:val="21"/>
              </w:rPr>
              <w:br w:type="textWrapping"/>
            </w:r>
            <w:r>
              <w:rPr>
                <w:rFonts w:hint="eastAsia" w:ascii="宋体" w:hAnsi="宋体" w:cs="宋体"/>
                <w:szCs w:val="21"/>
              </w:rPr>
              <w:t>（5）</w:t>
            </w:r>
          </w:p>
        </w:tc>
        <w:tc>
          <w:tcPr>
            <w:tcW w:w="4424" w:type="dxa"/>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社会公众或服务对象对项目实施效果的满意程度。</w:t>
            </w:r>
          </w:p>
        </w:tc>
        <w:tc>
          <w:tcPr>
            <w:tcW w:w="780" w:type="dxa"/>
            <w:tcBorders>
              <w:tl2br w:val="nil"/>
              <w:tr2bl w:val="nil"/>
            </w:tcBorders>
            <w:shd w:val="clear" w:color="auto" w:fill="FFFFFF"/>
            <w:tcMar>
              <w:top w:w="10" w:type="dxa"/>
              <w:left w:w="10" w:type="dxa"/>
              <w:right w:w="10" w:type="dxa"/>
            </w:tcMar>
            <w:vAlign w:val="center"/>
          </w:tcPr>
          <w:p>
            <w:pPr>
              <w:spacing w:line="360" w:lineRule="auto"/>
              <w:ind w:firstLine="420" w:firstLineChars="200"/>
              <w:rPr>
                <w:rFonts w:ascii="宋体" w:hAnsi="宋体" w:cs="宋体"/>
                <w:szCs w:val="21"/>
              </w:rPr>
            </w:pPr>
            <w:r>
              <w:rPr>
                <w:rFonts w:hint="eastAsia" w:ascii="宋体" w:hAnsi="宋体" w:cs="宋体"/>
                <w:szCs w:val="21"/>
              </w:rPr>
              <w:t>5</w:t>
            </w:r>
          </w:p>
        </w:tc>
      </w:tr>
    </w:tbl>
    <w:p>
      <w:pPr>
        <w:spacing w:line="360" w:lineRule="auto"/>
        <w:ind w:firstLine="560" w:firstLineChars="200"/>
        <w:rPr>
          <w:rFonts w:ascii="宋体" w:hAnsi="宋体" w:cs="宋体"/>
          <w:sz w:val="28"/>
          <w:szCs w:val="28"/>
        </w:rPr>
      </w:pPr>
    </w:p>
    <w:p>
      <w:pPr>
        <w:pStyle w:val="2"/>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3、评价方法：单位自评采用定量与定性评价相结合的比较法，总分由各项指标得分汇总形成。</w:t>
      </w:r>
    </w:p>
    <w:p>
      <w:pPr>
        <w:spacing w:line="360" w:lineRule="auto"/>
        <w:ind w:firstLine="560" w:firstLineChars="200"/>
        <w:rPr>
          <w:rFonts w:ascii="宋体" w:hAnsi="宋体" w:cs="宋体"/>
          <w:sz w:val="28"/>
          <w:szCs w:val="28"/>
        </w:rPr>
      </w:pPr>
      <w:r>
        <w:rPr>
          <w:rFonts w:hint="eastAsia" w:ascii="宋体" w:hAnsi="宋体" w:cs="宋体"/>
          <w:sz w:val="28"/>
          <w:szCs w:val="28"/>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spacing w:line="360" w:lineRule="auto"/>
        <w:ind w:firstLine="560" w:firstLineChars="200"/>
        <w:rPr>
          <w:rFonts w:ascii="宋体" w:hAnsi="宋体" w:cs="宋体"/>
          <w:sz w:val="28"/>
          <w:szCs w:val="28"/>
        </w:rPr>
      </w:pPr>
      <w:r>
        <w:rPr>
          <w:rFonts w:hint="eastAsia" w:ascii="宋体" w:hAnsi="宋体" w:cs="宋体"/>
          <w:sz w:val="28"/>
          <w:szCs w:val="28"/>
        </w:rPr>
        <w:t>定性指标得分按照以下方法评定：根据指标完成情况分为达成年度指标、部分达成年度指标并具有一定效果、未达成年度指标且效果较差三档，分别按照该指标对应分值区间100%-80%（含）、80%-60%（含）、60%-0%合理确定分值。</w:t>
      </w:r>
    </w:p>
    <w:p>
      <w:pPr>
        <w:spacing w:line="360" w:lineRule="auto"/>
        <w:ind w:firstLine="560" w:firstLineChars="200"/>
        <w:rPr>
          <w:rFonts w:ascii="宋体" w:hAnsi="宋体" w:cs="宋体"/>
          <w:sz w:val="28"/>
          <w:szCs w:val="28"/>
        </w:rPr>
      </w:pPr>
      <w:r>
        <w:rPr>
          <w:rFonts w:hint="eastAsia" w:ascii="宋体" w:hAnsi="宋体" w:cs="宋体"/>
          <w:sz w:val="28"/>
          <w:szCs w:val="28"/>
        </w:rPr>
        <w:t>4、评价标准：绩效评价结果采取评分和评级相结合的方式，具体分值和等级可根据不同评价内容设定。总分设置为100分，等级一般划分为四档：90（含）-100分为优、80（含）-90分为良、60（含）-80分为中、60分以下为差。</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（三）绩效评价工作过程</w:t>
      </w:r>
    </w:p>
    <w:p>
      <w:pPr>
        <w:spacing w:line="360" w:lineRule="auto"/>
        <w:ind w:firstLine="560" w:firstLineChars="200"/>
        <w:rPr>
          <w:rFonts w:ascii="宋体" w:hAnsi="宋体" w:cs="宋体"/>
          <w:sz w:val="28"/>
          <w:szCs w:val="28"/>
        </w:rPr>
      </w:pPr>
      <w:r>
        <w:rPr>
          <w:rFonts w:hint="eastAsia" w:ascii="宋体" w:hAnsi="宋体" w:cs="宋体"/>
          <w:sz w:val="28"/>
          <w:szCs w:val="28"/>
        </w:rPr>
        <w:t>首先从组织管理机构上成立了以学院主要领导、教务处、资产处、后勤处、学生处、计财处、纪检监察室为成员的项目建设领导小组，对项目进行决策、审核和督促。其次，在学院计财处设立专门帐户，做到专款专用，确保建设项目按目标完成。再次，制定相关制度，如《关于成立新疆建设职业技术学院教学建设项目管理组织机构的通知》、《新疆建设职业技术学院教学建设项目资金管理办法》及《关于调整学院招标管理工作领导小组成员的通知》、《新疆建设职业技术学院基本建设工作制度》等相关管理制度和文件，确保建设项目的顺利进行。</w:t>
      </w: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三、综合评价情况及评价结论</w:t>
      </w:r>
    </w:p>
    <w:p>
      <w:pPr>
        <w:spacing w:line="360" w:lineRule="auto"/>
        <w:ind w:firstLine="560" w:firstLineChars="200"/>
        <w:rPr>
          <w:rFonts w:ascii="宋体" w:hAnsi="宋体" w:cs="宋体"/>
          <w:sz w:val="28"/>
          <w:szCs w:val="28"/>
        </w:rPr>
      </w:pPr>
      <w:r>
        <w:rPr>
          <w:rFonts w:hint="eastAsia" w:ascii="宋体" w:hAnsi="宋体" w:cs="宋体"/>
          <w:sz w:val="28"/>
          <w:szCs w:val="28"/>
        </w:rPr>
        <w:t>１、产出指标完成情况分析</w:t>
      </w:r>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3</w:t>
      </w:r>
      <w:r>
        <w:rPr>
          <w:rFonts w:hint="eastAsia" w:ascii="宋体" w:hAnsi="宋体" w:cs="宋体"/>
          <w:sz w:val="28"/>
          <w:szCs w:val="28"/>
        </w:rPr>
        <w:t>年，我院紧紧围绕社会稳定和长治久安总目标，配合完成好各项维稳工作，确保了校园的安全稳定，教学工作的正常开展。</w:t>
      </w:r>
    </w:p>
    <w:p>
      <w:pPr>
        <w:spacing w:line="360" w:lineRule="auto"/>
        <w:ind w:firstLine="560" w:firstLineChars="200"/>
        <w:rPr>
          <w:rFonts w:ascii="宋体" w:hAnsi="宋体" w:cs="宋体"/>
          <w:sz w:val="28"/>
          <w:szCs w:val="28"/>
        </w:rPr>
      </w:pPr>
      <w:r>
        <w:rPr>
          <w:rFonts w:hint="eastAsia" w:ascii="宋体" w:hAnsi="宋体" w:cs="宋体"/>
          <w:sz w:val="28"/>
          <w:szCs w:val="28"/>
        </w:rPr>
        <w:t>深化教学改革，促进产教融合。紧密结合高速发展的建筑技术，坚持落实“校企合作、工学结合、顶岗实习”人才培养模式。完善教务管理、学生管理软件升级工作。学院发挥自身优势，开展了“送培训到南疆”活动，组织有经验的专家、教师到和田、阿克苏、马兰等南疆地区进行高技能人才培训和农村剩余劳动力就业技能培训。开展国家级、自治区级、厅局级、各协会课题的申报工作35项，其中自治区职业院校“学习贯彻党的二十大精神推进‘大思政课’建设”专项任务课题立项2项；中国高校产学研创新基金——新一代信息技术创新项目立项1项，自治区住房和城乡建设厅委托的横向课题“2023年泽普县乡村建设评价”立项1项；较好的带动了学院开展教育科研研究的动力和活力。突出职业教育特色，积极组织参与各类职业技能大赛。</w:t>
      </w:r>
    </w:p>
    <w:p>
      <w:pPr>
        <w:spacing w:line="360" w:lineRule="auto"/>
        <w:ind w:firstLine="560" w:firstLineChars="200"/>
        <w:rPr>
          <w:rFonts w:ascii="宋体" w:hAnsi="宋体" w:cs="宋体"/>
          <w:sz w:val="28"/>
          <w:szCs w:val="28"/>
        </w:rPr>
      </w:pPr>
      <w:r>
        <w:rPr>
          <w:rFonts w:hint="eastAsia" w:ascii="宋体" w:hAnsi="宋体" w:cs="宋体"/>
          <w:sz w:val="28"/>
          <w:szCs w:val="28"/>
        </w:rPr>
        <w:t>产出指标涉及</w:t>
      </w:r>
      <w:r>
        <w:rPr>
          <w:rFonts w:hint="eastAsia" w:ascii="宋体" w:hAnsi="宋体" w:cs="宋体"/>
          <w:sz w:val="28"/>
          <w:szCs w:val="28"/>
          <w:lang w:val="en-US" w:eastAsia="zh-CN"/>
        </w:rPr>
        <w:t>购置办公教学用设备指标值350台完成值282台</w:t>
      </w:r>
      <w:r>
        <w:rPr>
          <w:rFonts w:hint="eastAsia" w:ascii="宋体" w:hAnsi="宋体" w:cs="宋体"/>
          <w:sz w:val="28"/>
          <w:szCs w:val="28"/>
        </w:rPr>
        <w:t>、</w:t>
      </w:r>
      <w:r>
        <w:rPr>
          <w:rFonts w:hint="eastAsia" w:ascii="宋体" w:hAnsi="宋体" w:cs="宋体"/>
          <w:sz w:val="28"/>
          <w:szCs w:val="28"/>
          <w:lang w:val="en-US" w:eastAsia="zh-CN"/>
        </w:rPr>
        <w:t>维修校舍面积指标值25000平方米完成值13543.02平方米</w:t>
      </w:r>
      <w:r>
        <w:rPr>
          <w:rFonts w:hint="eastAsia" w:ascii="宋体" w:hAnsi="宋体" w:cs="宋体"/>
          <w:sz w:val="28"/>
          <w:szCs w:val="28"/>
        </w:rPr>
        <w:t>、</w:t>
      </w:r>
      <w:r>
        <w:rPr>
          <w:rFonts w:hint="eastAsia" w:ascii="宋体" w:hAnsi="宋体" w:cs="宋体"/>
          <w:sz w:val="28"/>
          <w:szCs w:val="28"/>
          <w:lang w:val="en-US" w:eastAsia="zh-CN"/>
        </w:rPr>
        <w:t>设备购置合格</w:t>
      </w:r>
      <w:r>
        <w:rPr>
          <w:rFonts w:hint="eastAsia" w:ascii="宋体" w:hAnsi="宋体" w:cs="宋体"/>
          <w:sz w:val="28"/>
          <w:szCs w:val="28"/>
        </w:rPr>
        <w:t>率</w:t>
      </w:r>
      <w:r>
        <w:rPr>
          <w:rFonts w:hint="eastAsia" w:ascii="宋体" w:hAnsi="宋体" w:cs="宋体"/>
          <w:sz w:val="28"/>
          <w:szCs w:val="28"/>
          <w:lang w:val="en-US" w:eastAsia="zh-CN"/>
        </w:rPr>
        <w:t>指标值100%完成值100%</w:t>
      </w:r>
      <w:r>
        <w:rPr>
          <w:rFonts w:hint="eastAsia" w:ascii="宋体" w:hAnsi="宋体" w:cs="宋体"/>
          <w:sz w:val="28"/>
          <w:szCs w:val="28"/>
        </w:rPr>
        <w:t>、</w:t>
      </w:r>
      <w:r>
        <w:rPr>
          <w:rFonts w:hint="eastAsia" w:ascii="宋体" w:hAnsi="宋体" w:cs="宋体"/>
          <w:sz w:val="28"/>
          <w:szCs w:val="28"/>
          <w:lang w:val="en-US" w:eastAsia="zh-CN"/>
        </w:rPr>
        <w:t>维修工程验收合格</w:t>
      </w:r>
      <w:r>
        <w:rPr>
          <w:rFonts w:hint="eastAsia" w:ascii="宋体" w:hAnsi="宋体" w:cs="宋体"/>
          <w:sz w:val="28"/>
          <w:szCs w:val="28"/>
        </w:rPr>
        <w:t>率</w:t>
      </w:r>
      <w:r>
        <w:rPr>
          <w:rFonts w:hint="eastAsia" w:ascii="宋体" w:hAnsi="宋体" w:cs="宋体"/>
          <w:sz w:val="28"/>
          <w:szCs w:val="28"/>
          <w:lang w:val="en-US" w:eastAsia="zh-CN"/>
        </w:rPr>
        <w:t>指标值100%完成值100%</w:t>
      </w:r>
      <w:r>
        <w:rPr>
          <w:rFonts w:hint="eastAsia" w:ascii="宋体" w:hAnsi="宋体" w:cs="宋体"/>
          <w:sz w:val="28"/>
          <w:szCs w:val="28"/>
        </w:rPr>
        <w:t>、</w:t>
      </w:r>
      <w:r>
        <w:rPr>
          <w:rFonts w:hint="eastAsia" w:ascii="宋体" w:hAnsi="宋体" w:cs="宋体"/>
          <w:sz w:val="28"/>
          <w:szCs w:val="28"/>
          <w:lang w:val="en-US" w:eastAsia="zh-CN"/>
        </w:rPr>
        <w:t>项目按时完成合格率指标值100%完成值100%</w:t>
      </w:r>
      <w:r>
        <w:rPr>
          <w:rFonts w:hint="eastAsia" w:ascii="宋体" w:hAnsi="宋体" w:cs="宋体"/>
          <w:sz w:val="28"/>
          <w:szCs w:val="28"/>
        </w:rPr>
        <w:t>、</w:t>
      </w:r>
      <w:r>
        <w:rPr>
          <w:rFonts w:hint="eastAsia" w:ascii="宋体" w:hAnsi="宋体" w:cs="宋体"/>
          <w:sz w:val="28"/>
          <w:szCs w:val="28"/>
          <w:lang w:val="en-US" w:eastAsia="zh-CN"/>
        </w:rPr>
        <w:t>校舍维修成本指标值2829万元完成值854.15万元、设备购置成本指标值1491万元完成值445.58万元、其他成本指标值1480万元完成值2025.35万元</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2、效益指标完成情况分析</w:t>
      </w:r>
    </w:p>
    <w:p>
      <w:pPr>
        <w:spacing w:line="360" w:lineRule="auto"/>
        <w:ind w:firstLine="560" w:firstLineChars="200"/>
        <w:rPr>
          <w:rFonts w:ascii="宋体" w:hAnsi="宋体" w:cs="宋体"/>
          <w:sz w:val="28"/>
          <w:szCs w:val="28"/>
        </w:rPr>
      </w:pPr>
      <w:r>
        <w:rPr>
          <w:rFonts w:hint="eastAsia" w:ascii="宋体" w:hAnsi="宋体" w:cs="宋体"/>
          <w:sz w:val="28"/>
          <w:szCs w:val="28"/>
        </w:rPr>
        <w:t>社会效益指标</w:t>
      </w:r>
      <w:r>
        <w:rPr>
          <w:rFonts w:hint="eastAsia" w:ascii="宋体" w:hAnsi="宋体" w:cs="宋体"/>
          <w:sz w:val="28"/>
          <w:szCs w:val="28"/>
          <w:lang w:val="en-US" w:eastAsia="zh-CN"/>
        </w:rPr>
        <w:t>受益学生人数</w:t>
      </w:r>
      <w:r>
        <w:rPr>
          <w:rFonts w:hint="eastAsia" w:ascii="宋体" w:hAnsi="宋体" w:cs="宋体"/>
          <w:sz w:val="28"/>
          <w:szCs w:val="28"/>
        </w:rPr>
        <w:t>，以上指标完成计划。</w:t>
      </w:r>
    </w:p>
    <w:p>
      <w:pPr>
        <w:spacing w:line="360" w:lineRule="auto"/>
        <w:ind w:firstLine="560" w:firstLineChars="200"/>
        <w:rPr>
          <w:rFonts w:ascii="宋体" w:hAnsi="宋体" w:cs="宋体"/>
          <w:sz w:val="28"/>
          <w:szCs w:val="28"/>
        </w:rPr>
      </w:pPr>
      <w:r>
        <w:rPr>
          <w:rFonts w:hint="eastAsia" w:ascii="宋体" w:hAnsi="宋体" w:cs="宋体"/>
          <w:sz w:val="28"/>
          <w:szCs w:val="28"/>
        </w:rPr>
        <w:t>3、满意度指标完成情况分析</w:t>
      </w:r>
    </w:p>
    <w:p>
      <w:pPr>
        <w:spacing w:line="360" w:lineRule="auto"/>
        <w:ind w:firstLine="560" w:firstLineChars="200"/>
        <w:rPr>
          <w:rFonts w:ascii="宋体" w:hAnsi="宋体" w:cs="宋体"/>
          <w:sz w:val="28"/>
          <w:szCs w:val="28"/>
        </w:rPr>
      </w:pPr>
      <w:r>
        <w:rPr>
          <w:rFonts w:hint="eastAsia" w:ascii="宋体" w:hAnsi="宋体" w:cs="宋体"/>
          <w:sz w:val="28"/>
          <w:szCs w:val="28"/>
        </w:rPr>
        <w:t>学</w:t>
      </w:r>
      <w:r>
        <w:rPr>
          <w:rFonts w:hint="eastAsia" w:ascii="宋体" w:hAnsi="宋体" w:cs="宋体"/>
          <w:sz w:val="28"/>
          <w:szCs w:val="28"/>
          <w:lang w:val="en-US" w:eastAsia="zh-CN"/>
        </w:rPr>
        <w:t>校</w:t>
      </w:r>
      <w:r>
        <w:rPr>
          <w:rFonts w:hint="eastAsia" w:ascii="宋体" w:hAnsi="宋体" w:cs="宋体"/>
          <w:sz w:val="28"/>
          <w:szCs w:val="28"/>
        </w:rPr>
        <w:t>满意度9</w:t>
      </w:r>
      <w:r>
        <w:rPr>
          <w:rFonts w:hint="eastAsia" w:ascii="宋体" w:hAnsi="宋体" w:cs="宋体"/>
          <w:sz w:val="28"/>
          <w:szCs w:val="28"/>
          <w:lang w:val="en-US" w:eastAsia="zh-CN"/>
        </w:rPr>
        <w:t>8</w:t>
      </w:r>
      <w:r>
        <w:rPr>
          <w:rFonts w:hint="eastAsia" w:ascii="宋体" w:hAnsi="宋体" w:cs="宋体"/>
          <w:sz w:val="28"/>
          <w:szCs w:val="28"/>
        </w:rPr>
        <w:t>%，以上指标完成计划。</w:t>
      </w:r>
    </w:p>
    <w:p>
      <w:pPr>
        <w:pStyle w:val="2"/>
        <w:rPr>
          <w:rFonts w:ascii="宋体" w:hAnsi="宋体" w:cs="宋体"/>
          <w:sz w:val="28"/>
          <w:szCs w:val="28"/>
        </w:rPr>
      </w:pPr>
    </w:p>
    <w:tbl>
      <w:tblPr>
        <w:tblStyle w:val="20"/>
        <w:tblW w:w="10149"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5"/>
        <w:gridCol w:w="355"/>
        <w:gridCol w:w="388"/>
        <w:gridCol w:w="493"/>
        <w:gridCol w:w="822"/>
        <w:gridCol w:w="418"/>
        <w:gridCol w:w="828"/>
        <w:gridCol w:w="516"/>
        <w:gridCol w:w="570"/>
        <w:gridCol w:w="343"/>
        <w:gridCol w:w="968"/>
        <w:gridCol w:w="731"/>
        <w:gridCol w:w="345"/>
        <w:gridCol w:w="2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0149" w:type="dxa"/>
            <w:gridSpan w:val="14"/>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0"/>
                <w:szCs w:val="40"/>
                <w:u w:val="none"/>
              </w:rPr>
            </w:pPr>
            <w:r>
              <w:rPr>
                <w:rFonts w:hint="eastAsia" w:ascii="华文中宋" w:hAnsi="华文中宋" w:eastAsia="华文中宋" w:cs="华文中宋"/>
                <w:b/>
                <w:i w:val="0"/>
                <w:color w:val="000000"/>
                <w:kern w:val="0"/>
                <w:sz w:val="40"/>
                <w:szCs w:val="40"/>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149" w:type="dxa"/>
            <w:gridSpan w:val="14"/>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629" w:type="dxa"/>
            <w:gridSpan w:val="1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教学活动经费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949"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自治区住房和城乡建设厅</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新疆建设职业技术学院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3325.08</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881"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2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46"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086"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3325.08</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390"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390"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改善办学条件，购置办公设备，满足教学需要，改善办公环境，对教学楼及学生宿舍进行维修改造。开展学生思想政治教育及心理健康教育，开展各类课外教学活动。全面推进教育教学改革，提高教学质量。优化教育结构，促进教育公平和社会公正。</w:t>
            </w:r>
          </w:p>
        </w:tc>
        <w:tc>
          <w:tcPr>
            <w:tcW w:w="459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改善办学条件，购置办公设备282台，满足教学需要，改善办公环境，对教学楼及学生宿舍进行维修改造。开展学生思想政治教育及心理健康教育，开展各类课外教学活动。全面推进教育教学改革，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指标值设置依据</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指标分值权重</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指标赋分规则</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佐证资料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指标实际完成值</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388"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购置教学设备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&gt;=350套</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&gt;=320套</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80.57%</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预算外收入未达预期目标，导致绩效目标未达到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8"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维修校舍面积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&gt;=25000平方米</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&gt;=20000平方米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13543.02平方米</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54.17%</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预算外收入未达预期目标，导致绩效目标未达到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购置设备合格率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修缮工程验收合格率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购置设备成本</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1491万元</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1400万元</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445.58万元</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29.88%</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预算外收入未达预期目标，导致绩效目标未达到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修缮校舍成本</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2829万元</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2100万元</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854.15万元</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预算外收入未达预期目标，导致绩效目标未达到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其他成本</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1480万元</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1300万元</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2025.35万元</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受益学生人数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&gt;=8000人</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&gt;=7000人</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8028人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学生满意度</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&gt;=97%</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满意度赋分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2401" w:type="dxa"/>
            <w:gridSpan w:val="4"/>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1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b/>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8"/>
                <w:szCs w:val="18"/>
                <w:u w:val="none"/>
              </w:rPr>
            </w:pPr>
          </w:p>
        </w:tc>
      </w:tr>
    </w:tbl>
    <w:p>
      <w:pPr>
        <w:spacing w:line="540" w:lineRule="exact"/>
        <w:rPr>
          <w:rStyle w:val="18"/>
          <w:rFonts w:hint="eastAsia" w:ascii="宋体" w:hAnsi="宋体" w:cs="宋体"/>
          <w:spacing w:val="-4"/>
          <w:sz w:val="36"/>
          <w:szCs w:val="36"/>
        </w:rPr>
      </w:pP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 xml:space="preserve">四、项目评价指标分析 </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（一）项目决策情况</w:t>
      </w:r>
    </w:p>
    <w:p>
      <w:pPr>
        <w:spacing w:line="360" w:lineRule="auto"/>
        <w:ind w:firstLine="560" w:firstLineChars="200"/>
        <w:rPr>
          <w:rFonts w:ascii="宋体" w:hAnsi="宋体" w:cs="宋体"/>
          <w:sz w:val="28"/>
          <w:szCs w:val="28"/>
        </w:rPr>
      </w:pPr>
      <w:r>
        <w:rPr>
          <w:rFonts w:hint="eastAsia" w:ascii="宋体" w:hAnsi="宋体" w:cs="宋体"/>
          <w:sz w:val="28"/>
          <w:szCs w:val="28"/>
        </w:rPr>
        <w:t>为进一步规范和加强职业技术学院项目建设和管理，并促进学院高素质、高效能管理团队的建设，推进学院决策科学化、管理规范化、执行高效化，实现学院的可持续发展，结合学院的实际我院切实加强管理，认真做好教学活动经费项目管理工作</w:t>
      </w:r>
      <w:r>
        <w:rPr>
          <w:rFonts w:hint="eastAsia" w:ascii="宋体" w:hAnsi="宋体" w:cs="宋体"/>
          <w:sz w:val="28"/>
          <w:szCs w:val="28"/>
          <w:lang w:eastAsia="zh-CN"/>
        </w:rPr>
        <w:t>，</w:t>
      </w:r>
      <w:r>
        <w:rPr>
          <w:rFonts w:hint="eastAsia" w:ascii="宋体" w:hAnsi="宋体" w:cs="宋体"/>
          <w:sz w:val="28"/>
          <w:szCs w:val="28"/>
        </w:rPr>
        <w:t>以学院领导为核心的项目实施机构对项目进行决策、审核和督促，同时成立相应的工作机构，负责项目的申报、方案的制定、资金运作等环节的工作，项目资金实行分账核算，专款专用，未出现截留、挤占、挪用的现象，确保项目按时、按期完成，确保项目建设质量，收到实效。</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（二）项目过程情况</w:t>
      </w:r>
    </w:p>
    <w:p>
      <w:pPr>
        <w:spacing w:line="360" w:lineRule="auto"/>
        <w:ind w:firstLine="560" w:firstLineChars="200"/>
        <w:rPr>
          <w:rFonts w:ascii="宋体" w:hAnsi="宋体" w:cs="宋体"/>
          <w:sz w:val="28"/>
          <w:szCs w:val="28"/>
        </w:rPr>
      </w:pPr>
      <w:r>
        <w:rPr>
          <w:rFonts w:hint="eastAsia" w:ascii="宋体" w:hAnsi="宋体" w:cs="宋体"/>
          <w:sz w:val="28"/>
          <w:szCs w:val="28"/>
        </w:rPr>
        <w:t>项目实施工过程中严格按项目资金预算使用资金，资金实际使用情况与计划相符。学院</w:t>
      </w:r>
      <w:r>
        <w:rPr>
          <w:rFonts w:hint="eastAsia" w:ascii="宋体" w:hAnsi="宋体" w:cs="宋体"/>
          <w:sz w:val="28"/>
          <w:szCs w:val="28"/>
          <w:lang w:val="en-US" w:eastAsia="zh-CN"/>
        </w:rPr>
        <w:t>财务</w:t>
      </w:r>
      <w:r>
        <w:rPr>
          <w:rFonts w:hint="eastAsia" w:ascii="宋体" w:hAnsi="宋体" w:cs="宋体"/>
          <w:sz w:val="28"/>
          <w:szCs w:val="28"/>
        </w:rPr>
        <w:t>处设立了专门帐户，做到专款专用，每项工作验收完成后，由项目牵头部门组织验收并提出付款方案，经</w:t>
      </w:r>
      <w:r>
        <w:rPr>
          <w:rFonts w:hint="eastAsia" w:ascii="宋体" w:hAnsi="宋体" w:cs="宋体"/>
          <w:sz w:val="28"/>
          <w:szCs w:val="28"/>
          <w:lang w:val="en-US" w:eastAsia="zh-CN"/>
        </w:rPr>
        <w:t>党委会</w:t>
      </w:r>
      <w:r>
        <w:rPr>
          <w:rFonts w:hint="eastAsia" w:ascii="宋体" w:hAnsi="宋体" w:cs="宋体"/>
          <w:sz w:val="28"/>
          <w:szCs w:val="28"/>
        </w:rPr>
        <w:t>审议，通过后通知</w:t>
      </w:r>
      <w:r>
        <w:rPr>
          <w:rFonts w:hint="eastAsia" w:ascii="宋体" w:hAnsi="宋体" w:cs="宋体"/>
          <w:sz w:val="28"/>
          <w:szCs w:val="28"/>
          <w:lang w:val="en-US" w:eastAsia="zh-CN"/>
        </w:rPr>
        <w:t>财务处</w:t>
      </w:r>
      <w:r>
        <w:rPr>
          <w:rFonts w:hint="eastAsia" w:ascii="宋体" w:hAnsi="宋体" w:cs="宋体"/>
          <w:sz w:val="28"/>
          <w:szCs w:val="28"/>
        </w:rPr>
        <w:t>按规定的程序支付</w:t>
      </w:r>
      <w:r>
        <w:rPr>
          <w:rFonts w:hint="eastAsia" w:ascii="宋体" w:hAnsi="宋体" w:cs="宋体"/>
          <w:sz w:val="28"/>
          <w:szCs w:val="28"/>
          <w:lang w:val="en-US" w:eastAsia="zh-CN"/>
        </w:rPr>
        <w:t>相应</w:t>
      </w:r>
      <w:r>
        <w:rPr>
          <w:rFonts w:hint="eastAsia" w:ascii="宋体" w:hAnsi="宋体" w:cs="宋体"/>
          <w:sz w:val="28"/>
          <w:szCs w:val="28"/>
        </w:rPr>
        <w:t>款项。</w:t>
      </w:r>
    </w:p>
    <w:p>
      <w:pPr>
        <w:spacing w:line="360" w:lineRule="auto"/>
        <w:ind w:firstLine="560" w:firstLineChars="200"/>
        <w:rPr>
          <w:rFonts w:ascii="宋体" w:hAnsi="宋体" w:cs="宋体"/>
          <w:sz w:val="28"/>
          <w:szCs w:val="28"/>
        </w:rPr>
      </w:pPr>
      <w:r>
        <w:rPr>
          <w:rFonts w:hint="eastAsia" w:ascii="宋体" w:hAnsi="宋体" w:cs="宋体"/>
          <w:sz w:val="28"/>
          <w:szCs w:val="28"/>
        </w:rPr>
        <w:t>学院教学建设项目领导小组在自治区教育厅和自治区住房和城乡建设厅指导和监督下，具体负责建设项目的实施，按自治区财政下拨资金实行“统一规划、分类分项预算”的管理办法，严格按自治区政府规定的招投标程序开展和实施各项建设活动，确保建设项目按照计划完成。</w:t>
      </w:r>
    </w:p>
    <w:p>
      <w:pPr>
        <w:spacing w:line="360" w:lineRule="auto"/>
        <w:ind w:firstLine="560" w:firstLineChars="200"/>
        <w:rPr>
          <w:rFonts w:ascii="宋体" w:hAnsi="宋体" w:cs="宋体"/>
          <w:sz w:val="28"/>
          <w:szCs w:val="28"/>
        </w:rPr>
      </w:pPr>
      <w:r>
        <w:rPr>
          <w:rFonts w:hint="eastAsia" w:ascii="宋体" w:hAnsi="宋体" w:cs="宋体"/>
          <w:sz w:val="28"/>
          <w:szCs w:val="28"/>
        </w:rPr>
        <w:t>1、实施部门和职责：根据学院项目领导小组办公室责任分工，由项目实施的资产部门和财务部门安排专人负责项目自评相关事项的沟通和协调工作，确定绩效考核指标，及时处理自评工作中填报基础数据表，报送相关资料信息、项目指标解释、资料收集等方面的事项，并对存在的问题和建议作好收集汇总工作。</w:t>
      </w:r>
    </w:p>
    <w:p>
      <w:pPr>
        <w:spacing w:line="360" w:lineRule="auto"/>
        <w:ind w:firstLine="560" w:firstLineChars="200"/>
        <w:rPr>
          <w:rFonts w:ascii="宋体" w:hAnsi="宋体" w:cs="宋体"/>
          <w:sz w:val="28"/>
          <w:szCs w:val="28"/>
        </w:rPr>
      </w:pPr>
      <w:r>
        <w:rPr>
          <w:rFonts w:hint="eastAsia" w:ascii="宋体" w:hAnsi="宋体" w:cs="宋体"/>
          <w:sz w:val="28"/>
          <w:szCs w:val="28"/>
        </w:rPr>
        <w:t>2、评审测评，由资产部门根据项目实施及完成情况对照绩效指标逐项打分，形成项目评价基础资料。</w:t>
      </w:r>
    </w:p>
    <w:p>
      <w:pPr>
        <w:spacing w:line="360" w:lineRule="auto"/>
        <w:ind w:firstLine="560" w:firstLineChars="200"/>
        <w:rPr>
          <w:rFonts w:ascii="宋体" w:hAnsi="宋体" w:cs="宋体"/>
          <w:sz w:val="28"/>
          <w:szCs w:val="28"/>
        </w:rPr>
      </w:pPr>
      <w:r>
        <w:rPr>
          <w:rFonts w:hint="eastAsia" w:ascii="宋体" w:hAnsi="宋体" w:cs="宋体"/>
          <w:sz w:val="28"/>
          <w:szCs w:val="28"/>
        </w:rPr>
        <w:t>3、综合分析评价，根据评价基础数据和资料进行综合分析评价，形成自评总结和绩效报告。</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（三）项目产出情况</w:t>
      </w:r>
    </w:p>
    <w:p>
      <w:pPr>
        <w:spacing w:line="360" w:lineRule="auto"/>
        <w:ind w:firstLine="560" w:firstLineChars="200"/>
        <w:rPr>
          <w:rFonts w:ascii="宋体" w:hAnsi="宋体" w:cs="宋体"/>
          <w:sz w:val="28"/>
          <w:szCs w:val="28"/>
        </w:rPr>
      </w:pPr>
      <w:r>
        <w:rPr>
          <w:rFonts w:hint="eastAsia" w:ascii="宋体" w:hAnsi="宋体" w:cs="宋体"/>
          <w:sz w:val="28"/>
          <w:szCs w:val="28"/>
        </w:rPr>
        <w:t>首先从组织管理机构上成立了以学院主要领导</w:t>
      </w:r>
      <w:r>
        <w:rPr>
          <w:rFonts w:hint="eastAsia" w:ascii="宋体" w:hAnsi="宋体" w:cs="宋体"/>
          <w:sz w:val="28"/>
          <w:szCs w:val="28"/>
          <w:lang w:eastAsia="zh-CN"/>
        </w:rPr>
        <w:t>、</w:t>
      </w:r>
      <w:r>
        <w:rPr>
          <w:rFonts w:hint="eastAsia" w:ascii="宋体" w:hAnsi="宋体" w:cs="宋体"/>
          <w:sz w:val="28"/>
          <w:szCs w:val="28"/>
          <w:lang w:val="en-US" w:eastAsia="zh-CN"/>
        </w:rPr>
        <w:t>有关部门领导</w:t>
      </w:r>
      <w:r>
        <w:rPr>
          <w:rFonts w:hint="eastAsia" w:ascii="宋体" w:hAnsi="宋体" w:cs="宋体"/>
          <w:sz w:val="28"/>
          <w:szCs w:val="28"/>
        </w:rPr>
        <w:t>为成员的项目建设领导小组，对项目进行决策、审核和督促。</w:t>
      </w:r>
    </w:p>
    <w:p>
      <w:pPr>
        <w:spacing w:line="360" w:lineRule="auto"/>
        <w:ind w:firstLine="560" w:firstLineChars="200"/>
        <w:rPr>
          <w:rFonts w:ascii="宋体" w:hAnsi="宋体" w:cs="宋体"/>
          <w:sz w:val="28"/>
          <w:szCs w:val="28"/>
        </w:rPr>
      </w:pPr>
      <w:r>
        <w:rPr>
          <w:rFonts w:hint="eastAsia" w:ascii="宋体" w:hAnsi="宋体" w:cs="宋体"/>
          <w:sz w:val="28"/>
          <w:szCs w:val="28"/>
        </w:rPr>
        <w:t>其次，在学院</w:t>
      </w:r>
      <w:r>
        <w:rPr>
          <w:rFonts w:hint="eastAsia" w:ascii="宋体" w:hAnsi="宋体" w:cs="宋体"/>
          <w:sz w:val="28"/>
          <w:szCs w:val="28"/>
          <w:lang w:val="en-US" w:eastAsia="zh-CN"/>
        </w:rPr>
        <w:t>财务处</w:t>
      </w:r>
      <w:r>
        <w:rPr>
          <w:rFonts w:hint="eastAsia" w:ascii="宋体" w:hAnsi="宋体" w:cs="宋体"/>
          <w:sz w:val="28"/>
          <w:szCs w:val="28"/>
        </w:rPr>
        <w:t>设立专门帐户，做到专款专用，确保建设项目按目标完成。</w:t>
      </w:r>
    </w:p>
    <w:p>
      <w:pPr>
        <w:spacing w:line="360" w:lineRule="auto"/>
        <w:ind w:firstLine="560" w:firstLineChars="200"/>
        <w:rPr>
          <w:rFonts w:ascii="宋体" w:hAnsi="宋体" w:cs="宋体"/>
          <w:sz w:val="28"/>
          <w:szCs w:val="28"/>
        </w:rPr>
      </w:pPr>
      <w:r>
        <w:rPr>
          <w:rFonts w:hint="eastAsia" w:ascii="宋体" w:hAnsi="宋体" w:cs="宋体"/>
          <w:sz w:val="28"/>
          <w:szCs w:val="28"/>
        </w:rPr>
        <w:t>再次，制定相关制度，如《关于成立新疆建设职业技术学院教学建设项目管理组织机构的通知》、《新疆建设职业技术学院教学建设项目资金管理办法》及《关于调整学院招标管理工作领导小组成员的通知》、《新疆建设职业技术学院基本建设工作制度》等相关管理制度和文件，确保建设项目的顺利进行。</w:t>
      </w:r>
    </w:p>
    <w:p>
      <w:pPr>
        <w:spacing w:line="360" w:lineRule="auto"/>
        <w:ind w:firstLine="560" w:firstLineChars="200"/>
        <w:rPr>
          <w:rFonts w:ascii="宋体" w:hAnsi="宋体" w:cs="宋体"/>
          <w:sz w:val="28"/>
          <w:szCs w:val="28"/>
        </w:rPr>
      </w:pPr>
      <w:r>
        <w:rPr>
          <w:rFonts w:hint="eastAsia" w:ascii="宋体" w:hAnsi="宋体" w:cs="宋体"/>
          <w:sz w:val="28"/>
          <w:szCs w:val="28"/>
        </w:rPr>
        <w:t>因本项目分三个校区执行，在日常管理中由三个校区的各个部门提出资金需求，统一交到学院</w:t>
      </w:r>
      <w:r>
        <w:rPr>
          <w:rFonts w:hint="eastAsia" w:ascii="宋体" w:hAnsi="宋体" w:cs="宋体"/>
          <w:sz w:val="28"/>
          <w:szCs w:val="28"/>
          <w:lang w:val="en-US" w:eastAsia="zh-CN"/>
        </w:rPr>
        <w:t>财务</w:t>
      </w:r>
      <w:r>
        <w:rPr>
          <w:rFonts w:hint="eastAsia" w:ascii="宋体" w:hAnsi="宋体" w:cs="宋体"/>
          <w:sz w:val="28"/>
          <w:szCs w:val="28"/>
        </w:rPr>
        <w:t>处，</w:t>
      </w:r>
      <w:r>
        <w:rPr>
          <w:rFonts w:hint="eastAsia" w:ascii="宋体" w:hAnsi="宋体" w:cs="宋体"/>
          <w:sz w:val="28"/>
          <w:szCs w:val="28"/>
          <w:lang w:val="en-US" w:eastAsia="zh-CN"/>
        </w:rPr>
        <w:t>财务</w:t>
      </w:r>
      <w:r>
        <w:rPr>
          <w:rFonts w:hint="eastAsia" w:ascii="宋体" w:hAnsi="宋体" w:cs="宋体"/>
          <w:sz w:val="28"/>
          <w:szCs w:val="28"/>
        </w:rPr>
        <w:t>处根据轻重缓急和资金到位情况，进行审核并提出购买意见，发现问题及时进行沟通。</w:t>
      </w:r>
    </w:p>
    <w:p>
      <w:pPr>
        <w:spacing w:line="540" w:lineRule="exact"/>
        <w:rPr>
          <w:rStyle w:val="18"/>
          <w:rFonts w:ascii="宋体" w:hAnsi="宋体" w:cs="宋体"/>
          <w:b w:val="0"/>
          <w:bCs w:val="0"/>
          <w:spacing w:val="-4"/>
          <w:sz w:val="28"/>
          <w:szCs w:val="28"/>
        </w:rPr>
      </w:pPr>
      <w:r>
        <w:rPr>
          <w:rStyle w:val="18"/>
          <w:rFonts w:hint="eastAsia" w:ascii="宋体" w:hAnsi="宋体" w:cs="宋体"/>
          <w:b w:val="0"/>
          <w:bCs w:val="0"/>
          <w:spacing w:val="-4"/>
          <w:sz w:val="28"/>
          <w:szCs w:val="28"/>
        </w:rPr>
        <w:t>（四）项目效益情况</w:t>
      </w:r>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3</w:t>
      </w:r>
      <w:r>
        <w:rPr>
          <w:rFonts w:hint="eastAsia" w:ascii="宋体" w:hAnsi="宋体" w:cs="宋体"/>
          <w:sz w:val="28"/>
          <w:szCs w:val="28"/>
        </w:rPr>
        <w:t>年学院党委和领导班子以</w:t>
      </w:r>
      <w:r>
        <w:rPr>
          <w:rFonts w:hint="eastAsia" w:ascii="宋体" w:hAnsi="宋体" w:cs="宋体"/>
          <w:sz w:val="28"/>
          <w:szCs w:val="28"/>
          <w:lang w:eastAsia="zh-CN"/>
        </w:rPr>
        <w:t>习近平</w:t>
      </w:r>
      <w:bookmarkStart w:id="0" w:name="_GoBack"/>
      <w:bookmarkEnd w:id="0"/>
      <w:r>
        <w:rPr>
          <w:rFonts w:hint="eastAsia" w:ascii="宋体" w:hAnsi="宋体" w:cs="宋体"/>
          <w:sz w:val="28"/>
          <w:szCs w:val="28"/>
        </w:rPr>
        <w:t>新时代中国特色社会主义思想为指导，全面贯彻第三次中央新疆工作座谈会精神，团结带领全院师生员工，坚持改革创新，推动科学发展，学院各项事业取得了新的成绩。</w:t>
      </w:r>
    </w:p>
    <w:p>
      <w:pPr>
        <w:spacing w:line="360" w:lineRule="auto"/>
        <w:ind w:firstLine="560" w:firstLineChars="200"/>
        <w:rPr>
          <w:rFonts w:ascii="宋体" w:hAnsi="宋体" w:cs="宋体"/>
          <w:sz w:val="28"/>
          <w:szCs w:val="28"/>
        </w:rPr>
      </w:pPr>
      <w:r>
        <w:rPr>
          <w:rFonts w:hint="eastAsia" w:ascii="宋体" w:hAnsi="宋体" w:cs="宋体"/>
          <w:sz w:val="28"/>
          <w:szCs w:val="28"/>
        </w:rPr>
        <w:t>根据国家有关法律法规和学院整体发展部署要求，努力提高党建和思想政治教育工作水平，提高管理、教学、科研水平，推进学院教学改革，积极开展各类职业技能鉴定、培训工作，突出职业教育特色，组织并参与各类技能大赛，加强人才队伍建设，拓宽招生就业渠道，着力构建平安校园。</w:t>
      </w: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五、主要经验及做法、存在的问题及原因分析</w:t>
      </w:r>
    </w:p>
    <w:p>
      <w:pPr>
        <w:spacing w:line="360" w:lineRule="auto"/>
        <w:ind w:firstLine="560" w:firstLineChars="200"/>
        <w:rPr>
          <w:rFonts w:ascii="宋体" w:hAnsi="宋体" w:cs="宋体"/>
          <w:sz w:val="28"/>
          <w:szCs w:val="28"/>
        </w:rPr>
      </w:pPr>
      <w:r>
        <w:rPr>
          <w:rFonts w:hint="eastAsia" w:ascii="宋体" w:hAnsi="宋体" w:cs="宋体"/>
          <w:sz w:val="28"/>
          <w:szCs w:val="28"/>
        </w:rPr>
        <w:t>主要经验</w:t>
      </w:r>
      <w:r>
        <w:rPr>
          <w:rFonts w:hint="eastAsia" w:ascii="宋体" w:hAnsi="宋体" w:cs="宋体"/>
          <w:sz w:val="28"/>
          <w:szCs w:val="28"/>
          <w:lang w:eastAsia="zh-CN"/>
        </w:rPr>
        <w:t>及做法</w:t>
      </w:r>
      <w:r>
        <w:rPr>
          <w:rFonts w:hint="eastAsia" w:ascii="宋体" w:hAnsi="宋体" w:cs="宋体"/>
          <w:sz w:val="28"/>
          <w:szCs w:val="28"/>
        </w:rPr>
        <w:t>：事先了解该项目国家有关政策法规，制定详细的需求方案；制定详细的计划，现场监督要紧跟。项目实施过程中严格按项目资金预算使用资金，资金实际使用情况与计划相符。学院</w:t>
      </w:r>
      <w:r>
        <w:rPr>
          <w:rFonts w:hint="eastAsia" w:ascii="宋体" w:hAnsi="宋体" w:cs="宋体"/>
          <w:sz w:val="28"/>
          <w:szCs w:val="28"/>
          <w:lang w:val="en-US" w:eastAsia="zh-CN"/>
        </w:rPr>
        <w:t>财务处</w:t>
      </w:r>
      <w:r>
        <w:rPr>
          <w:rFonts w:hint="eastAsia" w:ascii="宋体" w:hAnsi="宋体" w:cs="宋体"/>
          <w:sz w:val="28"/>
          <w:szCs w:val="28"/>
        </w:rPr>
        <w:t>设立了专门帐户，做到专款专用，每项工作验收完成后，由项目牵头部门组织验收并提出付款方案，经</w:t>
      </w:r>
      <w:r>
        <w:rPr>
          <w:rFonts w:hint="eastAsia" w:ascii="宋体" w:hAnsi="宋体" w:cs="宋体"/>
          <w:sz w:val="28"/>
          <w:szCs w:val="28"/>
          <w:lang w:val="en-US" w:eastAsia="zh-CN"/>
        </w:rPr>
        <w:t>党委会</w:t>
      </w:r>
      <w:r>
        <w:rPr>
          <w:rFonts w:hint="eastAsia" w:ascii="宋体" w:hAnsi="宋体" w:cs="宋体"/>
          <w:sz w:val="28"/>
          <w:szCs w:val="28"/>
        </w:rPr>
        <w:t>审议，通过后通知</w:t>
      </w:r>
      <w:r>
        <w:rPr>
          <w:rFonts w:hint="eastAsia" w:ascii="宋体" w:hAnsi="宋体" w:cs="宋体"/>
          <w:sz w:val="28"/>
          <w:szCs w:val="28"/>
          <w:lang w:val="en-US" w:eastAsia="zh-CN"/>
        </w:rPr>
        <w:t>财务处</w:t>
      </w:r>
      <w:r>
        <w:rPr>
          <w:rFonts w:hint="eastAsia" w:ascii="宋体" w:hAnsi="宋体" w:cs="宋体"/>
          <w:sz w:val="28"/>
          <w:szCs w:val="28"/>
        </w:rPr>
        <w:t>按规定支付给供货单位。</w:t>
      </w:r>
    </w:p>
    <w:p>
      <w:pPr>
        <w:spacing w:line="360" w:lineRule="auto"/>
        <w:ind w:firstLine="560" w:firstLineChars="200"/>
        <w:rPr>
          <w:rFonts w:ascii="宋体" w:hAnsi="宋体" w:cs="宋体"/>
          <w:sz w:val="28"/>
          <w:szCs w:val="28"/>
        </w:rPr>
      </w:pPr>
      <w:r>
        <w:rPr>
          <w:rFonts w:hint="eastAsia" w:ascii="宋体" w:hAnsi="宋体" w:cs="宋体"/>
          <w:sz w:val="28"/>
          <w:szCs w:val="28"/>
        </w:rPr>
        <w:t>存在的问题：由于资金有限，不能满足各部门的需要，影响活动开展，实施时间比计划拖后。没有深入细致科学规划地做好各项前期工作，项目实施前期已根据项目建设内容设置绩效目标，但项目绩效目标级绩效指标设置过于笼统，不够细化，在实际实施绩效监控和绩效评价时较为困难。</w:t>
      </w:r>
    </w:p>
    <w:p>
      <w:pPr>
        <w:spacing w:line="360" w:lineRule="auto"/>
        <w:ind w:firstLine="560" w:firstLineChars="200"/>
        <w:rPr>
          <w:rFonts w:ascii="宋体" w:hAnsi="宋体" w:cs="宋体"/>
          <w:sz w:val="28"/>
          <w:szCs w:val="28"/>
        </w:rPr>
      </w:pPr>
      <w:r>
        <w:rPr>
          <w:rFonts w:hint="eastAsia" w:ascii="宋体" w:hAnsi="宋体" w:cs="宋体"/>
          <w:sz w:val="28"/>
          <w:szCs w:val="28"/>
        </w:rPr>
        <w:t>原因分析：由于学院三个校区比较分散，各校区原有教学设施及办公条件都较差，需要学院在很多方面投入大量资金给予改善，但由于学院预算外收入有限，目前的收入只能勉强维持正常的教学需要，因此希望财政部门能在财政拨款上给予扶持。</w:t>
      </w: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六、有关建议</w:t>
      </w:r>
    </w:p>
    <w:p>
      <w:pPr>
        <w:spacing w:line="360" w:lineRule="auto"/>
        <w:ind w:firstLine="560" w:firstLineChars="200"/>
        <w:rPr>
          <w:rFonts w:ascii="宋体" w:hAnsi="宋体" w:cs="宋体"/>
          <w:sz w:val="28"/>
          <w:szCs w:val="28"/>
        </w:rPr>
      </w:pPr>
      <w:r>
        <w:rPr>
          <w:rFonts w:hint="eastAsia" w:ascii="宋体" w:hAnsi="宋体" w:cs="宋体"/>
          <w:sz w:val="28"/>
          <w:szCs w:val="28"/>
        </w:rPr>
        <w:t>学院主要职责任务是面向建设行业，开展高等、中等学历教育和职业培训，培养高、中级技术应用型和技能操作型人才。</w:t>
      </w:r>
    </w:p>
    <w:p>
      <w:pPr>
        <w:spacing w:line="360" w:lineRule="auto"/>
        <w:ind w:firstLine="560" w:firstLineChars="200"/>
        <w:rPr>
          <w:rFonts w:ascii="宋体" w:hAnsi="宋体" w:cs="宋体"/>
          <w:sz w:val="28"/>
          <w:szCs w:val="28"/>
        </w:rPr>
      </w:pPr>
      <w:r>
        <w:rPr>
          <w:rFonts w:hint="eastAsia" w:ascii="宋体" w:hAnsi="宋体" w:cs="宋体"/>
          <w:sz w:val="28"/>
          <w:szCs w:val="28"/>
        </w:rPr>
        <w:t>建议财政能够给予更多的倾斜和支持，加大扶持力度，确保维护教育公平，促进教育持续健康发展。</w:t>
      </w:r>
    </w:p>
    <w:p>
      <w:pPr>
        <w:spacing w:line="540" w:lineRule="exact"/>
        <w:rPr>
          <w:rStyle w:val="18"/>
          <w:rFonts w:ascii="宋体" w:hAnsi="宋体" w:cs="宋体"/>
          <w:spacing w:val="-4"/>
          <w:sz w:val="36"/>
          <w:szCs w:val="36"/>
        </w:rPr>
      </w:pPr>
      <w:r>
        <w:rPr>
          <w:rStyle w:val="18"/>
          <w:rFonts w:hint="eastAsia" w:ascii="宋体" w:hAnsi="宋体" w:cs="宋体"/>
          <w:spacing w:val="-4"/>
          <w:sz w:val="36"/>
          <w:szCs w:val="36"/>
        </w:rPr>
        <w:t>七、其他需要说明的问题</w:t>
      </w:r>
    </w:p>
    <w:p>
      <w:pPr>
        <w:spacing w:line="560" w:lineRule="exact"/>
        <w:ind w:firstLine="560" w:firstLineChars="200"/>
        <w:jc w:val="left"/>
        <w:rPr>
          <w:rFonts w:ascii="宋体" w:hAnsi="宋体" w:cs="宋体"/>
          <w:sz w:val="28"/>
          <w:szCs w:val="28"/>
          <w:lang w:bidi="ar"/>
        </w:rPr>
      </w:pPr>
      <w:r>
        <w:rPr>
          <w:rFonts w:hint="eastAsia" w:ascii="宋体" w:hAnsi="宋体" w:cs="宋体"/>
          <w:sz w:val="28"/>
          <w:szCs w:val="28"/>
          <w:lang w:bidi="ar"/>
        </w:rPr>
        <w:t>完善绩效管理系统，对于项目的实施，根据年度实施项目内容，设置合理的绩效指标，从而能更有利的推动项目实施效果。</w:t>
      </w:r>
    </w:p>
    <w:p>
      <w:pPr>
        <w:spacing w:line="360" w:lineRule="auto"/>
        <w:ind w:firstLine="1360" w:firstLineChars="500"/>
        <w:rPr>
          <w:rStyle w:val="18"/>
          <w:rFonts w:ascii="宋体" w:hAnsi="宋体" w:cs="宋体"/>
          <w:b w:val="0"/>
          <w:bCs w:val="0"/>
          <w:spacing w:val="-4"/>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D1DA6"/>
    <w:multiLevelType w:val="singleLevel"/>
    <w:tmpl w:val="988D1DA6"/>
    <w:lvl w:ilvl="0" w:tentative="0">
      <w:start w:val="1"/>
      <w:numFmt w:val="decimal"/>
      <w:suff w:val="nothing"/>
      <w:lvlText w:val="%1、"/>
      <w:lvlJc w:val="left"/>
    </w:lvl>
  </w:abstractNum>
  <w:abstractNum w:abstractNumId="1">
    <w:nsid w:val="B63B08A2"/>
    <w:multiLevelType w:val="singleLevel"/>
    <w:tmpl w:val="B63B08A2"/>
    <w:lvl w:ilvl="0" w:tentative="0">
      <w:start w:val="2"/>
      <w:numFmt w:val="decimal"/>
      <w:suff w:val="nothing"/>
      <w:lvlText w:val="%1、"/>
      <w:lvlJc w:val="left"/>
    </w:lvl>
  </w:abstractNum>
  <w:abstractNum w:abstractNumId="2">
    <w:nsid w:val="66CF663E"/>
    <w:multiLevelType w:val="singleLevel"/>
    <w:tmpl w:val="66CF663E"/>
    <w:lvl w:ilvl="0" w:tentative="0">
      <w:start w:val="2"/>
      <w:numFmt w:val="chineseCounting"/>
      <w:suff w:val="nothing"/>
      <w:lvlText w:val="（%1）"/>
      <w:lvlJc w:val="left"/>
      <w:rPr>
        <w:rFonts w:hint="eastAsia"/>
      </w:rPr>
    </w:lvl>
  </w:abstractNum>
  <w:abstractNum w:abstractNumId="3">
    <w:nsid w:val="67E5900F"/>
    <w:multiLevelType w:val="singleLevel"/>
    <w:tmpl w:val="67E5900F"/>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g1MTZhZDgwNWVhZmMyMTAzOTExMTk3ZmVkMjY4ZTMifQ=="/>
  </w:docVars>
  <w:rsids>
    <w:rsidRoot w:val="00CA6457"/>
    <w:rsid w:val="00005521"/>
    <w:rsid w:val="00020DF0"/>
    <w:rsid w:val="00075FB7"/>
    <w:rsid w:val="00093EE6"/>
    <w:rsid w:val="000F3394"/>
    <w:rsid w:val="000F4B61"/>
    <w:rsid w:val="00125A7E"/>
    <w:rsid w:val="00142E51"/>
    <w:rsid w:val="00194884"/>
    <w:rsid w:val="001A69F3"/>
    <w:rsid w:val="001A6B6D"/>
    <w:rsid w:val="001C098A"/>
    <w:rsid w:val="001F6DFA"/>
    <w:rsid w:val="002259DF"/>
    <w:rsid w:val="0025115C"/>
    <w:rsid w:val="00264E00"/>
    <w:rsid w:val="002844DA"/>
    <w:rsid w:val="002C0843"/>
    <w:rsid w:val="003121DD"/>
    <w:rsid w:val="00372253"/>
    <w:rsid w:val="0039212D"/>
    <w:rsid w:val="003F51BF"/>
    <w:rsid w:val="00421EDA"/>
    <w:rsid w:val="004227D7"/>
    <w:rsid w:val="00464F77"/>
    <w:rsid w:val="004869FF"/>
    <w:rsid w:val="004E7BBE"/>
    <w:rsid w:val="005162F1"/>
    <w:rsid w:val="00535153"/>
    <w:rsid w:val="00547290"/>
    <w:rsid w:val="00570959"/>
    <w:rsid w:val="00574C3F"/>
    <w:rsid w:val="00580E4F"/>
    <w:rsid w:val="0058116B"/>
    <w:rsid w:val="00585CC0"/>
    <w:rsid w:val="00596133"/>
    <w:rsid w:val="00675643"/>
    <w:rsid w:val="00711405"/>
    <w:rsid w:val="00756983"/>
    <w:rsid w:val="007752F0"/>
    <w:rsid w:val="00777AF2"/>
    <w:rsid w:val="007A210A"/>
    <w:rsid w:val="007C63EA"/>
    <w:rsid w:val="007E22E2"/>
    <w:rsid w:val="008051EF"/>
    <w:rsid w:val="008140BE"/>
    <w:rsid w:val="00855E3A"/>
    <w:rsid w:val="008914AB"/>
    <w:rsid w:val="008E35D9"/>
    <w:rsid w:val="008F3E44"/>
    <w:rsid w:val="008F7848"/>
    <w:rsid w:val="00922CB9"/>
    <w:rsid w:val="00945A21"/>
    <w:rsid w:val="00951306"/>
    <w:rsid w:val="00971E17"/>
    <w:rsid w:val="009A5ED8"/>
    <w:rsid w:val="009F2188"/>
    <w:rsid w:val="00A20859"/>
    <w:rsid w:val="00A26421"/>
    <w:rsid w:val="00A4293B"/>
    <w:rsid w:val="00A524B3"/>
    <w:rsid w:val="00A97DEF"/>
    <w:rsid w:val="00AB63FB"/>
    <w:rsid w:val="00AF00D4"/>
    <w:rsid w:val="00B260CE"/>
    <w:rsid w:val="00B31C5B"/>
    <w:rsid w:val="00B41F61"/>
    <w:rsid w:val="00B8258D"/>
    <w:rsid w:val="00B93722"/>
    <w:rsid w:val="00BB6F41"/>
    <w:rsid w:val="00C02D96"/>
    <w:rsid w:val="00C161C6"/>
    <w:rsid w:val="00C53193"/>
    <w:rsid w:val="00C56C72"/>
    <w:rsid w:val="00C63FF8"/>
    <w:rsid w:val="00C65E08"/>
    <w:rsid w:val="00CA414C"/>
    <w:rsid w:val="00CA6457"/>
    <w:rsid w:val="00CC0019"/>
    <w:rsid w:val="00CC774D"/>
    <w:rsid w:val="00CE6723"/>
    <w:rsid w:val="00D0256A"/>
    <w:rsid w:val="00D04302"/>
    <w:rsid w:val="00D17F2E"/>
    <w:rsid w:val="00D40A6B"/>
    <w:rsid w:val="00D544C0"/>
    <w:rsid w:val="00D56C0C"/>
    <w:rsid w:val="00DF46C6"/>
    <w:rsid w:val="00DF501E"/>
    <w:rsid w:val="00E52F4C"/>
    <w:rsid w:val="00E5666A"/>
    <w:rsid w:val="00E61CEB"/>
    <w:rsid w:val="00E769FE"/>
    <w:rsid w:val="00EA2CBE"/>
    <w:rsid w:val="00EA6048"/>
    <w:rsid w:val="00ED414B"/>
    <w:rsid w:val="00F1680C"/>
    <w:rsid w:val="00F32FEE"/>
    <w:rsid w:val="00F76BFE"/>
    <w:rsid w:val="00F94766"/>
    <w:rsid w:val="00FA65B2"/>
    <w:rsid w:val="00FA7445"/>
    <w:rsid w:val="00FB429B"/>
    <w:rsid w:val="00FB4C82"/>
    <w:rsid w:val="00FC4AB7"/>
    <w:rsid w:val="00FE7671"/>
    <w:rsid w:val="029524F7"/>
    <w:rsid w:val="037E3568"/>
    <w:rsid w:val="03B3787B"/>
    <w:rsid w:val="04755458"/>
    <w:rsid w:val="04C27DBB"/>
    <w:rsid w:val="06941683"/>
    <w:rsid w:val="06F15D40"/>
    <w:rsid w:val="06F92B1C"/>
    <w:rsid w:val="07BE1266"/>
    <w:rsid w:val="0AB3773E"/>
    <w:rsid w:val="0BD22349"/>
    <w:rsid w:val="0DC6710A"/>
    <w:rsid w:val="0EE30A28"/>
    <w:rsid w:val="102D27BB"/>
    <w:rsid w:val="103644FC"/>
    <w:rsid w:val="117D1D44"/>
    <w:rsid w:val="125211C0"/>
    <w:rsid w:val="15253911"/>
    <w:rsid w:val="187517C4"/>
    <w:rsid w:val="198157ED"/>
    <w:rsid w:val="19BD7257"/>
    <w:rsid w:val="1A3C2158"/>
    <w:rsid w:val="1C61610A"/>
    <w:rsid w:val="1CEF7B49"/>
    <w:rsid w:val="1E426765"/>
    <w:rsid w:val="1EF30369"/>
    <w:rsid w:val="1F3E1606"/>
    <w:rsid w:val="1FFE6912"/>
    <w:rsid w:val="20620FB2"/>
    <w:rsid w:val="206F6010"/>
    <w:rsid w:val="216D104C"/>
    <w:rsid w:val="21D20555"/>
    <w:rsid w:val="2370770A"/>
    <w:rsid w:val="237B3A8B"/>
    <w:rsid w:val="25173764"/>
    <w:rsid w:val="263840A3"/>
    <w:rsid w:val="26B31A0D"/>
    <w:rsid w:val="2AF66543"/>
    <w:rsid w:val="2B706BCC"/>
    <w:rsid w:val="2D6D3827"/>
    <w:rsid w:val="2F9E0C7B"/>
    <w:rsid w:val="30084914"/>
    <w:rsid w:val="301933E9"/>
    <w:rsid w:val="319F37CB"/>
    <w:rsid w:val="34890DE9"/>
    <w:rsid w:val="35343AFE"/>
    <w:rsid w:val="374C0927"/>
    <w:rsid w:val="374C4532"/>
    <w:rsid w:val="37926D8D"/>
    <w:rsid w:val="38E26D6A"/>
    <w:rsid w:val="38E56374"/>
    <w:rsid w:val="39276F80"/>
    <w:rsid w:val="399A3BF4"/>
    <w:rsid w:val="39CA300B"/>
    <w:rsid w:val="3C530683"/>
    <w:rsid w:val="3D004C3A"/>
    <w:rsid w:val="3E9907E9"/>
    <w:rsid w:val="3F697365"/>
    <w:rsid w:val="3F94184D"/>
    <w:rsid w:val="3F990124"/>
    <w:rsid w:val="405770E6"/>
    <w:rsid w:val="42135A0E"/>
    <w:rsid w:val="42DF4982"/>
    <w:rsid w:val="43190CA3"/>
    <w:rsid w:val="44A1128D"/>
    <w:rsid w:val="462140F4"/>
    <w:rsid w:val="482C1B58"/>
    <w:rsid w:val="48AD4B08"/>
    <w:rsid w:val="48ED7F05"/>
    <w:rsid w:val="48F84082"/>
    <w:rsid w:val="4984184D"/>
    <w:rsid w:val="4C0E01F5"/>
    <w:rsid w:val="4EE039E1"/>
    <w:rsid w:val="4EF9685B"/>
    <w:rsid w:val="4F1B1A78"/>
    <w:rsid w:val="4F6C4B6C"/>
    <w:rsid w:val="534F55FA"/>
    <w:rsid w:val="554D3154"/>
    <w:rsid w:val="55B426BB"/>
    <w:rsid w:val="55F34386"/>
    <w:rsid w:val="5811554A"/>
    <w:rsid w:val="583737A9"/>
    <w:rsid w:val="5A771DDF"/>
    <w:rsid w:val="5B671954"/>
    <w:rsid w:val="5D8E7726"/>
    <w:rsid w:val="6215275D"/>
    <w:rsid w:val="63E5455D"/>
    <w:rsid w:val="64B86FD2"/>
    <w:rsid w:val="65815AE7"/>
    <w:rsid w:val="66572792"/>
    <w:rsid w:val="6727659D"/>
    <w:rsid w:val="6B7970DA"/>
    <w:rsid w:val="6D0634D5"/>
    <w:rsid w:val="6D7170AE"/>
    <w:rsid w:val="6E8E4AFC"/>
    <w:rsid w:val="6EFC485A"/>
    <w:rsid w:val="72AD5182"/>
    <w:rsid w:val="73DD6425"/>
    <w:rsid w:val="752F0C47"/>
    <w:rsid w:val="76312554"/>
    <w:rsid w:val="79146E70"/>
    <w:rsid w:val="79BE1976"/>
    <w:rsid w:val="79F6530C"/>
    <w:rsid w:val="79F747D4"/>
    <w:rsid w:val="7A856115"/>
    <w:rsid w:val="7B54531D"/>
    <w:rsid w:val="7F2C207B"/>
    <w:rsid w:val="7FFB1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4">
    <w:name w:val="heading 2"/>
    <w:basedOn w:val="1"/>
    <w:next w:val="1"/>
    <w:link w:val="22"/>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5">
    <w:name w:val="heading 3"/>
    <w:basedOn w:val="1"/>
    <w:next w:val="1"/>
    <w:link w:val="23"/>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6">
    <w:name w:val="heading 4"/>
    <w:basedOn w:val="1"/>
    <w:next w:val="1"/>
    <w:link w:val="24"/>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7">
    <w:name w:val="heading 5"/>
    <w:basedOn w:val="1"/>
    <w:next w:val="1"/>
    <w:link w:val="25"/>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8">
    <w:name w:val="heading 6"/>
    <w:basedOn w:val="1"/>
    <w:next w:val="1"/>
    <w:link w:val="26"/>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9">
    <w:name w:val="heading 7"/>
    <w:basedOn w:val="1"/>
    <w:next w:val="1"/>
    <w:link w:val="27"/>
    <w:unhideWhenUsed/>
    <w:qFormat/>
    <w:uiPriority w:val="9"/>
    <w:pPr>
      <w:widowControl/>
      <w:spacing w:before="240" w:after="60"/>
      <w:jc w:val="left"/>
      <w:outlineLvl w:val="6"/>
    </w:pPr>
    <w:rPr>
      <w:rFonts w:asciiTheme="minorHAnsi" w:hAnsiTheme="minorHAnsi" w:eastAsiaTheme="minorEastAsia"/>
      <w:kern w:val="0"/>
      <w:sz w:val="24"/>
    </w:rPr>
  </w:style>
  <w:style w:type="paragraph" w:styleId="10">
    <w:name w:val="heading 8"/>
    <w:basedOn w:val="1"/>
    <w:next w:val="1"/>
    <w:link w:val="28"/>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1">
    <w:name w:val="heading 9"/>
    <w:basedOn w:val="1"/>
    <w:next w:val="1"/>
    <w:link w:val="29"/>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12">
    <w:name w:val="Plain Text"/>
    <w:basedOn w:val="1"/>
    <w:qFormat/>
    <w:uiPriority w:val="0"/>
    <w:rPr>
      <w:rFonts w:ascii="宋体" w:hAnsi="Courier New"/>
    </w:rPr>
  </w:style>
  <w:style w:type="paragraph" w:styleId="13">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6">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1">
    <w:name w:val="标题 1 Char"/>
    <w:basedOn w:val="17"/>
    <w:link w:val="3"/>
    <w:qFormat/>
    <w:uiPriority w:val="9"/>
    <w:rPr>
      <w:rFonts w:asciiTheme="majorHAnsi" w:hAnsiTheme="majorHAnsi" w:eastAsiaTheme="majorEastAsia"/>
      <w:b/>
      <w:bCs/>
      <w:kern w:val="32"/>
      <w:sz w:val="32"/>
      <w:szCs w:val="32"/>
    </w:rPr>
  </w:style>
  <w:style w:type="character" w:customStyle="1" w:styleId="22">
    <w:name w:val="标题 2 Char"/>
    <w:basedOn w:val="17"/>
    <w:link w:val="4"/>
    <w:semiHidden/>
    <w:qFormat/>
    <w:uiPriority w:val="9"/>
    <w:rPr>
      <w:rFonts w:asciiTheme="majorHAnsi" w:hAnsiTheme="majorHAnsi" w:eastAsiaTheme="majorEastAsia"/>
      <w:b/>
      <w:bCs/>
      <w:i/>
      <w:iCs/>
      <w:sz w:val="28"/>
      <w:szCs w:val="28"/>
    </w:rPr>
  </w:style>
  <w:style w:type="character" w:customStyle="1" w:styleId="23">
    <w:name w:val="标题 3 Char"/>
    <w:basedOn w:val="17"/>
    <w:link w:val="5"/>
    <w:semiHidden/>
    <w:qFormat/>
    <w:uiPriority w:val="9"/>
    <w:rPr>
      <w:rFonts w:asciiTheme="majorHAnsi" w:hAnsiTheme="majorHAnsi" w:eastAsiaTheme="majorEastAsia"/>
      <w:b/>
      <w:bCs/>
      <w:sz w:val="26"/>
      <w:szCs w:val="26"/>
    </w:rPr>
  </w:style>
  <w:style w:type="character" w:customStyle="1" w:styleId="24">
    <w:name w:val="标题 4 Char"/>
    <w:basedOn w:val="17"/>
    <w:link w:val="6"/>
    <w:semiHidden/>
    <w:qFormat/>
    <w:uiPriority w:val="9"/>
    <w:rPr>
      <w:b/>
      <w:bCs/>
      <w:sz w:val="28"/>
      <w:szCs w:val="28"/>
    </w:rPr>
  </w:style>
  <w:style w:type="character" w:customStyle="1" w:styleId="25">
    <w:name w:val="标题 5 Char"/>
    <w:basedOn w:val="17"/>
    <w:link w:val="7"/>
    <w:semiHidden/>
    <w:qFormat/>
    <w:uiPriority w:val="9"/>
    <w:rPr>
      <w:b/>
      <w:bCs/>
      <w:i/>
      <w:iCs/>
      <w:sz w:val="26"/>
      <w:szCs w:val="26"/>
    </w:rPr>
  </w:style>
  <w:style w:type="character" w:customStyle="1" w:styleId="26">
    <w:name w:val="标题 6 Char"/>
    <w:basedOn w:val="17"/>
    <w:link w:val="8"/>
    <w:semiHidden/>
    <w:qFormat/>
    <w:uiPriority w:val="9"/>
    <w:rPr>
      <w:b/>
      <w:bCs/>
    </w:rPr>
  </w:style>
  <w:style w:type="character" w:customStyle="1" w:styleId="27">
    <w:name w:val="标题 7 Char"/>
    <w:basedOn w:val="17"/>
    <w:link w:val="9"/>
    <w:semiHidden/>
    <w:qFormat/>
    <w:uiPriority w:val="9"/>
    <w:rPr>
      <w:sz w:val="24"/>
      <w:szCs w:val="24"/>
    </w:rPr>
  </w:style>
  <w:style w:type="character" w:customStyle="1" w:styleId="28">
    <w:name w:val="标题 8 Char"/>
    <w:basedOn w:val="17"/>
    <w:link w:val="10"/>
    <w:semiHidden/>
    <w:qFormat/>
    <w:uiPriority w:val="9"/>
    <w:rPr>
      <w:i/>
      <w:iCs/>
      <w:sz w:val="24"/>
      <w:szCs w:val="24"/>
    </w:rPr>
  </w:style>
  <w:style w:type="character" w:customStyle="1" w:styleId="29">
    <w:name w:val="标题 9 Char"/>
    <w:basedOn w:val="17"/>
    <w:link w:val="11"/>
    <w:semiHidden/>
    <w:qFormat/>
    <w:uiPriority w:val="9"/>
    <w:rPr>
      <w:rFonts w:asciiTheme="majorHAnsi" w:hAnsiTheme="majorHAnsi" w:eastAsiaTheme="majorEastAsia"/>
    </w:rPr>
  </w:style>
  <w:style w:type="character" w:customStyle="1" w:styleId="30">
    <w:name w:val="标题 Char"/>
    <w:basedOn w:val="17"/>
    <w:link w:val="16"/>
    <w:qFormat/>
    <w:uiPriority w:val="10"/>
    <w:rPr>
      <w:rFonts w:asciiTheme="majorHAnsi" w:hAnsiTheme="majorHAnsi" w:eastAsiaTheme="majorEastAsia"/>
      <w:b/>
      <w:bCs/>
      <w:kern w:val="28"/>
      <w:sz w:val="32"/>
      <w:szCs w:val="32"/>
    </w:rPr>
  </w:style>
  <w:style w:type="character" w:customStyle="1" w:styleId="31">
    <w:name w:val="副标题 Char"/>
    <w:basedOn w:val="17"/>
    <w:link w:val="15"/>
    <w:qFormat/>
    <w:uiPriority w:val="11"/>
    <w:rPr>
      <w:rFonts w:asciiTheme="majorHAnsi" w:hAnsiTheme="majorHAnsi" w:eastAsiaTheme="majorEastAsia"/>
      <w:sz w:val="24"/>
      <w:szCs w:val="24"/>
    </w:rPr>
  </w:style>
  <w:style w:type="paragraph" w:customStyle="1" w:styleId="32">
    <w:name w:val="无间隔1"/>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3">
    <w:name w:val="列出段落1"/>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4">
    <w:name w:val="引用1"/>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7"/>
    <w:link w:val="34"/>
    <w:qFormat/>
    <w:uiPriority w:val="29"/>
    <w:rPr>
      <w:i/>
      <w:sz w:val="24"/>
      <w:szCs w:val="24"/>
    </w:rPr>
  </w:style>
  <w:style w:type="paragraph" w:customStyle="1" w:styleId="36">
    <w:name w:val="明显引用1"/>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7"/>
    <w:link w:val="36"/>
    <w:qFormat/>
    <w:uiPriority w:val="30"/>
    <w:rPr>
      <w:b/>
      <w:i/>
      <w:sz w:val="24"/>
    </w:rPr>
  </w:style>
  <w:style w:type="character" w:customStyle="1" w:styleId="38">
    <w:name w:val="不明显强调1"/>
    <w:qFormat/>
    <w:uiPriority w:val="19"/>
    <w:rPr>
      <w:i/>
      <w:color w:val="595959" w:themeColor="text1" w:themeTint="A5"/>
    </w:rPr>
  </w:style>
  <w:style w:type="character" w:customStyle="1" w:styleId="39">
    <w:name w:val="明显强调1"/>
    <w:basedOn w:val="17"/>
    <w:qFormat/>
    <w:uiPriority w:val="21"/>
    <w:rPr>
      <w:b/>
      <w:i/>
      <w:sz w:val="24"/>
      <w:szCs w:val="24"/>
      <w:u w:val="single"/>
    </w:rPr>
  </w:style>
  <w:style w:type="character" w:customStyle="1" w:styleId="40">
    <w:name w:val="不明显参考1"/>
    <w:basedOn w:val="17"/>
    <w:qFormat/>
    <w:uiPriority w:val="31"/>
    <w:rPr>
      <w:sz w:val="24"/>
      <w:szCs w:val="24"/>
      <w:u w:val="single"/>
    </w:rPr>
  </w:style>
  <w:style w:type="character" w:customStyle="1" w:styleId="41">
    <w:name w:val="明显参考1"/>
    <w:basedOn w:val="17"/>
    <w:qFormat/>
    <w:uiPriority w:val="32"/>
    <w:rPr>
      <w:b/>
      <w:sz w:val="24"/>
      <w:u w:val="single"/>
    </w:rPr>
  </w:style>
  <w:style w:type="character" w:customStyle="1" w:styleId="42">
    <w:name w:val="书籍标题1"/>
    <w:basedOn w:val="17"/>
    <w:qFormat/>
    <w:uiPriority w:val="33"/>
    <w:rPr>
      <w:rFonts w:asciiTheme="majorHAnsi" w:hAnsiTheme="majorHAnsi" w:eastAsiaTheme="majorEastAsia"/>
      <w:b/>
      <w:i/>
      <w:sz w:val="24"/>
      <w:szCs w:val="24"/>
    </w:rPr>
  </w:style>
  <w:style w:type="paragraph" w:customStyle="1" w:styleId="43">
    <w:name w:val="TOC 标题1"/>
    <w:basedOn w:val="3"/>
    <w:next w:val="1"/>
    <w:unhideWhenUsed/>
    <w:qFormat/>
    <w:uiPriority w:val="39"/>
    <w:pPr>
      <w:outlineLvl w:val="9"/>
    </w:pPr>
    <w:rPr>
      <w:lang w:eastAsia="en-US" w:bidi="en-US"/>
    </w:rPr>
  </w:style>
  <w:style w:type="character" w:customStyle="1" w:styleId="44">
    <w:name w:val="页眉 Char"/>
    <w:basedOn w:val="17"/>
    <w:link w:val="14"/>
    <w:qFormat/>
    <w:uiPriority w:val="99"/>
    <w:rPr>
      <w:rFonts w:ascii="Calibri" w:hAnsi="Calibri" w:eastAsia="宋体"/>
      <w:kern w:val="2"/>
      <w:sz w:val="18"/>
      <w:szCs w:val="18"/>
    </w:rPr>
  </w:style>
  <w:style w:type="character" w:customStyle="1" w:styleId="45">
    <w:name w:val="页脚 Char"/>
    <w:basedOn w:val="17"/>
    <w:link w:val="13"/>
    <w:qFormat/>
    <w:uiPriority w:val="99"/>
    <w:rPr>
      <w:rFonts w:ascii="Calibri" w:hAnsi="Calibri" w:eastAsia="宋体"/>
      <w:kern w:val="2"/>
      <w:sz w:val="18"/>
      <w:szCs w:val="18"/>
    </w:rPr>
  </w:style>
  <w:style w:type="paragraph" w:customStyle="1" w:styleId="46">
    <w:name w:val="正文1"/>
    <w:basedOn w:val="1"/>
    <w:qFormat/>
    <w:uiPriority w:val="99"/>
    <w:pPr>
      <w:widowControl/>
      <w:jc w:val="left"/>
    </w:pPr>
    <w:rPr>
      <w:rFonts w:ascii="Calibri" w:hAnsi="Calibri"/>
      <w:kern w:val="0"/>
      <w:sz w:val="20"/>
      <w:szCs w:val="20"/>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7629</Words>
  <Characters>7890</Characters>
  <Lines>60</Lines>
  <Paragraphs>16</Paragraphs>
  <TotalTime>0</TotalTime>
  <ScaleCrop>false</ScaleCrop>
  <LinksUpToDate>false</LinksUpToDate>
  <CharactersWithSpaces>7917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2018-08-15T03:10:00Z</cp:lastPrinted>
  <dcterms:modified xsi:type="dcterms:W3CDTF">2024-12-02T04:38:50Z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B40781CADE6D4CA0B73102B9A94D8F24</vt:lpwstr>
  </property>
</Properties>
</file>