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sz w:val="44"/>
          <w:szCs w:val="44"/>
        </w:rPr>
        <w:t>自治区关于</w:t>
      </w:r>
      <w:r>
        <w:rPr>
          <w:rFonts w:hint="eastAsia" w:ascii="方正小标宋简体" w:eastAsia="方正小标宋简体"/>
          <w:strike w:val="0"/>
          <w:dstrike w:val="0"/>
          <w:color w:val="auto"/>
          <w:sz w:val="44"/>
          <w:szCs w:val="44"/>
        </w:rPr>
        <w:t>新冠病毒感染</w:t>
      </w:r>
      <w:r>
        <w:rPr>
          <w:rFonts w:hint="eastAsia" w:ascii="方正小标宋简体" w:eastAsia="方正小标宋简体"/>
          <w:strike w:val="0"/>
          <w:dstrike w:val="0"/>
          <w:color w:val="auto"/>
          <w:sz w:val="44"/>
          <w:szCs w:val="44"/>
          <w:lang w:eastAsia="zh-CN"/>
        </w:rPr>
        <w:t>疫情防控</w:t>
      </w:r>
      <w:r>
        <w:rPr>
          <w:rFonts w:hint="eastAsia" w:ascii="方正小标宋简体" w:eastAsia="方正小标宋简体"/>
          <w:color w:val="auto"/>
          <w:sz w:val="44"/>
          <w:szCs w:val="44"/>
        </w:rPr>
        <w:t>期间</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房屋建筑</w:t>
      </w:r>
      <w:r>
        <w:rPr>
          <w:rFonts w:hint="eastAsia" w:ascii="方正小标宋简体" w:eastAsia="方正小标宋简体"/>
          <w:color w:val="auto"/>
          <w:sz w:val="44"/>
          <w:szCs w:val="44"/>
          <w:lang w:eastAsia="zh-CN"/>
        </w:rPr>
        <w:t>和</w:t>
      </w:r>
      <w:r>
        <w:rPr>
          <w:rFonts w:hint="eastAsia" w:ascii="方正小标宋简体" w:eastAsia="方正小标宋简体"/>
          <w:color w:val="auto"/>
          <w:sz w:val="44"/>
          <w:szCs w:val="44"/>
        </w:rPr>
        <w:t>市政基础设施工程</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计价有关问题的指导意见</w:t>
      </w:r>
    </w:p>
    <w:p>
      <w:pPr>
        <w:spacing w:line="560" w:lineRule="exact"/>
        <w:rPr>
          <w:rFonts w:ascii="仿宋_GB2312" w:hAnsi="宋体" w:eastAsia="仿宋_GB2312" w:cs="仿宋_GB2312"/>
          <w:color w:val="000000"/>
          <w:kern w:val="0"/>
          <w:sz w:val="32"/>
          <w:szCs w:val="32"/>
          <w:lang w:bidi="ar"/>
        </w:rPr>
      </w:pPr>
    </w:p>
    <w:p>
      <w:pPr>
        <w:spacing w:line="560" w:lineRule="exac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Times New Roman" w:hAnsi="Times New Roman" w:eastAsia="仿宋_GB2312" w:cs="Times New Roman"/>
          <w:color w:val="000000"/>
          <w:sz w:val="32"/>
          <w:szCs w:val="32"/>
        </w:rPr>
        <w:t>为</w:t>
      </w:r>
      <w:r>
        <w:rPr>
          <w:rFonts w:hint="eastAsia" w:ascii="Times New Roman" w:hAnsi="Times New Roman" w:eastAsia="仿宋_GB2312" w:cs="Times New Roman"/>
          <w:color w:val="000000"/>
          <w:sz w:val="32"/>
          <w:szCs w:val="32"/>
        </w:rPr>
        <w:t>认真</w:t>
      </w:r>
      <w:r>
        <w:rPr>
          <w:rFonts w:ascii="Times New Roman" w:hAnsi="Times New Roman" w:eastAsia="仿宋_GB2312" w:cs="Times New Roman"/>
          <w:color w:val="000000"/>
          <w:sz w:val="32"/>
          <w:szCs w:val="32"/>
        </w:rPr>
        <w:t>贯彻落实自治区党委、人民政府关于统筹疫情防控和经济社会发展的部署要求，维护</w:t>
      </w:r>
      <w:r>
        <w:rPr>
          <w:rFonts w:hint="eastAsia" w:ascii="仿宋_GB2312" w:hAnsi="宋体" w:eastAsia="仿宋_GB2312" w:cs="仿宋_GB2312"/>
          <w:color w:val="000000"/>
          <w:kern w:val="0"/>
          <w:sz w:val="32"/>
          <w:szCs w:val="32"/>
          <w:lang w:bidi="ar"/>
        </w:rPr>
        <w:t>建筑市场秩序，维护建设各方</w:t>
      </w:r>
      <w:r>
        <w:rPr>
          <w:rFonts w:hint="default" w:ascii="仿宋_GB2312" w:hAnsi="宋体" w:eastAsia="仿宋_GB2312" w:cs="仿宋_GB2312"/>
          <w:color w:val="000000"/>
          <w:kern w:val="0"/>
          <w:sz w:val="32"/>
          <w:szCs w:val="32"/>
          <w:lang w:bidi="ar"/>
        </w:rPr>
        <w:t>主体</w:t>
      </w:r>
      <w:r>
        <w:rPr>
          <w:rFonts w:hint="eastAsia" w:ascii="仿宋_GB2312" w:hAnsi="宋体" w:eastAsia="仿宋_GB2312" w:cs="仿宋_GB2312"/>
          <w:color w:val="000000"/>
          <w:kern w:val="0"/>
          <w:sz w:val="32"/>
          <w:szCs w:val="32"/>
          <w:lang w:bidi="ar"/>
        </w:rPr>
        <w:t>合法权益，</w:t>
      </w:r>
      <w:r>
        <w:rPr>
          <w:rFonts w:hint="default" w:ascii="仿宋_GB2312" w:hAnsi="宋体" w:eastAsia="仿宋_GB2312" w:cs="仿宋_GB2312"/>
          <w:color w:val="000000"/>
          <w:kern w:val="0"/>
          <w:sz w:val="32"/>
          <w:szCs w:val="32"/>
          <w:lang w:bidi="ar"/>
        </w:rPr>
        <w:t>在</w:t>
      </w:r>
      <w:r>
        <w:rPr>
          <w:rFonts w:hint="eastAsia" w:ascii="仿宋_GB2312" w:hAnsi="宋体" w:eastAsia="仿宋_GB2312" w:cs="仿宋_GB2312"/>
          <w:color w:val="000000"/>
          <w:kern w:val="0"/>
          <w:sz w:val="32"/>
          <w:szCs w:val="32"/>
          <w:lang w:bidi="ar"/>
        </w:rPr>
        <w:t>充分调研全疆实际</w:t>
      </w:r>
      <w:r>
        <w:rPr>
          <w:rFonts w:hint="default"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借鉴外省市管理经验</w:t>
      </w:r>
      <w:r>
        <w:rPr>
          <w:rFonts w:hint="default" w:ascii="仿宋_GB2312" w:hAnsi="宋体" w:eastAsia="仿宋_GB2312" w:cs="仿宋_GB2312"/>
          <w:color w:val="000000"/>
          <w:kern w:val="0"/>
          <w:sz w:val="32"/>
          <w:szCs w:val="32"/>
          <w:lang w:bidi="ar"/>
        </w:rPr>
        <w:t>的基础上</w:t>
      </w:r>
      <w:r>
        <w:rPr>
          <w:rFonts w:hint="eastAsia" w:ascii="仿宋_GB2312" w:hAnsi="宋体" w:eastAsia="仿宋_GB2312" w:cs="仿宋_GB2312"/>
          <w:color w:val="000000"/>
          <w:kern w:val="0"/>
          <w:sz w:val="32"/>
          <w:szCs w:val="32"/>
          <w:lang w:bidi="ar"/>
        </w:rPr>
        <w:t>，根据有关法律法规，并按照实事求是、风险共担的原则，对</w:t>
      </w:r>
      <w:r>
        <w:rPr>
          <w:rFonts w:hint="default" w:ascii="仿宋_GB2312" w:hAnsi="宋体" w:eastAsia="仿宋_GB2312" w:cs="仿宋_GB2312"/>
          <w:color w:val="000000"/>
          <w:kern w:val="0"/>
          <w:sz w:val="32"/>
          <w:szCs w:val="32"/>
          <w:lang w:bidi="ar"/>
        </w:rPr>
        <w:t>新冠病毒感染</w:t>
      </w:r>
      <w:r>
        <w:rPr>
          <w:rFonts w:hint="eastAsia" w:ascii="仿宋_GB2312" w:hAnsi="宋体" w:eastAsia="仿宋_GB2312" w:cs="仿宋_GB2312"/>
          <w:color w:val="000000"/>
          <w:kern w:val="0"/>
          <w:sz w:val="32"/>
          <w:szCs w:val="32"/>
          <w:lang w:bidi="ar"/>
        </w:rPr>
        <w:t>疫情</w:t>
      </w:r>
      <w:r>
        <w:rPr>
          <w:rFonts w:hint="default" w:ascii="仿宋_GB2312" w:hAnsi="宋体" w:eastAsia="仿宋_GB2312" w:cs="仿宋_GB2312"/>
          <w:color w:val="000000"/>
          <w:kern w:val="0"/>
          <w:sz w:val="32"/>
          <w:szCs w:val="32"/>
          <w:lang w:bidi="ar"/>
        </w:rPr>
        <w:t>防控</w:t>
      </w:r>
      <w:r>
        <w:rPr>
          <w:rFonts w:hint="eastAsia" w:ascii="仿宋_GB2312" w:hAnsi="宋体" w:eastAsia="仿宋_GB2312" w:cs="仿宋_GB2312"/>
          <w:color w:val="000000"/>
          <w:kern w:val="0"/>
          <w:sz w:val="32"/>
          <w:szCs w:val="32"/>
          <w:lang w:bidi="ar"/>
        </w:rPr>
        <w:t>期</w:t>
      </w:r>
      <w:r>
        <w:rPr>
          <w:rFonts w:hint="eastAsia" w:ascii="Times New Roman" w:hAnsi="Times New Roman" w:eastAsia="仿宋_GB2312" w:cs="Times New Roman"/>
          <w:color w:val="000000"/>
          <w:sz w:val="32"/>
          <w:szCs w:val="32"/>
        </w:rPr>
        <w:t>间房屋建筑</w:t>
      </w:r>
      <w:r>
        <w:rPr>
          <w:rFonts w:hint="default" w:ascii="Times New Roman" w:hAnsi="Times New Roman" w:eastAsia="仿宋_GB2312" w:cs="Times New Roman"/>
          <w:color w:val="000000"/>
          <w:sz w:val="32"/>
          <w:szCs w:val="32"/>
        </w:rPr>
        <w:t>和</w:t>
      </w:r>
      <w:r>
        <w:rPr>
          <w:rFonts w:hint="eastAsia" w:ascii="Times New Roman" w:hAnsi="Times New Roman" w:eastAsia="仿宋_GB2312" w:cs="Times New Roman"/>
          <w:color w:val="000000"/>
          <w:sz w:val="32"/>
          <w:szCs w:val="32"/>
        </w:rPr>
        <w:t>市政基础设施工程计价有关问题</w:t>
      </w:r>
      <w:r>
        <w:rPr>
          <w:rFonts w:hint="default" w:ascii="Times New Roman" w:hAnsi="Times New Roman" w:eastAsia="仿宋_GB2312" w:cs="Times New Roman"/>
          <w:color w:val="000000"/>
          <w:sz w:val="32"/>
          <w:szCs w:val="32"/>
        </w:rPr>
        <w:t>提出</w:t>
      </w:r>
      <w:r>
        <w:rPr>
          <w:rFonts w:hint="eastAsia" w:ascii="仿宋_GB2312" w:hAnsi="宋体" w:eastAsia="仿宋_GB2312" w:cs="仿宋_GB2312"/>
          <w:color w:val="000000"/>
          <w:kern w:val="0"/>
          <w:sz w:val="32"/>
          <w:szCs w:val="32"/>
          <w:lang w:bidi="ar"/>
        </w:rPr>
        <w:t>以下指导意见。</w:t>
      </w:r>
    </w:p>
    <w:p>
      <w:pPr>
        <w:widowControl/>
        <w:spacing w:line="560" w:lineRule="exact"/>
        <w:ind w:firstLine="640" w:firstLineChars="200"/>
        <w:rPr>
          <w:rFonts w:ascii="黑体" w:hAnsi="黑体" w:eastAsia="黑体" w:cs="黑体"/>
          <w:color w:val="1A1A1A"/>
          <w:sz w:val="32"/>
          <w:szCs w:val="32"/>
        </w:rPr>
      </w:pPr>
      <w:r>
        <w:rPr>
          <w:rFonts w:hint="eastAsia" w:ascii="黑体" w:hAnsi="黑体" w:eastAsia="黑体" w:cs="黑体"/>
          <w:color w:val="1A1A1A"/>
          <w:sz w:val="32"/>
          <w:szCs w:val="32"/>
        </w:rPr>
        <w:t>一、协商调整工期</w:t>
      </w:r>
    </w:p>
    <w:p>
      <w:pPr>
        <w:widowControl/>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建设工程因疫情管控导致工期延误的，合同有约定的，执行合同约定；合同未约定的，发承包双方应根据《中华人民共和国民法典》关于不可抗力的规定，结合实际情况进行协商，合理顺延工期。</w:t>
      </w:r>
    </w:p>
    <w:p>
      <w:pPr>
        <w:pStyle w:val="2"/>
        <w:rPr>
          <w:rFonts w:ascii="黑体" w:hAnsi="黑体" w:eastAsia="黑体" w:cs="黑体"/>
          <w:b w:val="0"/>
          <w:color w:val="1A1A1A"/>
        </w:rPr>
      </w:pPr>
      <w:r>
        <w:rPr>
          <w:rFonts w:hint="eastAsia" w:ascii="黑体" w:hAnsi="黑体" w:eastAsia="黑体" w:cs="黑体"/>
          <w:b w:val="0"/>
          <w:color w:val="1A1A1A"/>
        </w:rPr>
        <w:t>二、合理分担疫情防控费用</w:t>
      </w:r>
    </w:p>
    <w:p>
      <w:pPr>
        <w:widowControl/>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疫情防控费用由常态化防控费和应急防控费组成。</w:t>
      </w:r>
    </w:p>
    <w:p>
      <w:pPr>
        <w:widowControl/>
        <w:numPr>
          <w:ilvl w:val="0"/>
          <w:numId w:val="1"/>
        </w:numPr>
        <w:spacing w:line="560" w:lineRule="exact"/>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常态化防控费</w:t>
      </w:r>
    </w:p>
    <w:p>
      <w:pPr>
        <w:widowControl/>
        <w:spacing w:line="560" w:lineRule="exact"/>
        <w:ind w:firstLine="642" w:firstLineChars="200"/>
        <w:rPr>
          <w:rFonts w:ascii="仿宋_GB2312" w:hAnsi="宋体" w:eastAsia="仿宋_GB2312" w:cs="仿宋_GB2312"/>
          <w:color w:val="000000"/>
          <w:kern w:val="0"/>
          <w:sz w:val="32"/>
          <w:szCs w:val="32"/>
          <w:lang w:bidi="ar"/>
        </w:rPr>
      </w:pPr>
      <w:r>
        <w:rPr>
          <w:rFonts w:hint="eastAsia" w:ascii="仿宋_GB2312" w:hAnsi="楷体" w:eastAsia="仿宋_GB2312" w:cs="楷体"/>
          <w:b/>
          <w:bCs/>
          <w:sz w:val="32"/>
          <w:szCs w:val="32"/>
        </w:rPr>
        <w:t>1.费用内容。</w:t>
      </w:r>
      <w:r>
        <w:rPr>
          <w:rFonts w:hint="eastAsia" w:ascii="仿宋_GB2312" w:hAnsi="宋体" w:eastAsia="仿宋_GB2312" w:cs="仿宋_GB2312"/>
          <w:color w:val="000000"/>
          <w:kern w:val="0"/>
          <w:sz w:val="32"/>
          <w:szCs w:val="32"/>
          <w:lang w:bidi="ar"/>
        </w:rPr>
        <w:t>依据《自治区房屋建筑和市政基础设施工程施工现场新冠肺炎疫情常态化防控工作导则（2022版）》规定开展常态化防控的实施费用，包括</w:t>
      </w:r>
      <w:r>
        <w:rPr>
          <w:rFonts w:hint="eastAsia" w:ascii="仿宋_GB2312" w:eastAsia="仿宋_GB2312"/>
          <w:sz w:val="32"/>
          <w:szCs w:val="32"/>
        </w:rPr>
        <w:t>防控物资费、防控人员费、防控增加的临时设施费和宣传教育增加费等费用。</w:t>
      </w:r>
      <w:r>
        <w:rPr>
          <w:rFonts w:hint="eastAsia" w:ascii="仿宋_GB2312" w:hAnsi="宋体" w:eastAsia="仿宋_GB2312" w:cs="仿宋_GB2312"/>
          <w:color w:val="000000"/>
          <w:kern w:val="0"/>
          <w:sz w:val="32"/>
          <w:szCs w:val="32"/>
          <w:lang w:bidi="ar"/>
        </w:rPr>
        <w:t>作为不可竞争费计入安全文明施工费。</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宋体" w:eastAsia="仿宋_GB2312" w:cs="仿宋_GB2312"/>
          <w:color w:val="000000"/>
          <w:kern w:val="0"/>
          <w:sz w:val="32"/>
          <w:szCs w:val="32"/>
          <w:lang w:bidi="ar"/>
        </w:rPr>
      </w:pPr>
      <w:r>
        <w:rPr>
          <w:rFonts w:hint="eastAsia" w:ascii="仿宋_GB2312" w:hAnsi="楷体" w:eastAsia="仿宋_GB2312" w:cs="楷体"/>
          <w:b/>
          <w:bCs/>
          <w:sz w:val="32"/>
          <w:szCs w:val="32"/>
          <w:lang w:val="en-US" w:eastAsia="zh-CN"/>
        </w:rPr>
        <w:t xml:space="preserve">    </w:t>
      </w:r>
      <w:r>
        <w:rPr>
          <w:rFonts w:hint="eastAsia" w:ascii="仿宋_GB2312" w:hAnsi="楷体" w:eastAsia="仿宋_GB2312" w:cs="楷体"/>
          <w:b/>
          <w:bCs/>
          <w:sz w:val="32"/>
          <w:szCs w:val="32"/>
        </w:rPr>
        <w:t>2.计费标准。</w:t>
      </w:r>
      <w:r>
        <w:rPr>
          <w:rFonts w:hint="eastAsia" w:ascii="仿宋_GB2312" w:hAnsi="宋体" w:eastAsia="仿宋_GB2312" w:cs="仿宋_GB2312"/>
          <w:color w:val="000000"/>
          <w:kern w:val="0"/>
          <w:sz w:val="32"/>
          <w:szCs w:val="32"/>
          <w:lang w:bidi="ar"/>
        </w:rPr>
        <w:t>执行2020版计价依据的工程项目，应根据不同专业工程，按相应计费基础及费率（详见下表）计算。合同已有约定的，按原合同约定执行。</w:t>
      </w:r>
    </w:p>
    <w:tbl>
      <w:tblPr>
        <w:tblStyle w:val="4"/>
        <w:tblpPr w:leftFromText="180" w:rightFromText="180" w:vertAnchor="text" w:horzAnchor="page" w:tblpX="1648" w:tblpY="88"/>
        <w:tblOverlap w:val="never"/>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809"/>
        <w:gridCol w:w="2147"/>
        <w:gridCol w:w="2085"/>
        <w:gridCol w:w="138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05" w:type="pct"/>
            <w:vMerge w:val="restar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r>
              <w:rPr>
                <w:rFonts w:hint="eastAsia" w:ascii="宋体" w:hAnsi="宋体" w:eastAsia="宋体"/>
                <w:b/>
                <w:bCs/>
                <w:color w:val="000000"/>
                <w:sz w:val="24"/>
                <w:szCs w:val="24"/>
              </w:rPr>
              <w:t>费用</w:t>
            </w:r>
          </w:p>
          <w:p>
            <w:pPr>
              <w:pageBreakBefore w:val="0"/>
              <w:widowControl w:val="0"/>
              <w:kinsoku/>
              <w:wordWrap/>
              <w:overflowPunct/>
              <w:topLinePunct w:val="0"/>
              <w:autoSpaceDE/>
              <w:autoSpaceDN/>
              <w:bidi w:val="0"/>
              <w:adjustRightInd/>
              <w:snapToGrid w:val="0"/>
              <w:spacing w:line="240" w:lineRule="atLeast"/>
              <w:jc w:val="center"/>
              <w:textAlignment w:val="auto"/>
            </w:pPr>
            <w:r>
              <w:rPr>
                <w:rFonts w:hint="eastAsia" w:ascii="宋体" w:hAnsi="宋体" w:eastAsia="宋体"/>
                <w:b/>
                <w:bCs/>
                <w:color w:val="000000"/>
                <w:sz w:val="24"/>
                <w:szCs w:val="24"/>
              </w:rPr>
              <w:t>名称</w:t>
            </w:r>
          </w:p>
        </w:tc>
        <w:tc>
          <w:tcPr>
            <w:tcW w:w="1667" w:type="pct"/>
            <w:gridSpan w:val="2"/>
            <w:vMerge w:val="restar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r>
              <w:rPr>
                <w:rFonts w:hint="eastAsia" w:ascii="宋体" w:hAnsi="宋体" w:eastAsia="宋体"/>
                <w:b/>
                <w:bCs/>
                <w:color w:val="000000"/>
                <w:sz w:val="24"/>
                <w:szCs w:val="24"/>
              </w:rPr>
              <w:t>专业工程</w:t>
            </w:r>
          </w:p>
        </w:tc>
        <w:tc>
          <w:tcPr>
            <w:tcW w:w="1176" w:type="pct"/>
            <w:vMerge w:val="restar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r>
              <w:rPr>
                <w:rFonts w:ascii="宋体" w:hAnsi="宋体" w:eastAsia="宋体"/>
                <w:b/>
                <w:bCs/>
                <w:color w:val="000000"/>
                <w:sz w:val="24"/>
                <w:szCs w:val="24"/>
              </w:rPr>
              <w:t>计费基础</w:t>
            </w:r>
          </w:p>
        </w:tc>
        <w:tc>
          <w:tcPr>
            <w:tcW w:w="1550" w:type="pct"/>
            <w:gridSpan w:val="2"/>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r>
              <w:rPr>
                <w:rFonts w:ascii="宋体" w:hAnsi="宋体" w:eastAsia="宋体"/>
                <w:b/>
                <w:bCs/>
                <w:color w:val="000000"/>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p>
        </w:tc>
        <w:tc>
          <w:tcPr>
            <w:tcW w:w="1667" w:type="pct"/>
            <w:gridSpan w:val="2"/>
            <w:vMerge w:val="continue"/>
            <w:noWrap w:val="0"/>
            <w:vAlign w:val="top"/>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p>
        </w:tc>
        <w:tc>
          <w:tcPr>
            <w:tcW w:w="1176"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r>
              <w:rPr>
                <w:rFonts w:ascii="宋体" w:hAnsi="宋体" w:eastAsia="宋体"/>
                <w:b/>
                <w:bCs/>
                <w:color w:val="000000"/>
                <w:sz w:val="24"/>
                <w:szCs w:val="24"/>
              </w:rPr>
              <w:t>一般计税</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b/>
                <w:bCs/>
                <w:color w:val="000000"/>
                <w:sz w:val="24"/>
                <w:szCs w:val="24"/>
              </w:rPr>
            </w:pPr>
            <w:r>
              <w:rPr>
                <w:rFonts w:ascii="宋体" w:hAnsi="宋体" w:eastAsia="宋体"/>
                <w:b/>
                <w:bCs/>
                <w:color w:val="000000"/>
                <w:sz w:val="24"/>
                <w:szCs w:val="24"/>
              </w:rPr>
              <w:t>简易计税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05" w:type="pct"/>
            <w:vMerge w:val="restart"/>
            <w:noWrap w:val="0"/>
            <w:vAlign w:val="center"/>
          </w:tcPr>
          <w:p>
            <w:pPr>
              <w:pageBreakBefore w:val="0"/>
              <w:widowControl w:val="0"/>
              <w:kinsoku/>
              <w:wordWrap/>
              <w:overflowPunct/>
              <w:topLinePunct w:val="0"/>
              <w:autoSpaceDE/>
              <w:autoSpaceDN/>
              <w:bidi w:val="0"/>
              <w:adjustRightInd/>
              <w:snapToGrid w:val="0"/>
              <w:jc w:val="center"/>
              <w:textAlignment w:val="auto"/>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w:t>
            </w:r>
          </w:p>
          <w:p>
            <w:pPr>
              <w:pageBreakBefore w:val="0"/>
              <w:widowControl w:val="0"/>
              <w:kinsoku/>
              <w:wordWrap/>
              <w:overflowPunct/>
              <w:topLinePunct w:val="0"/>
              <w:autoSpaceDE/>
              <w:autoSpaceDN/>
              <w:bidi w:val="0"/>
              <w:adjustRightInd/>
              <w:snapToGrid w:val="0"/>
              <w:jc w:val="center"/>
              <w:textAlignment w:val="auto"/>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态</w:t>
            </w:r>
          </w:p>
          <w:p>
            <w:pPr>
              <w:pageBreakBefore w:val="0"/>
              <w:widowControl w:val="0"/>
              <w:kinsoku/>
              <w:wordWrap/>
              <w:overflowPunct/>
              <w:topLinePunct w:val="0"/>
              <w:autoSpaceDE/>
              <w:autoSpaceDN/>
              <w:bidi w:val="0"/>
              <w:adjustRightInd/>
              <w:snapToGrid w:val="0"/>
              <w:jc w:val="center"/>
              <w:textAlignment w:val="auto"/>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w:t>
            </w:r>
          </w:p>
          <w:p>
            <w:pPr>
              <w:pageBreakBefore w:val="0"/>
              <w:widowControl w:val="0"/>
              <w:kinsoku/>
              <w:wordWrap/>
              <w:overflowPunct/>
              <w:topLinePunct w:val="0"/>
              <w:autoSpaceDE/>
              <w:autoSpaceDN/>
              <w:bidi w:val="0"/>
              <w:adjustRightInd/>
              <w:snapToGrid w:val="0"/>
              <w:jc w:val="center"/>
              <w:textAlignment w:val="auto"/>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防</w:t>
            </w:r>
          </w:p>
          <w:p>
            <w:pPr>
              <w:pageBreakBefore w:val="0"/>
              <w:widowControl w:val="0"/>
              <w:kinsoku/>
              <w:wordWrap/>
              <w:overflowPunct/>
              <w:topLinePunct w:val="0"/>
              <w:autoSpaceDE/>
              <w:autoSpaceDN/>
              <w:bidi w:val="0"/>
              <w:adjustRightInd/>
              <w:snapToGrid w:val="0"/>
              <w:jc w:val="center"/>
              <w:textAlignment w:val="auto"/>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控</w:t>
            </w:r>
          </w:p>
          <w:p>
            <w:pPr>
              <w:pageBreakBefore w:val="0"/>
              <w:widowControl w:val="0"/>
              <w:kinsoku/>
              <w:wordWrap/>
              <w:overflowPunct/>
              <w:topLinePunct w:val="0"/>
              <w:autoSpaceDE/>
              <w:autoSpaceDN/>
              <w:bidi w:val="0"/>
              <w:adjustRightInd/>
              <w:snapToGrid w:val="0"/>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费</w:t>
            </w:r>
          </w:p>
        </w:tc>
        <w:tc>
          <w:tcPr>
            <w:tcW w:w="1667" w:type="pct"/>
            <w:gridSpan w:val="2"/>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房屋建筑与装饰工程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人工费+机械费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0.47%</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1667" w:type="pct"/>
            <w:gridSpan w:val="2"/>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0.12%</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456" w:type="pct"/>
            <w:vMerge w:val="restar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市政</w:t>
            </w:r>
          </w:p>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w:t>
            </w:r>
          </w:p>
        </w:tc>
        <w:tc>
          <w:tcPr>
            <w:tcW w:w="1211"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道路工程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人工费+机械费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0.88%</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456"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1211"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桥涵工程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人工费+机械费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0.47%</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456"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1211"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土石方工程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人工费+机械费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0.19%</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456"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1211"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0.81%</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05"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456" w:type="pct"/>
            <w:vMerge w:val="continue"/>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p>
        </w:tc>
        <w:tc>
          <w:tcPr>
            <w:tcW w:w="1211"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场站工程</w:t>
            </w:r>
          </w:p>
        </w:tc>
        <w:tc>
          <w:tcPr>
            <w:tcW w:w="1176"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人工费+机械费</w:t>
            </w:r>
          </w:p>
        </w:tc>
        <w:tc>
          <w:tcPr>
            <w:tcW w:w="78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0.46%</w:t>
            </w:r>
          </w:p>
        </w:tc>
        <w:tc>
          <w:tcPr>
            <w:tcW w:w="770" w:type="pct"/>
            <w:noWrap w:val="0"/>
            <w:vAlign w:val="center"/>
          </w:tcPr>
          <w:p>
            <w:pPr>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0.44%</w:t>
            </w:r>
          </w:p>
        </w:tc>
      </w:tr>
    </w:tbl>
    <w:p>
      <w:pPr>
        <w:pStyle w:val="2"/>
        <w:keepNext w:val="0"/>
        <w:keepLines/>
        <w:pageBreakBefore w:val="0"/>
        <w:widowControl/>
        <w:kinsoku/>
        <w:wordWrap/>
        <w:overflowPunct/>
        <w:topLinePunct w:val="0"/>
        <w:autoSpaceDE/>
        <w:autoSpaceDN/>
        <w:bidi w:val="0"/>
        <w:adjustRightInd/>
        <w:snapToGrid/>
        <w:spacing w:beforeLines="0" w:afterLines="0" w:line="520" w:lineRule="exact"/>
        <w:ind w:left="0" w:leftChars="0" w:right="23" w:rightChars="11" w:firstLine="0" w:firstLineChars="0"/>
        <w:textAlignment w:val="auto"/>
        <w:rPr>
          <w:rFonts w:ascii="仿宋_GB2312" w:hAnsi="仿宋_GB2312" w:cs="仿宋_GB2312"/>
          <w:b w:val="0"/>
          <w:bCs/>
          <w:sz w:val="28"/>
          <w:szCs w:val="28"/>
        </w:rPr>
      </w:pPr>
      <w:r>
        <w:rPr>
          <w:rFonts w:hint="eastAsia" w:ascii="仿宋_GB2312" w:hAnsi="仿宋_GB2312" w:cs="仿宋_GB2312"/>
          <w:sz w:val="28"/>
          <w:szCs w:val="28"/>
        </w:rPr>
        <w:t>注：</w:t>
      </w:r>
      <w:r>
        <w:rPr>
          <w:rFonts w:hint="eastAsia" w:ascii="仿宋_GB2312" w:hAnsi="仿宋_GB2312" w:cs="仿宋_GB2312"/>
          <w:b w:val="0"/>
          <w:bCs/>
          <w:sz w:val="28"/>
          <w:szCs w:val="28"/>
        </w:rPr>
        <w:t>编制招标控制价时，计费基础为：定额人工费+机械费或定额人工费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（二）</w:t>
      </w:r>
      <w:bookmarkStart w:id="0" w:name="_Hlk120029998"/>
      <w:r>
        <w:rPr>
          <w:rFonts w:hint="eastAsia" w:ascii="楷体" w:hAnsi="楷体" w:eastAsia="楷体" w:cs="仿宋_GB2312"/>
          <w:color w:val="000000"/>
          <w:kern w:val="0"/>
          <w:sz w:val="32"/>
          <w:szCs w:val="32"/>
          <w:lang w:bidi="ar"/>
        </w:rPr>
        <w:t>应急防控费</w:t>
      </w:r>
      <w:bookmarkEnd w:id="0"/>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仿宋_GB2312"/>
          <w:color w:val="000000"/>
          <w:kern w:val="0"/>
          <w:sz w:val="32"/>
          <w:szCs w:val="32"/>
          <w:lang w:bidi="ar"/>
        </w:rPr>
      </w:pPr>
      <w:r>
        <w:rPr>
          <w:rFonts w:hint="eastAsia" w:ascii="仿宋_GB2312" w:hAnsi="楷体" w:eastAsia="仿宋_GB2312" w:cs="楷体"/>
          <w:b/>
          <w:bCs/>
          <w:sz w:val="32"/>
          <w:szCs w:val="32"/>
        </w:rPr>
        <w:t>1.费用内容。</w:t>
      </w:r>
      <w:r>
        <w:rPr>
          <w:rFonts w:hint="eastAsia" w:ascii="仿宋_GB2312" w:hAnsi="楷体" w:eastAsia="仿宋_GB2312" w:cs="楷体"/>
          <w:sz w:val="32"/>
          <w:szCs w:val="32"/>
        </w:rPr>
        <w:t>本指导意见所称应急防控费是指</w:t>
      </w:r>
      <w:r>
        <w:rPr>
          <w:rFonts w:hint="eastAsia" w:ascii="仿宋_GB2312" w:hAnsi="宋体" w:eastAsia="仿宋_GB2312" w:cs="仿宋_GB2312"/>
          <w:color w:val="000000"/>
          <w:kern w:val="0"/>
          <w:sz w:val="32"/>
          <w:szCs w:val="32"/>
          <w:lang w:bidi="ar"/>
        </w:rPr>
        <w:t>因政府依法采</w:t>
      </w:r>
      <w:r>
        <w:rPr>
          <w:rFonts w:hint="eastAsia" w:ascii="仿宋_GB2312" w:hAnsi="宋体" w:eastAsia="仿宋_GB2312" w:cs="仿宋_GB2312"/>
          <w:color w:val="000000"/>
          <w:kern w:val="0"/>
          <w:sz w:val="32"/>
          <w:szCs w:val="32"/>
          <w:highlight w:val="none"/>
          <w:lang w:bidi="ar"/>
        </w:rPr>
        <w:t>取疫情封控管</w:t>
      </w:r>
      <w:r>
        <w:rPr>
          <w:rFonts w:hint="eastAsia" w:ascii="仿宋_GB2312" w:hAnsi="宋体" w:eastAsia="仿宋_GB2312" w:cs="仿宋_GB2312"/>
          <w:color w:val="000000"/>
          <w:kern w:val="0"/>
          <w:sz w:val="32"/>
          <w:szCs w:val="32"/>
          <w:lang w:bidi="ar"/>
        </w:rPr>
        <w:t>理后，工程所在区域实施疫情防控应急措施之日起至解除疫情防控应急措施之日期间，造成工程项目停工损失或成本增加的费用。费用计入其他项目费，只计取税金，并与工程进度款同期支付。</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2.费用分担原则。</w:t>
      </w:r>
      <w:r>
        <w:rPr>
          <w:rFonts w:hint="eastAsia" w:ascii="仿宋_GB2312" w:hAnsi="仿宋_GB2312" w:eastAsia="仿宋_GB2312" w:cs="仿宋_GB2312"/>
          <w:sz w:val="32"/>
          <w:szCs w:val="32"/>
        </w:rPr>
        <w:t>合同有约定的，按照合同约定执行；合同未约定或者约定不明确的，双方可按以下原则充分协商，予以分担。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（1）应急措施费用。</w:t>
      </w:r>
      <w:r>
        <w:rPr>
          <w:rFonts w:hint="eastAsia" w:ascii="仿宋_GB2312" w:hAnsi="仿宋_GB2312" w:eastAsia="仿宋_GB2312" w:cs="仿宋_GB2312"/>
          <w:sz w:val="32"/>
          <w:szCs w:val="32"/>
        </w:rPr>
        <w:t>施工现场因封控管理在常态化措施基础上增加的防疫物资、防疫管理人员费用和临时隔离设施等费用，由发承包双方依据方案按实际发生量（或摊销量）签证，计入工程造价，由发包人承担。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（2）停工损失费用。</w:t>
      </w:r>
      <w:r>
        <w:rPr>
          <w:rFonts w:hint="eastAsia" w:ascii="仿宋_GB2312" w:hAnsi="仿宋_GB2312" w:eastAsia="仿宋_GB2312" w:cs="仿宋_GB2312"/>
          <w:sz w:val="32"/>
          <w:szCs w:val="32"/>
          <w:highlight w:val="none"/>
        </w:rPr>
        <w:t>因疫情封控导致</w:t>
      </w:r>
      <w:r>
        <w:rPr>
          <w:rFonts w:hint="eastAsia" w:ascii="仿宋_GB2312" w:hAnsi="仿宋_GB2312" w:eastAsia="仿宋_GB2312" w:cs="仿宋_GB2312"/>
          <w:sz w:val="32"/>
          <w:szCs w:val="32"/>
        </w:rPr>
        <w:t>工程停工的，滞场人员的工资或生活费，合同有约定的，按照合同约定执行，合同没有约定的，双方协商确定，但原则上不得低于</w:t>
      </w:r>
      <w:r>
        <w:rPr>
          <w:rFonts w:hint="eastAsia" w:ascii="仿宋_GB2312" w:hAnsi="仿宋_GB2312" w:eastAsia="仿宋_GB2312" w:cs="仿宋_GB2312"/>
          <w:sz w:val="32"/>
          <w:szCs w:val="32"/>
          <w:lang w:eastAsia="zh-CN"/>
        </w:rPr>
        <w:t>当地</w:t>
      </w:r>
      <w:r>
        <w:rPr>
          <w:rFonts w:hint="eastAsia" w:ascii="仿宋_GB2312" w:hAnsi="仿宋_GB2312" w:eastAsia="仿宋_GB2312" w:cs="仿宋_GB2312"/>
          <w:sz w:val="32"/>
          <w:szCs w:val="32"/>
        </w:rPr>
        <w:t>最低工资标准；因被依法采取隔离措施不能提供正常劳动的工人，隔离期间的工资应依据人社部门有关规定，按正常工作工资支付；以上费用应计入工程造价，由发包人承担。发承包双方应当利用建筑工人实名制系统、考勤记录、核酸检测记录等资料，切实做好工人名单、隔离和窝工天数确认工作。</w:t>
      </w:r>
    </w:p>
    <w:p>
      <w:pPr>
        <w:keepNext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highlight w:val="none"/>
          <w:lang w:bidi="ar"/>
        </w:rPr>
        <w:t>按疫情应急封</w:t>
      </w:r>
      <w:r>
        <w:rPr>
          <w:rFonts w:hint="eastAsia" w:ascii="仿宋_GB2312" w:hAnsi="宋体" w:eastAsia="仿宋_GB2312" w:cs="仿宋_GB2312"/>
          <w:color w:val="000000"/>
          <w:kern w:val="0"/>
          <w:sz w:val="32"/>
          <w:szCs w:val="32"/>
          <w:lang w:bidi="ar"/>
        </w:rPr>
        <w:t>控要求，工地停工期间的机械设备、周转材料停滞等发生的费用，发承包双方应本着实事求是的原则，充分协商，合理分担。</w:t>
      </w:r>
    </w:p>
    <w:p>
      <w:pPr>
        <w:keepNext w:val="0"/>
        <w:pageBreakBefore w:val="0"/>
        <w:widowControl/>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s="仿宋_GB2312"/>
          <w:color w:val="000000"/>
          <w:kern w:val="0"/>
          <w:sz w:val="32"/>
          <w:szCs w:val="32"/>
          <w:lang w:bidi="ar"/>
        </w:rPr>
      </w:pPr>
      <w:r>
        <w:rPr>
          <w:rFonts w:hint="eastAsia" w:ascii="仿宋_GB2312" w:hAnsi="楷体" w:eastAsia="仿宋_GB2312" w:cs="楷体"/>
          <w:b/>
          <w:bCs/>
          <w:sz w:val="32"/>
          <w:szCs w:val="32"/>
        </w:rPr>
        <w:t>（3）施工降效费用。</w:t>
      </w:r>
      <w:r>
        <w:rPr>
          <w:rFonts w:hint="eastAsia" w:ascii="仿宋_GB2312" w:hAnsi="宋体" w:eastAsia="仿宋_GB2312" w:cs="仿宋_GB2312"/>
          <w:color w:val="000000"/>
          <w:kern w:val="0"/>
          <w:sz w:val="32"/>
          <w:szCs w:val="32"/>
          <w:highlight w:val="none"/>
          <w:lang w:bidi="ar"/>
        </w:rPr>
        <w:t>疫情应急</w:t>
      </w:r>
      <w:r>
        <w:rPr>
          <w:rFonts w:hint="eastAsia" w:ascii="仿宋_GB2312" w:hAnsi="宋体" w:eastAsia="仿宋_GB2312" w:cs="仿宋_GB2312"/>
          <w:color w:val="000000"/>
          <w:kern w:val="0"/>
          <w:sz w:val="32"/>
          <w:szCs w:val="32"/>
          <w:highlight w:val="none"/>
          <w:lang w:eastAsia="zh-CN" w:bidi="ar"/>
        </w:rPr>
        <w:t>封</w:t>
      </w:r>
      <w:r>
        <w:rPr>
          <w:rFonts w:hint="eastAsia" w:ascii="仿宋_GB2312" w:hAnsi="宋体" w:eastAsia="仿宋_GB2312" w:cs="仿宋_GB2312"/>
          <w:color w:val="000000"/>
          <w:kern w:val="0"/>
          <w:sz w:val="32"/>
          <w:szCs w:val="32"/>
          <w:highlight w:val="none"/>
          <w:lang w:bidi="ar"/>
        </w:rPr>
        <w:t>控</w:t>
      </w:r>
      <w:r>
        <w:rPr>
          <w:rFonts w:hint="eastAsia" w:ascii="仿宋_GB2312" w:hAnsi="宋体" w:eastAsia="仿宋_GB2312" w:cs="仿宋_GB2312"/>
          <w:color w:val="000000"/>
          <w:kern w:val="0"/>
          <w:sz w:val="32"/>
          <w:szCs w:val="32"/>
          <w:lang w:bidi="ar"/>
        </w:rPr>
        <w:t>期间施工的项目，因交通管控等原因导致材料设备、机械、人员不能及时进场，造成施工生产降效的，相应增加的施工降效费用由发承包双方根据实际情况协商确定。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三、推进复工复产后工程计价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仿宋_GB2312"/>
          <w:color w:val="000000"/>
          <w:kern w:val="0"/>
          <w:sz w:val="32"/>
          <w:szCs w:val="32"/>
          <w:lang w:bidi="ar"/>
        </w:rPr>
        <w:t>（一）合同履行。</w:t>
      </w:r>
      <w:r>
        <w:rPr>
          <w:rFonts w:hint="eastAsia" w:ascii="仿宋_GB2312" w:hAnsi="仿宋_GB2312" w:eastAsia="仿宋_GB2312" w:cs="仿宋_GB2312"/>
          <w:sz w:val="32"/>
          <w:szCs w:val="32"/>
        </w:rPr>
        <w:t>因疫情影响人工、材料、机械价格变化导致合同履行困难的，合同中已约定调整方法的，按照合同约定执行；合同中未约定调整方法的，发承包双方应参照《关于建筑材料价格风险费用计取的指导意见》（新建标〔2008〕4号）有关规定，协商签订补充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仿宋_GB2312"/>
          <w:color w:val="000000"/>
          <w:kern w:val="0"/>
          <w:sz w:val="32"/>
          <w:szCs w:val="32"/>
          <w:lang w:bidi="ar"/>
        </w:rPr>
        <w:t>（二）招标控制价。</w:t>
      </w:r>
      <w:r>
        <w:rPr>
          <w:rFonts w:hint="eastAsia" w:ascii="仿宋_GB2312" w:hAnsi="仿宋_GB2312" w:eastAsia="仿宋_GB2312" w:cs="仿宋_GB2312"/>
          <w:strike w:val="0"/>
          <w:dstrike w:val="0"/>
          <w:color w:val="auto"/>
          <w:sz w:val="32"/>
          <w:szCs w:val="32"/>
        </w:rPr>
        <w:t>尚</w:t>
      </w:r>
      <w:r>
        <w:rPr>
          <w:rFonts w:hint="eastAsia" w:ascii="仿宋_GB2312" w:hAnsi="仿宋_GB2312" w:eastAsia="仿宋_GB2312" w:cs="仿宋_GB2312"/>
          <w:sz w:val="32"/>
          <w:szCs w:val="32"/>
        </w:rPr>
        <w:t>未招标或签订合同的工程项目，发包人应考虑</w:t>
      </w:r>
      <w:r>
        <w:rPr>
          <w:rFonts w:hint="eastAsia" w:ascii="仿宋_GB2312" w:hAnsi="仿宋_GB2312" w:eastAsia="仿宋_GB2312" w:cs="仿宋_GB2312"/>
          <w:sz w:val="32"/>
          <w:szCs w:val="32"/>
          <w:highlight w:val="none"/>
        </w:rPr>
        <w:t>疫情</w:t>
      </w:r>
      <w:r>
        <w:rPr>
          <w:rFonts w:hint="eastAsia" w:ascii="仿宋_GB2312" w:hAnsi="仿宋_GB2312" w:eastAsia="仿宋_GB2312" w:cs="仿宋_GB2312"/>
          <w:sz w:val="32"/>
          <w:szCs w:val="32"/>
        </w:rPr>
        <w:t>常态化防控对工程项目的影响，在编制招标控制价时增加常态化防控费用。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仿宋_GB2312"/>
          <w:color w:val="000000"/>
          <w:kern w:val="0"/>
          <w:sz w:val="32"/>
          <w:szCs w:val="32"/>
          <w:lang w:bidi="ar"/>
        </w:rPr>
        <w:t>（三）赶工费用。</w:t>
      </w:r>
      <w:r>
        <w:rPr>
          <w:rFonts w:hint="eastAsia" w:ascii="仿宋_GB2312" w:hAnsi="仿宋_GB2312" w:eastAsia="仿宋_GB2312" w:cs="仿宋_GB2312"/>
          <w:sz w:val="32"/>
          <w:szCs w:val="32"/>
        </w:rPr>
        <w:t>应急</w:t>
      </w:r>
      <w:r>
        <w:rPr>
          <w:rFonts w:hint="eastAsia" w:ascii="仿宋_GB2312" w:hAnsi="仿宋_GB2312" w:eastAsia="仿宋_GB2312" w:cs="仿宋_GB2312"/>
          <w:color w:val="auto"/>
          <w:sz w:val="32"/>
          <w:szCs w:val="32"/>
          <w:lang w:eastAsia="zh-CN"/>
        </w:rPr>
        <w:t>封</w:t>
      </w:r>
      <w:r>
        <w:rPr>
          <w:rFonts w:hint="eastAsia" w:ascii="仿宋_GB2312" w:hAnsi="仿宋_GB2312" w:eastAsia="仿宋_GB2312" w:cs="仿宋_GB2312"/>
          <w:sz w:val="32"/>
          <w:szCs w:val="32"/>
        </w:rPr>
        <w:t>控措施解除后，发包人要求赶工的，应承担赶工增加费，并与承包方共同约定赶工费用计取办法。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各地、州、市住房和城乡建设主管部门要加强对相关企业的服务和指导，帮助企业解决实际困难，加强文件落实指导及建设工程人</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、材</w:t>
      </w:r>
      <w:r>
        <w:rPr>
          <w:rFonts w:hint="eastAsia" w:ascii="仿宋_GB2312" w:hAnsi="仿宋_GB2312" w:eastAsia="仿宋_GB2312" w:cs="仿宋_GB2312"/>
          <w:sz w:val="32"/>
          <w:szCs w:val="32"/>
          <w:lang w:val="en-US" w:eastAsia="zh-CN"/>
        </w:rPr>
        <w:t>料</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械</w:t>
      </w:r>
      <w:r>
        <w:rPr>
          <w:rFonts w:hint="eastAsia" w:ascii="仿宋_GB2312" w:hAnsi="仿宋_GB2312" w:eastAsia="仿宋_GB2312" w:cs="仿宋_GB2312"/>
          <w:sz w:val="32"/>
          <w:szCs w:val="32"/>
        </w:rPr>
        <w:t>市场价格的监控和造价信息发布，并积极开展工程价款结算争议调解工作，及时化解矛盾纠纷，推动全区建筑市场和谐稳定发展。</w:t>
      </w:r>
      <w:bookmarkStart w:id="1" w:name="_GoBack"/>
      <w:bookmarkEnd w:id="1"/>
    </w:p>
    <w:sectPr>
      <w:footerReference r:id="rId3" w:type="default"/>
      <w:pgSz w:w="11906" w:h="16838"/>
      <w:pgMar w:top="2098" w:right="1531" w:bottom="1984" w:left="1531"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r>
                            <w:rPr>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F4CD"/>
    <w:multiLevelType w:val="singleLevel"/>
    <w:tmpl w:val="2023F4CD"/>
    <w:lvl w:ilvl="0" w:tentative="0">
      <w:start w:val="1"/>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MWVhYjE1YmMzMmU3ZmY5YmY2Y2FlYWY3NWY1OTgifQ=="/>
  </w:docVars>
  <w:rsids>
    <w:rsidRoot w:val="00000000"/>
    <w:rsid w:val="098470A4"/>
    <w:rsid w:val="1FD77708"/>
    <w:rsid w:val="1FFFD2A4"/>
    <w:rsid w:val="22ED6887"/>
    <w:rsid w:val="25266816"/>
    <w:rsid w:val="28354429"/>
    <w:rsid w:val="318D4498"/>
    <w:rsid w:val="3EAB0813"/>
    <w:rsid w:val="3FFD082E"/>
    <w:rsid w:val="4E2A5AD7"/>
    <w:rsid w:val="5ECEE663"/>
    <w:rsid w:val="6EF07839"/>
    <w:rsid w:val="6FCE4BA0"/>
    <w:rsid w:val="76DF5C24"/>
    <w:rsid w:val="79FE7E85"/>
    <w:rsid w:val="7BD95F8F"/>
    <w:rsid w:val="7F26394C"/>
    <w:rsid w:val="C75BC984"/>
    <w:rsid w:val="DBBB2F9D"/>
    <w:rsid w:val="FB188341"/>
    <w:rsid w:val="FCF5640D"/>
    <w:rsid w:val="FFD3C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560" w:lineRule="exact"/>
      <w:ind w:firstLine="640" w:firstLineChars="200"/>
      <w:outlineLvl w:val="2"/>
    </w:pPr>
    <w:rPr>
      <w:rFonts w:ascii="Calibri" w:hAnsi="Calibri" w:eastAsia="仿宋_GB2312"/>
      <w:b/>
      <w:color w:val="333333"/>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1732</Words>
  <Characters>1831</Characters>
  <Lines>0</Lines>
  <Paragraphs>0</Paragraphs>
  <TotalTime>7</TotalTime>
  <ScaleCrop>false</ScaleCrop>
  <LinksUpToDate>false</LinksUpToDate>
  <CharactersWithSpaces>1853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徐良</cp:lastModifiedBy>
  <dcterms:modified xsi:type="dcterms:W3CDTF">2023-01-17T11:37:34Z</dcterms:modified>
  <dc:title>自治区关于新冠病毒感染疫情防控期间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357B4C02028044999B6EE37025F34176</vt:lpwstr>
  </property>
</Properties>
</file>